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1.xml" ContentType="application/vnd.openxmlformats-officedocument.themeOverride+xml"/>
  <Override PartName="/word/charts/chart13.xml" ContentType="application/vnd.openxmlformats-officedocument.drawingml.chart+xml"/>
  <Override PartName="/word/theme/themeOverride2.xml" ContentType="application/vnd.openxmlformats-officedocument.themeOverride+xml"/>
  <Override PartName="/word/charts/chart14.xml" ContentType="application/vnd.openxmlformats-officedocument.drawingml.chart+xml"/>
  <Override PartName="/word/theme/themeOverride3.xml" ContentType="application/vnd.openxmlformats-officedocument.themeOverride+xml"/>
  <Override PartName="/word/charts/chart15.xml" ContentType="application/vnd.openxmlformats-officedocument.drawingml.chart+xml"/>
  <Override PartName="/word/theme/themeOverride4.xml" ContentType="application/vnd.openxmlformats-officedocument.themeOverride+xml"/>
  <Override PartName="/word/charts/chart16.xml" ContentType="application/vnd.openxmlformats-officedocument.drawingml.chart+xml"/>
  <Override PartName="/word/theme/themeOverride5.xml" ContentType="application/vnd.openxmlformats-officedocument.themeOverride+xml"/>
  <Override PartName="/word/charts/chart17.xml" ContentType="application/vnd.openxmlformats-officedocument.drawingml.chart+xml"/>
  <Override PartName="/word/theme/themeOverride6.xml" ContentType="application/vnd.openxmlformats-officedocument.themeOverride+xml"/>
  <Override PartName="/word/charts/chart18.xml" ContentType="application/vnd.openxmlformats-officedocument.drawingml.chart+xml"/>
  <Override PartName="/word/theme/themeOverride7.xml" ContentType="application/vnd.openxmlformats-officedocument.themeOverride+xml"/>
  <Override PartName="/word/charts/chart19.xml" ContentType="application/vnd.openxmlformats-officedocument.drawingml.chart+xml"/>
  <Override PartName="/word/theme/themeOverride8.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3.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4.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5.xml" ContentType="application/vnd.openxmlformats-officedocument.drawingml.chart+xml"/>
  <Override PartName="/word/charts/chart2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8.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9.xml" ContentType="application/vnd.openxmlformats-officedocument.themeOverride+xml"/>
  <Override PartName="/word/charts/chart3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4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4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4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4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4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4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5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5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5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53.xml" ContentType="application/vnd.openxmlformats-officedocument.drawingml.chart+xml"/>
  <Override PartName="/word/charts/style33.xml" ContentType="application/vnd.ms-office.chartstyle+xml"/>
  <Override PartName="/word/charts/colors33.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tblpY="1"/>
        <w:tblOverlap w:val="never"/>
        <w:tblW w:w="4281" w:type="pct"/>
        <w:tblLook w:val="04A0" w:firstRow="1" w:lastRow="0" w:firstColumn="1" w:lastColumn="0" w:noHBand="0" w:noVBand="1"/>
      </w:tblPr>
      <w:tblGrid>
        <w:gridCol w:w="8009"/>
      </w:tblGrid>
      <w:tr w:rsidR="00CB57AC" w14:paraId="3994DF8A" w14:textId="77777777" w:rsidTr="00A97B16">
        <w:trPr>
          <w:cantSplit/>
          <w:trHeight w:hRule="exact" w:val="2948"/>
        </w:trPr>
        <w:tc>
          <w:tcPr>
            <w:tcW w:w="5000" w:type="pct"/>
          </w:tcPr>
          <w:p w14:paraId="2ECAEA8D" w14:textId="1A58179C" w:rsidR="00CB57AC" w:rsidRPr="00961732" w:rsidRDefault="00CB57AC" w:rsidP="00A97B16">
            <w:pPr>
              <w:pStyle w:val="Logo"/>
            </w:pPr>
          </w:p>
        </w:tc>
      </w:tr>
      <w:tr w:rsidR="00422DB7" w14:paraId="71351583" w14:textId="77777777" w:rsidTr="00A97B16">
        <w:trPr>
          <w:cantSplit/>
          <w:trHeight w:hRule="exact" w:val="1361"/>
        </w:trPr>
        <w:tc>
          <w:tcPr>
            <w:tcW w:w="5000" w:type="pct"/>
          </w:tcPr>
          <w:p w14:paraId="1F509371" w14:textId="6148AED6" w:rsidR="00422DB7" w:rsidRPr="00C07BC6" w:rsidRDefault="00360825" w:rsidP="00A97B16">
            <w:pPr>
              <w:pStyle w:val="Title"/>
            </w:pPr>
            <w:r>
              <w:t>Chichester HEDNA</w:t>
            </w:r>
          </w:p>
        </w:tc>
      </w:tr>
      <w:tr w:rsidR="00422DB7" w14:paraId="0B3CE188" w14:textId="77777777" w:rsidTr="00A97B16">
        <w:trPr>
          <w:cantSplit/>
          <w:trHeight w:hRule="exact" w:val="782"/>
        </w:trPr>
        <w:tc>
          <w:tcPr>
            <w:tcW w:w="5000" w:type="pct"/>
            <w:vMerge w:val="restart"/>
          </w:tcPr>
          <w:p w14:paraId="1C873D06" w14:textId="149C622B" w:rsidR="00422DB7" w:rsidRPr="00EE347A" w:rsidRDefault="00360825" w:rsidP="00A97B16">
            <w:pPr>
              <w:pStyle w:val="Sub-title"/>
            </w:pPr>
            <w:r>
              <w:t>2022</w:t>
            </w:r>
            <w:r w:rsidR="00472D63">
              <w:t xml:space="preserve"> Update</w:t>
            </w:r>
          </w:p>
        </w:tc>
      </w:tr>
      <w:tr w:rsidR="00422DB7" w14:paraId="00E9D5BD" w14:textId="77777777" w:rsidTr="00A97B16">
        <w:trPr>
          <w:cantSplit/>
          <w:trHeight w:hRule="exact" w:val="1633"/>
        </w:trPr>
        <w:tc>
          <w:tcPr>
            <w:tcW w:w="5000" w:type="pct"/>
            <w:vMerge/>
          </w:tcPr>
          <w:p w14:paraId="39A4C36C" w14:textId="77777777" w:rsidR="00422DB7" w:rsidRPr="00C07BC6" w:rsidRDefault="00422DB7" w:rsidP="00A97B16">
            <w:pPr>
              <w:pStyle w:val="Subtitle"/>
            </w:pPr>
          </w:p>
        </w:tc>
      </w:tr>
      <w:tr w:rsidR="00422DB7" w14:paraId="531B6DE1" w14:textId="77777777" w:rsidTr="00A97B16">
        <w:trPr>
          <w:cantSplit/>
          <w:trHeight w:hRule="exact" w:val="1304"/>
        </w:trPr>
        <w:tc>
          <w:tcPr>
            <w:tcW w:w="5000" w:type="pct"/>
            <w:tcBorders>
              <w:bottom w:val="nil"/>
            </w:tcBorders>
          </w:tcPr>
          <w:p w14:paraId="25B95C6C" w14:textId="1FA34FB8" w:rsidR="00422DB7" w:rsidRPr="00230C7F" w:rsidRDefault="00422DB7" w:rsidP="00A97B16">
            <w:pPr>
              <w:pStyle w:val="Clientlinktofooter"/>
            </w:pPr>
            <w:r w:rsidRPr="009D14A4">
              <w:t xml:space="preserve">Iceni Projects </w:t>
            </w:r>
            <w:r w:rsidRPr="00F35753">
              <w:t>Limited</w:t>
            </w:r>
            <w:r w:rsidRPr="009D14A4">
              <w:t xml:space="preserve"> on behalf of </w:t>
            </w:r>
            <w:r w:rsidR="00360825">
              <w:t>Chichester District Council</w:t>
            </w:r>
          </w:p>
        </w:tc>
      </w:tr>
      <w:tr w:rsidR="00422DB7" w14:paraId="3B510666" w14:textId="77777777" w:rsidTr="00A97B16">
        <w:trPr>
          <w:cantSplit/>
          <w:trHeight w:hRule="exact" w:val="1036"/>
        </w:trPr>
        <w:tc>
          <w:tcPr>
            <w:tcW w:w="5000" w:type="pct"/>
          </w:tcPr>
          <w:p w14:paraId="0814C6F4" w14:textId="77777777" w:rsidR="00422DB7" w:rsidRDefault="00D3346A" w:rsidP="00A97B16">
            <w:pPr>
              <w:pStyle w:val="Datelinktofooter"/>
            </w:pPr>
            <w:r>
              <w:t>April</w:t>
            </w:r>
            <w:r w:rsidR="000E5A97">
              <w:t xml:space="preserve"> </w:t>
            </w:r>
            <w:r w:rsidR="00360825">
              <w:t>2022</w:t>
            </w:r>
          </w:p>
          <w:p w14:paraId="3386E657" w14:textId="77777777" w:rsidR="006268F1" w:rsidRPr="006268F1" w:rsidRDefault="006268F1" w:rsidP="006268F1"/>
          <w:p w14:paraId="5E53437D" w14:textId="5C174732" w:rsidR="006268F1" w:rsidRPr="006268F1" w:rsidRDefault="006268F1" w:rsidP="006268F1">
            <w:pPr>
              <w:jc w:val="right"/>
            </w:pPr>
          </w:p>
        </w:tc>
      </w:tr>
    </w:tbl>
    <w:p w14:paraId="2E6F57CA" w14:textId="77777777" w:rsidR="00534411" w:rsidRDefault="00A97B16" w:rsidP="00F35753">
      <w:pPr>
        <w:pStyle w:val="TOCtitle"/>
        <w:sectPr w:rsidR="00534411" w:rsidSect="00D30CCF">
          <w:footerReference w:type="default" r:id="rId8"/>
          <w:headerReference w:type="first" r:id="rId9"/>
          <w:footerReference w:type="first" r:id="rId10"/>
          <w:pgSz w:w="11906" w:h="16838" w:code="9"/>
          <w:pgMar w:top="1134" w:right="567" w:bottom="567" w:left="1985" w:header="567" w:footer="397" w:gutter="0"/>
          <w:cols w:space="708"/>
          <w:titlePg/>
          <w:docGrid w:linePitch="360"/>
        </w:sectPr>
      </w:pPr>
      <w:r>
        <w:lastRenderedPageBreak/>
        <w:br w:type="textWrapping" w:clear="all"/>
      </w:r>
    </w:p>
    <w:p w14:paraId="0087A6F8" w14:textId="4F8DA47C" w:rsidR="00690AD6" w:rsidRPr="0090775D" w:rsidRDefault="00690AD6" w:rsidP="00F35753">
      <w:pPr>
        <w:pStyle w:val="Contents"/>
      </w:pPr>
      <w:r w:rsidRPr="00D750CE">
        <w:lastRenderedPageBreak/>
        <w:t>Contents</w:t>
      </w:r>
    </w:p>
    <w:p w14:paraId="1E83DE6B" w14:textId="1E9B9CF2" w:rsidR="00D3291F" w:rsidRDefault="00ED4661">
      <w:pPr>
        <w:pStyle w:val="TOC1"/>
        <w:rPr>
          <w:rFonts w:eastAsiaTheme="minorEastAsia" w:cstheme="minorBidi"/>
          <w:caps w:val="0"/>
          <w:sz w:val="22"/>
          <w:szCs w:val="22"/>
        </w:rPr>
      </w:pPr>
      <w:r>
        <w:fldChar w:fldCharType="begin"/>
      </w:r>
      <w:r>
        <w:instrText xml:space="preserve"> TOC \o "1-1" \h \z \u </w:instrText>
      </w:r>
      <w:r>
        <w:fldChar w:fldCharType="separate"/>
      </w:r>
      <w:hyperlink w:anchor="_Toc97716029" w:history="1">
        <w:r w:rsidR="00D3291F" w:rsidRPr="004767E0">
          <w:rPr>
            <w:rStyle w:val="Hyperlink"/>
            <w:rFonts w:ascii="Arial Bold" w:hAnsi="Arial Bold"/>
            <w14:scene3d>
              <w14:camera w14:prst="orthographicFront"/>
              <w14:lightRig w14:rig="threePt" w14:dir="t">
                <w14:rot w14:lat="0" w14:lon="0" w14:rev="0"/>
              </w14:lightRig>
            </w14:scene3d>
          </w:rPr>
          <w:t>1.</w:t>
        </w:r>
        <w:r w:rsidR="00D3291F">
          <w:rPr>
            <w:rFonts w:eastAsiaTheme="minorEastAsia" w:cstheme="minorBidi"/>
            <w:caps w:val="0"/>
            <w:sz w:val="22"/>
            <w:szCs w:val="22"/>
          </w:rPr>
          <w:tab/>
        </w:r>
        <w:r w:rsidR="00D3291F" w:rsidRPr="004767E0">
          <w:rPr>
            <w:rStyle w:val="Hyperlink"/>
          </w:rPr>
          <w:t>Executive Summary</w:t>
        </w:r>
        <w:r w:rsidR="00D3291F">
          <w:rPr>
            <w:webHidden/>
          </w:rPr>
          <w:tab/>
        </w:r>
        <w:r w:rsidR="00D3291F">
          <w:rPr>
            <w:webHidden/>
          </w:rPr>
          <w:fldChar w:fldCharType="begin"/>
        </w:r>
        <w:r w:rsidR="00D3291F">
          <w:rPr>
            <w:webHidden/>
          </w:rPr>
          <w:instrText xml:space="preserve"> PAGEREF _Toc97716029 \h </w:instrText>
        </w:r>
        <w:r w:rsidR="00D3291F">
          <w:rPr>
            <w:webHidden/>
          </w:rPr>
        </w:r>
        <w:r w:rsidR="00D3291F">
          <w:rPr>
            <w:webHidden/>
          </w:rPr>
          <w:fldChar w:fldCharType="separate"/>
        </w:r>
        <w:r w:rsidR="0024541A">
          <w:rPr>
            <w:webHidden/>
          </w:rPr>
          <w:t>1</w:t>
        </w:r>
        <w:r w:rsidR="00D3291F">
          <w:rPr>
            <w:webHidden/>
          </w:rPr>
          <w:fldChar w:fldCharType="end"/>
        </w:r>
      </w:hyperlink>
    </w:p>
    <w:p w14:paraId="43F87BF9" w14:textId="6B95792D" w:rsidR="00D3291F" w:rsidRDefault="008403ED">
      <w:pPr>
        <w:pStyle w:val="TOC1"/>
        <w:rPr>
          <w:rFonts w:eastAsiaTheme="minorEastAsia" w:cstheme="minorBidi"/>
          <w:caps w:val="0"/>
          <w:sz w:val="22"/>
          <w:szCs w:val="22"/>
        </w:rPr>
      </w:pPr>
      <w:hyperlink w:anchor="_Toc97716030" w:history="1">
        <w:r w:rsidR="00D3291F" w:rsidRPr="004767E0">
          <w:rPr>
            <w:rStyle w:val="Hyperlink"/>
            <w:rFonts w:ascii="Arial Bold" w:hAnsi="Arial Bold" w:cs="Arial"/>
            <w14:scene3d>
              <w14:camera w14:prst="orthographicFront"/>
              <w14:lightRig w14:rig="threePt" w14:dir="t">
                <w14:rot w14:lat="0" w14:lon="0" w14:rev="0"/>
              </w14:lightRig>
            </w14:scene3d>
          </w:rPr>
          <w:t>1.</w:t>
        </w:r>
        <w:r w:rsidR="00D3291F">
          <w:rPr>
            <w:rFonts w:eastAsiaTheme="minorEastAsia" w:cstheme="minorBidi"/>
            <w:caps w:val="0"/>
            <w:sz w:val="22"/>
            <w:szCs w:val="22"/>
          </w:rPr>
          <w:tab/>
        </w:r>
        <w:r w:rsidR="00D3291F" w:rsidRPr="004767E0">
          <w:rPr>
            <w:rStyle w:val="Hyperlink"/>
            <w:rFonts w:ascii="Arial" w:hAnsi="Arial" w:cs="Arial"/>
          </w:rPr>
          <w:t>Introduction</w:t>
        </w:r>
        <w:r w:rsidR="00D3291F">
          <w:rPr>
            <w:webHidden/>
          </w:rPr>
          <w:tab/>
        </w:r>
        <w:r w:rsidR="00D3291F">
          <w:rPr>
            <w:webHidden/>
          </w:rPr>
          <w:fldChar w:fldCharType="begin"/>
        </w:r>
        <w:r w:rsidR="00D3291F">
          <w:rPr>
            <w:webHidden/>
          </w:rPr>
          <w:instrText xml:space="preserve"> PAGEREF _Toc97716030 \h </w:instrText>
        </w:r>
        <w:r w:rsidR="00D3291F">
          <w:rPr>
            <w:webHidden/>
          </w:rPr>
        </w:r>
        <w:r w:rsidR="00D3291F">
          <w:rPr>
            <w:webHidden/>
          </w:rPr>
          <w:fldChar w:fldCharType="separate"/>
        </w:r>
        <w:r w:rsidR="0024541A">
          <w:rPr>
            <w:webHidden/>
          </w:rPr>
          <w:t>13</w:t>
        </w:r>
        <w:r w:rsidR="00D3291F">
          <w:rPr>
            <w:webHidden/>
          </w:rPr>
          <w:fldChar w:fldCharType="end"/>
        </w:r>
      </w:hyperlink>
    </w:p>
    <w:p w14:paraId="2EB8D5C7" w14:textId="7938B9B5" w:rsidR="00D3291F" w:rsidRDefault="008403ED">
      <w:pPr>
        <w:pStyle w:val="TOC1"/>
        <w:rPr>
          <w:rFonts w:eastAsiaTheme="minorEastAsia" w:cstheme="minorBidi"/>
          <w:caps w:val="0"/>
          <w:sz w:val="22"/>
          <w:szCs w:val="22"/>
        </w:rPr>
      </w:pPr>
      <w:hyperlink w:anchor="_Toc97716031" w:history="1">
        <w:r w:rsidR="00D3291F" w:rsidRPr="004767E0">
          <w:rPr>
            <w:rStyle w:val="Hyperlink"/>
            <w:rFonts w:ascii="Arial Bold" w:hAnsi="Arial Bold" w:cs="Arial"/>
            <w14:scene3d>
              <w14:camera w14:prst="orthographicFront"/>
              <w14:lightRig w14:rig="threePt" w14:dir="t">
                <w14:rot w14:lat="0" w14:lon="0" w14:rev="0"/>
              </w14:lightRig>
            </w14:scene3d>
          </w:rPr>
          <w:t>2.</w:t>
        </w:r>
        <w:r w:rsidR="00D3291F">
          <w:rPr>
            <w:rFonts w:eastAsiaTheme="minorEastAsia" w:cstheme="minorBidi"/>
            <w:caps w:val="0"/>
            <w:sz w:val="22"/>
            <w:szCs w:val="22"/>
          </w:rPr>
          <w:tab/>
        </w:r>
        <w:r w:rsidR="00D3291F" w:rsidRPr="004767E0">
          <w:rPr>
            <w:rStyle w:val="Hyperlink"/>
            <w:rFonts w:ascii="Arial" w:hAnsi="Arial" w:cs="Arial"/>
          </w:rPr>
          <w:t>Housing Market Update</w:t>
        </w:r>
        <w:r w:rsidR="00D3291F">
          <w:rPr>
            <w:webHidden/>
          </w:rPr>
          <w:tab/>
        </w:r>
        <w:r w:rsidR="00D3291F">
          <w:rPr>
            <w:webHidden/>
          </w:rPr>
          <w:fldChar w:fldCharType="begin"/>
        </w:r>
        <w:r w:rsidR="00D3291F">
          <w:rPr>
            <w:webHidden/>
          </w:rPr>
          <w:instrText xml:space="preserve"> PAGEREF _Toc97716031 \h </w:instrText>
        </w:r>
        <w:r w:rsidR="00D3291F">
          <w:rPr>
            <w:webHidden/>
          </w:rPr>
        </w:r>
        <w:r w:rsidR="00D3291F">
          <w:rPr>
            <w:webHidden/>
          </w:rPr>
          <w:fldChar w:fldCharType="separate"/>
        </w:r>
        <w:r w:rsidR="0024541A">
          <w:rPr>
            <w:webHidden/>
          </w:rPr>
          <w:t>14</w:t>
        </w:r>
        <w:r w:rsidR="00D3291F">
          <w:rPr>
            <w:webHidden/>
          </w:rPr>
          <w:fldChar w:fldCharType="end"/>
        </w:r>
      </w:hyperlink>
    </w:p>
    <w:p w14:paraId="03EDF05D" w14:textId="023AEFA8" w:rsidR="00D3291F" w:rsidRDefault="008403ED">
      <w:pPr>
        <w:pStyle w:val="TOC1"/>
        <w:rPr>
          <w:rFonts w:eastAsiaTheme="minorEastAsia" w:cstheme="minorBidi"/>
          <w:caps w:val="0"/>
          <w:sz w:val="22"/>
          <w:szCs w:val="22"/>
        </w:rPr>
      </w:pPr>
      <w:hyperlink w:anchor="_Toc97716032" w:history="1">
        <w:r w:rsidR="00D3291F" w:rsidRPr="004767E0">
          <w:rPr>
            <w:rStyle w:val="Hyperlink"/>
            <w:rFonts w:ascii="Arial Bold" w:hAnsi="Arial Bold" w:cs="Arial"/>
            <w14:scene3d>
              <w14:camera w14:prst="orthographicFront"/>
              <w14:lightRig w14:rig="threePt" w14:dir="t">
                <w14:rot w14:lat="0" w14:lon="0" w14:rev="0"/>
              </w14:lightRig>
            </w14:scene3d>
          </w:rPr>
          <w:t>3.</w:t>
        </w:r>
        <w:r w:rsidR="00D3291F">
          <w:rPr>
            <w:rFonts w:eastAsiaTheme="minorEastAsia" w:cstheme="minorBidi"/>
            <w:caps w:val="0"/>
            <w:sz w:val="22"/>
            <w:szCs w:val="22"/>
          </w:rPr>
          <w:tab/>
        </w:r>
        <w:r w:rsidR="00D3291F" w:rsidRPr="004767E0">
          <w:rPr>
            <w:rStyle w:val="Hyperlink"/>
            <w:rFonts w:ascii="Arial" w:hAnsi="Arial" w:cs="Arial"/>
          </w:rPr>
          <w:t>Demographics</w:t>
        </w:r>
        <w:r w:rsidR="00D3291F">
          <w:rPr>
            <w:webHidden/>
          </w:rPr>
          <w:tab/>
        </w:r>
        <w:r w:rsidR="00D3291F">
          <w:rPr>
            <w:webHidden/>
          </w:rPr>
          <w:fldChar w:fldCharType="begin"/>
        </w:r>
        <w:r w:rsidR="00D3291F">
          <w:rPr>
            <w:webHidden/>
          </w:rPr>
          <w:instrText xml:space="preserve"> PAGEREF _Toc97716032 \h </w:instrText>
        </w:r>
        <w:r w:rsidR="00D3291F">
          <w:rPr>
            <w:webHidden/>
          </w:rPr>
        </w:r>
        <w:r w:rsidR="00D3291F">
          <w:rPr>
            <w:webHidden/>
          </w:rPr>
          <w:fldChar w:fldCharType="separate"/>
        </w:r>
        <w:r w:rsidR="0024541A">
          <w:rPr>
            <w:webHidden/>
          </w:rPr>
          <w:t>23</w:t>
        </w:r>
        <w:r w:rsidR="00D3291F">
          <w:rPr>
            <w:webHidden/>
          </w:rPr>
          <w:fldChar w:fldCharType="end"/>
        </w:r>
      </w:hyperlink>
    </w:p>
    <w:p w14:paraId="5A2AD4AF" w14:textId="27BF17BA" w:rsidR="00D3291F" w:rsidRDefault="008403ED">
      <w:pPr>
        <w:pStyle w:val="TOC1"/>
        <w:rPr>
          <w:rFonts w:eastAsiaTheme="minorEastAsia" w:cstheme="minorBidi"/>
          <w:caps w:val="0"/>
          <w:sz w:val="22"/>
          <w:szCs w:val="22"/>
        </w:rPr>
      </w:pPr>
      <w:hyperlink w:anchor="_Toc97716033" w:history="1">
        <w:r w:rsidR="00D3291F" w:rsidRPr="004767E0">
          <w:rPr>
            <w:rStyle w:val="Hyperlink"/>
            <w:rFonts w:ascii="Arial Bold" w:hAnsi="Arial Bold" w:cs="Arial"/>
            <w14:scene3d>
              <w14:camera w14:prst="orthographicFront"/>
              <w14:lightRig w14:rig="threePt" w14:dir="t">
                <w14:rot w14:lat="0" w14:lon="0" w14:rev="0"/>
              </w14:lightRig>
            </w14:scene3d>
          </w:rPr>
          <w:t>4.</w:t>
        </w:r>
        <w:r w:rsidR="00D3291F">
          <w:rPr>
            <w:rFonts w:eastAsiaTheme="minorEastAsia" w:cstheme="minorBidi"/>
            <w:caps w:val="0"/>
            <w:sz w:val="22"/>
            <w:szCs w:val="22"/>
          </w:rPr>
          <w:tab/>
        </w:r>
        <w:r w:rsidR="00D3291F" w:rsidRPr="004767E0">
          <w:rPr>
            <w:rStyle w:val="Hyperlink"/>
            <w:rFonts w:ascii="Arial" w:hAnsi="Arial" w:cs="Arial"/>
          </w:rPr>
          <w:t>Housing Need</w:t>
        </w:r>
        <w:r w:rsidR="00D3291F">
          <w:rPr>
            <w:webHidden/>
          </w:rPr>
          <w:tab/>
        </w:r>
        <w:r w:rsidR="00D3291F">
          <w:rPr>
            <w:webHidden/>
          </w:rPr>
          <w:fldChar w:fldCharType="begin"/>
        </w:r>
        <w:r w:rsidR="00D3291F">
          <w:rPr>
            <w:webHidden/>
          </w:rPr>
          <w:instrText xml:space="preserve"> PAGEREF _Toc97716033 \h </w:instrText>
        </w:r>
        <w:r w:rsidR="00D3291F">
          <w:rPr>
            <w:webHidden/>
          </w:rPr>
        </w:r>
        <w:r w:rsidR="00D3291F">
          <w:rPr>
            <w:webHidden/>
          </w:rPr>
          <w:fldChar w:fldCharType="separate"/>
        </w:r>
        <w:r w:rsidR="0024541A">
          <w:rPr>
            <w:webHidden/>
          </w:rPr>
          <w:t>37</w:t>
        </w:r>
        <w:r w:rsidR="00D3291F">
          <w:rPr>
            <w:webHidden/>
          </w:rPr>
          <w:fldChar w:fldCharType="end"/>
        </w:r>
      </w:hyperlink>
    </w:p>
    <w:p w14:paraId="382E208E" w14:textId="729BFD44" w:rsidR="00D3291F" w:rsidRDefault="008403ED">
      <w:pPr>
        <w:pStyle w:val="TOC1"/>
        <w:rPr>
          <w:rFonts w:eastAsiaTheme="minorEastAsia" w:cstheme="minorBidi"/>
          <w:caps w:val="0"/>
          <w:sz w:val="22"/>
          <w:szCs w:val="22"/>
        </w:rPr>
      </w:pPr>
      <w:hyperlink w:anchor="_Toc97716034" w:history="1">
        <w:r w:rsidR="00D3291F" w:rsidRPr="004767E0">
          <w:rPr>
            <w:rStyle w:val="Hyperlink"/>
            <w:rFonts w:ascii="Arial Bold" w:hAnsi="Arial Bold" w:cs="Arial"/>
            <w14:scene3d>
              <w14:camera w14:prst="orthographicFront"/>
              <w14:lightRig w14:rig="threePt" w14:dir="t">
                <w14:rot w14:lat="0" w14:lon="0" w14:rev="0"/>
              </w14:lightRig>
            </w14:scene3d>
          </w:rPr>
          <w:t>5.</w:t>
        </w:r>
        <w:r w:rsidR="00D3291F">
          <w:rPr>
            <w:rFonts w:eastAsiaTheme="minorEastAsia" w:cstheme="minorBidi"/>
            <w:caps w:val="0"/>
            <w:sz w:val="22"/>
            <w:szCs w:val="22"/>
          </w:rPr>
          <w:tab/>
        </w:r>
        <w:r w:rsidR="00D3291F" w:rsidRPr="004767E0">
          <w:rPr>
            <w:rStyle w:val="Hyperlink"/>
            <w:rFonts w:ascii="Arial" w:hAnsi="Arial" w:cs="Arial"/>
          </w:rPr>
          <w:t>Labour Supply and Economic Led HOusing Need</w:t>
        </w:r>
        <w:r w:rsidR="00D3291F">
          <w:rPr>
            <w:webHidden/>
          </w:rPr>
          <w:tab/>
        </w:r>
        <w:r w:rsidR="00D3291F">
          <w:rPr>
            <w:webHidden/>
          </w:rPr>
          <w:fldChar w:fldCharType="begin"/>
        </w:r>
        <w:r w:rsidR="00D3291F">
          <w:rPr>
            <w:webHidden/>
          </w:rPr>
          <w:instrText xml:space="preserve"> PAGEREF _Toc97716034 \h </w:instrText>
        </w:r>
        <w:r w:rsidR="00D3291F">
          <w:rPr>
            <w:webHidden/>
          </w:rPr>
        </w:r>
        <w:r w:rsidR="00D3291F">
          <w:rPr>
            <w:webHidden/>
          </w:rPr>
          <w:fldChar w:fldCharType="separate"/>
        </w:r>
        <w:r w:rsidR="0024541A">
          <w:rPr>
            <w:webHidden/>
          </w:rPr>
          <w:t>49</w:t>
        </w:r>
        <w:r w:rsidR="00D3291F">
          <w:rPr>
            <w:webHidden/>
          </w:rPr>
          <w:fldChar w:fldCharType="end"/>
        </w:r>
      </w:hyperlink>
    </w:p>
    <w:p w14:paraId="5CA3BF67" w14:textId="4D776599" w:rsidR="00D3291F" w:rsidRDefault="008403ED">
      <w:pPr>
        <w:pStyle w:val="TOC1"/>
        <w:rPr>
          <w:rFonts w:eastAsiaTheme="minorEastAsia" w:cstheme="minorBidi"/>
          <w:caps w:val="0"/>
          <w:sz w:val="22"/>
          <w:szCs w:val="22"/>
        </w:rPr>
      </w:pPr>
      <w:hyperlink w:anchor="_Toc97716035" w:history="1">
        <w:r w:rsidR="00D3291F" w:rsidRPr="004767E0">
          <w:rPr>
            <w:rStyle w:val="Hyperlink"/>
            <w:rFonts w:ascii="Arial Bold" w:hAnsi="Arial Bold" w:cs="Arial"/>
            <w14:scene3d>
              <w14:camera w14:prst="orthographicFront"/>
              <w14:lightRig w14:rig="threePt" w14:dir="t">
                <w14:rot w14:lat="0" w14:lon="0" w14:rev="0"/>
              </w14:lightRig>
            </w14:scene3d>
          </w:rPr>
          <w:t>6.</w:t>
        </w:r>
        <w:r w:rsidR="00D3291F">
          <w:rPr>
            <w:rFonts w:eastAsiaTheme="minorEastAsia" w:cstheme="minorBidi"/>
            <w:caps w:val="0"/>
            <w:sz w:val="22"/>
            <w:szCs w:val="22"/>
          </w:rPr>
          <w:tab/>
        </w:r>
        <w:r w:rsidR="00D3291F" w:rsidRPr="004767E0">
          <w:rPr>
            <w:rStyle w:val="Hyperlink"/>
            <w:rFonts w:ascii="Arial" w:hAnsi="Arial" w:cs="Arial"/>
          </w:rPr>
          <w:t>Affordable Housing Need</w:t>
        </w:r>
        <w:r w:rsidR="00D3291F">
          <w:rPr>
            <w:webHidden/>
          </w:rPr>
          <w:tab/>
        </w:r>
        <w:r w:rsidR="00D3291F">
          <w:rPr>
            <w:webHidden/>
          </w:rPr>
          <w:fldChar w:fldCharType="begin"/>
        </w:r>
        <w:r w:rsidR="00D3291F">
          <w:rPr>
            <w:webHidden/>
          </w:rPr>
          <w:instrText xml:space="preserve"> PAGEREF _Toc97716035 \h </w:instrText>
        </w:r>
        <w:r w:rsidR="00D3291F">
          <w:rPr>
            <w:webHidden/>
          </w:rPr>
        </w:r>
        <w:r w:rsidR="00D3291F">
          <w:rPr>
            <w:webHidden/>
          </w:rPr>
          <w:fldChar w:fldCharType="separate"/>
        </w:r>
        <w:r w:rsidR="0024541A">
          <w:rPr>
            <w:webHidden/>
          </w:rPr>
          <w:t>57</w:t>
        </w:r>
        <w:r w:rsidR="00D3291F">
          <w:rPr>
            <w:webHidden/>
          </w:rPr>
          <w:fldChar w:fldCharType="end"/>
        </w:r>
      </w:hyperlink>
    </w:p>
    <w:p w14:paraId="10F2A7C4" w14:textId="17FE8F8B" w:rsidR="00D3291F" w:rsidRDefault="008403ED">
      <w:pPr>
        <w:pStyle w:val="TOC1"/>
        <w:rPr>
          <w:rFonts w:eastAsiaTheme="minorEastAsia" w:cstheme="minorBidi"/>
          <w:caps w:val="0"/>
          <w:sz w:val="22"/>
          <w:szCs w:val="22"/>
        </w:rPr>
      </w:pPr>
      <w:hyperlink w:anchor="_Toc97716036" w:history="1">
        <w:r w:rsidR="00D3291F" w:rsidRPr="004767E0">
          <w:rPr>
            <w:rStyle w:val="Hyperlink"/>
            <w:rFonts w:ascii="Arial Bold" w:hAnsi="Arial Bold" w:cs="Arial"/>
            <w14:scene3d>
              <w14:camera w14:prst="orthographicFront"/>
              <w14:lightRig w14:rig="threePt" w14:dir="t">
                <w14:rot w14:lat="0" w14:lon="0" w14:rev="0"/>
              </w14:lightRig>
            </w14:scene3d>
          </w:rPr>
          <w:t>7.</w:t>
        </w:r>
        <w:r w:rsidR="00D3291F">
          <w:rPr>
            <w:rFonts w:eastAsiaTheme="minorEastAsia" w:cstheme="minorBidi"/>
            <w:caps w:val="0"/>
            <w:sz w:val="22"/>
            <w:szCs w:val="22"/>
          </w:rPr>
          <w:tab/>
        </w:r>
        <w:r w:rsidR="00D3291F" w:rsidRPr="004767E0">
          <w:rPr>
            <w:rStyle w:val="Hyperlink"/>
            <w:rFonts w:ascii="Arial" w:hAnsi="Arial" w:cs="Arial"/>
          </w:rPr>
          <w:t>Housing Mix</w:t>
        </w:r>
        <w:r w:rsidR="00D3291F">
          <w:rPr>
            <w:webHidden/>
          </w:rPr>
          <w:tab/>
        </w:r>
        <w:r w:rsidR="00D3291F">
          <w:rPr>
            <w:webHidden/>
          </w:rPr>
          <w:fldChar w:fldCharType="begin"/>
        </w:r>
        <w:r w:rsidR="00D3291F">
          <w:rPr>
            <w:webHidden/>
          </w:rPr>
          <w:instrText xml:space="preserve"> PAGEREF _Toc97716036 \h </w:instrText>
        </w:r>
        <w:r w:rsidR="00D3291F">
          <w:rPr>
            <w:webHidden/>
          </w:rPr>
        </w:r>
        <w:r w:rsidR="00D3291F">
          <w:rPr>
            <w:webHidden/>
          </w:rPr>
          <w:fldChar w:fldCharType="separate"/>
        </w:r>
        <w:r w:rsidR="0024541A">
          <w:rPr>
            <w:webHidden/>
          </w:rPr>
          <w:t>94</w:t>
        </w:r>
        <w:r w:rsidR="00D3291F">
          <w:rPr>
            <w:webHidden/>
          </w:rPr>
          <w:fldChar w:fldCharType="end"/>
        </w:r>
      </w:hyperlink>
    </w:p>
    <w:p w14:paraId="481AB968" w14:textId="66A50218" w:rsidR="00D3291F" w:rsidRDefault="008403ED">
      <w:pPr>
        <w:pStyle w:val="TOC1"/>
        <w:rPr>
          <w:rFonts w:eastAsiaTheme="minorEastAsia" w:cstheme="minorBidi"/>
          <w:caps w:val="0"/>
          <w:sz w:val="22"/>
          <w:szCs w:val="22"/>
        </w:rPr>
      </w:pPr>
      <w:hyperlink w:anchor="_Toc97716037" w:history="1">
        <w:r w:rsidR="00D3291F" w:rsidRPr="004767E0">
          <w:rPr>
            <w:rStyle w:val="Hyperlink"/>
            <w:rFonts w:ascii="Arial Bold" w:hAnsi="Arial Bold" w:cs="Arial"/>
            <w14:scene3d>
              <w14:camera w14:prst="orthographicFront"/>
              <w14:lightRig w14:rig="threePt" w14:dir="t">
                <w14:rot w14:lat="0" w14:lon="0" w14:rev="0"/>
              </w14:lightRig>
            </w14:scene3d>
          </w:rPr>
          <w:t>8.</w:t>
        </w:r>
        <w:r w:rsidR="00D3291F">
          <w:rPr>
            <w:rFonts w:eastAsiaTheme="minorEastAsia" w:cstheme="minorBidi"/>
            <w:caps w:val="0"/>
            <w:sz w:val="22"/>
            <w:szCs w:val="22"/>
          </w:rPr>
          <w:tab/>
        </w:r>
        <w:r w:rsidR="00D3291F" w:rsidRPr="004767E0">
          <w:rPr>
            <w:rStyle w:val="Hyperlink"/>
            <w:rFonts w:ascii="Arial" w:hAnsi="Arial" w:cs="Arial"/>
          </w:rPr>
          <w:t>Older People and those with a disability</w:t>
        </w:r>
        <w:r w:rsidR="00D3291F">
          <w:rPr>
            <w:webHidden/>
          </w:rPr>
          <w:tab/>
        </w:r>
        <w:r w:rsidR="00D3291F">
          <w:rPr>
            <w:webHidden/>
          </w:rPr>
          <w:fldChar w:fldCharType="begin"/>
        </w:r>
        <w:r w:rsidR="00D3291F">
          <w:rPr>
            <w:webHidden/>
          </w:rPr>
          <w:instrText xml:space="preserve"> PAGEREF _Toc97716037 \h </w:instrText>
        </w:r>
        <w:r w:rsidR="00D3291F">
          <w:rPr>
            <w:webHidden/>
          </w:rPr>
        </w:r>
        <w:r w:rsidR="00D3291F">
          <w:rPr>
            <w:webHidden/>
          </w:rPr>
          <w:fldChar w:fldCharType="separate"/>
        </w:r>
        <w:r w:rsidR="0024541A">
          <w:rPr>
            <w:webHidden/>
          </w:rPr>
          <w:t>112</w:t>
        </w:r>
        <w:r w:rsidR="00D3291F">
          <w:rPr>
            <w:webHidden/>
          </w:rPr>
          <w:fldChar w:fldCharType="end"/>
        </w:r>
      </w:hyperlink>
    </w:p>
    <w:p w14:paraId="4447B541" w14:textId="4C745490" w:rsidR="00D3291F" w:rsidRDefault="008403ED">
      <w:pPr>
        <w:pStyle w:val="TOC1"/>
        <w:rPr>
          <w:rFonts w:eastAsiaTheme="minorEastAsia" w:cstheme="minorBidi"/>
          <w:caps w:val="0"/>
          <w:sz w:val="22"/>
          <w:szCs w:val="22"/>
        </w:rPr>
      </w:pPr>
      <w:hyperlink w:anchor="_Toc97716038" w:history="1">
        <w:r w:rsidR="00D3291F" w:rsidRPr="004767E0">
          <w:rPr>
            <w:rStyle w:val="Hyperlink"/>
            <w:rFonts w:ascii="Arial Bold" w:hAnsi="Arial Bold" w:cs="Arial"/>
            <w14:scene3d>
              <w14:camera w14:prst="orthographicFront"/>
              <w14:lightRig w14:rig="threePt" w14:dir="t">
                <w14:rot w14:lat="0" w14:lon="0" w14:rev="0"/>
              </w14:lightRig>
            </w14:scene3d>
          </w:rPr>
          <w:t>9.</w:t>
        </w:r>
        <w:r w:rsidR="00D3291F">
          <w:rPr>
            <w:rFonts w:eastAsiaTheme="minorEastAsia" w:cstheme="minorBidi"/>
            <w:caps w:val="0"/>
            <w:sz w:val="22"/>
            <w:szCs w:val="22"/>
          </w:rPr>
          <w:tab/>
        </w:r>
        <w:r w:rsidR="00D3291F" w:rsidRPr="004767E0">
          <w:rPr>
            <w:rStyle w:val="Hyperlink"/>
            <w:rFonts w:ascii="Arial" w:hAnsi="Arial" w:cs="Arial"/>
          </w:rPr>
          <w:t>Specific Groups</w:t>
        </w:r>
        <w:r w:rsidR="00D3291F">
          <w:rPr>
            <w:webHidden/>
          </w:rPr>
          <w:tab/>
        </w:r>
        <w:r w:rsidR="00D3291F">
          <w:rPr>
            <w:webHidden/>
          </w:rPr>
          <w:fldChar w:fldCharType="begin"/>
        </w:r>
        <w:r w:rsidR="00D3291F">
          <w:rPr>
            <w:webHidden/>
          </w:rPr>
          <w:instrText xml:space="preserve"> PAGEREF _Toc97716038 \h </w:instrText>
        </w:r>
        <w:r w:rsidR="00D3291F">
          <w:rPr>
            <w:webHidden/>
          </w:rPr>
        </w:r>
        <w:r w:rsidR="00D3291F">
          <w:rPr>
            <w:webHidden/>
          </w:rPr>
          <w:fldChar w:fldCharType="separate"/>
        </w:r>
        <w:r w:rsidR="0024541A">
          <w:rPr>
            <w:webHidden/>
          </w:rPr>
          <w:t>134</w:t>
        </w:r>
        <w:r w:rsidR="00D3291F">
          <w:rPr>
            <w:webHidden/>
          </w:rPr>
          <w:fldChar w:fldCharType="end"/>
        </w:r>
      </w:hyperlink>
    </w:p>
    <w:p w14:paraId="0E015CBA" w14:textId="2B676FA1" w:rsidR="00D3291F" w:rsidRDefault="008403ED">
      <w:pPr>
        <w:pStyle w:val="TOC1"/>
        <w:rPr>
          <w:rFonts w:eastAsiaTheme="minorEastAsia" w:cstheme="minorBidi"/>
          <w:caps w:val="0"/>
          <w:sz w:val="22"/>
          <w:szCs w:val="22"/>
        </w:rPr>
      </w:pPr>
      <w:hyperlink w:anchor="_Toc97716039" w:history="1">
        <w:r w:rsidR="00D3291F" w:rsidRPr="004767E0">
          <w:rPr>
            <w:rStyle w:val="Hyperlink"/>
            <w:rFonts w:ascii="Arial Bold" w:hAnsi="Arial Bold" w:cs="Arial"/>
            <w14:scene3d>
              <w14:camera w14:prst="orthographicFront"/>
              <w14:lightRig w14:rig="threePt" w14:dir="t">
                <w14:rot w14:lat="0" w14:lon="0" w14:rev="0"/>
              </w14:lightRig>
            </w14:scene3d>
          </w:rPr>
          <w:t>10.</w:t>
        </w:r>
        <w:r w:rsidR="00D3291F">
          <w:rPr>
            <w:rFonts w:eastAsiaTheme="minorEastAsia" w:cstheme="minorBidi"/>
            <w:caps w:val="0"/>
            <w:sz w:val="22"/>
            <w:szCs w:val="22"/>
          </w:rPr>
          <w:tab/>
        </w:r>
        <w:r w:rsidR="00D3291F" w:rsidRPr="004767E0">
          <w:rPr>
            <w:rStyle w:val="Hyperlink"/>
            <w:rFonts w:ascii="Arial" w:hAnsi="Arial" w:cs="Arial"/>
          </w:rPr>
          <w:t>Commercial Property Market</w:t>
        </w:r>
        <w:r w:rsidR="00D3291F">
          <w:rPr>
            <w:webHidden/>
          </w:rPr>
          <w:tab/>
        </w:r>
        <w:r w:rsidR="00D3291F">
          <w:rPr>
            <w:webHidden/>
          </w:rPr>
          <w:fldChar w:fldCharType="begin"/>
        </w:r>
        <w:r w:rsidR="00D3291F">
          <w:rPr>
            <w:webHidden/>
          </w:rPr>
          <w:instrText xml:space="preserve"> PAGEREF _Toc97716039 \h </w:instrText>
        </w:r>
        <w:r w:rsidR="00D3291F">
          <w:rPr>
            <w:webHidden/>
          </w:rPr>
        </w:r>
        <w:r w:rsidR="00D3291F">
          <w:rPr>
            <w:webHidden/>
          </w:rPr>
          <w:fldChar w:fldCharType="separate"/>
        </w:r>
        <w:r w:rsidR="0024541A">
          <w:rPr>
            <w:webHidden/>
          </w:rPr>
          <w:t>153</w:t>
        </w:r>
        <w:r w:rsidR="00D3291F">
          <w:rPr>
            <w:webHidden/>
          </w:rPr>
          <w:fldChar w:fldCharType="end"/>
        </w:r>
      </w:hyperlink>
    </w:p>
    <w:p w14:paraId="654F0470" w14:textId="36492723" w:rsidR="00D3291F" w:rsidRDefault="008403ED">
      <w:pPr>
        <w:pStyle w:val="TOC1"/>
        <w:rPr>
          <w:rFonts w:eastAsiaTheme="minorEastAsia" w:cstheme="minorBidi"/>
          <w:caps w:val="0"/>
          <w:sz w:val="22"/>
          <w:szCs w:val="22"/>
        </w:rPr>
      </w:pPr>
      <w:hyperlink w:anchor="_Toc97716040" w:history="1">
        <w:r w:rsidR="00D3291F" w:rsidRPr="004767E0">
          <w:rPr>
            <w:rStyle w:val="Hyperlink"/>
            <w:rFonts w:ascii="Arial Bold" w:hAnsi="Arial Bold" w:cs="Arial"/>
            <w14:scene3d>
              <w14:camera w14:prst="orthographicFront"/>
              <w14:lightRig w14:rig="threePt" w14:dir="t">
                <w14:rot w14:lat="0" w14:lon="0" w14:rev="0"/>
              </w14:lightRig>
            </w14:scene3d>
          </w:rPr>
          <w:t>11.</w:t>
        </w:r>
        <w:r w:rsidR="00D3291F">
          <w:rPr>
            <w:rFonts w:eastAsiaTheme="minorEastAsia" w:cstheme="minorBidi"/>
            <w:caps w:val="0"/>
            <w:sz w:val="22"/>
            <w:szCs w:val="22"/>
          </w:rPr>
          <w:tab/>
        </w:r>
        <w:r w:rsidR="00D3291F" w:rsidRPr="004767E0">
          <w:rPr>
            <w:rStyle w:val="Hyperlink"/>
            <w:rFonts w:ascii="Arial" w:hAnsi="Arial" w:cs="Arial"/>
          </w:rPr>
          <w:t>Employment Growth Forecast</w:t>
        </w:r>
        <w:r w:rsidR="00D3291F">
          <w:rPr>
            <w:webHidden/>
          </w:rPr>
          <w:tab/>
        </w:r>
        <w:r w:rsidR="00D3291F">
          <w:rPr>
            <w:webHidden/>
          </w:rPr>
          <w:fldChar w:fldCharType="begin"/>
        </w:r>
        <w:r w:rsidR="00D3291F">
          <w:rPr>
            <w:webHidden/>
          </w:rPr>
          <w:instrText xml:space="preserve"> PAGEREF _Toc97716040 \h </w:instrText>
        </w:r>
        <w:r w:rsidR="00D3291F">
          <w:rPr>
            <w:webHidden/>
          </w:rPr>
        </w:r>
        <w:r w:rsidR="00D3291F">
          <w:rPr>
            <w:webHidden/>
          </w:rPr>
          <w:fldChar w:fldCharType="separate"/>
        </w:r>
        <w:r w:rsidR="0024541A">
          <w:rPr>
            <w:webHidden/>
          </w:rPr>
          <w:t>175</w:t>
        </w:r>
        <w:r w:rsidR="00D3291F">
          <w:rPr>
            <w:webHidden/>
          </w:rPr>
          <w:fldChar w:fldCharType="end"/>
        </w:r>
      </w:hyperlink>
    </w:p>
    <w:p w14:paraId="236A37B9" w14:textId="5A17F4EA" w:rsidR="00D3291F" w:rsidRDefault="008403ED">
      <w:pPr>
        <w:pStyle w:val="TOC1"/>
        <w:rPr>
          <w:rFonts w:eastAsiaTheme="minorEastAsia" w:cstheme="minorBidi"/>
          <w:caps w:val="0"/>
          <w:sz w:val="22"/>
          <w:szCs w:val="22"/>
        </w:rPr>
      </w:pPr>
      <w:hyperlink w:anchor="_Toc97716041" w:history="1">
        <w:r w:rsidR="00D3291F" w:rsidRPr="004767E0">
          <w:rPr>
            <w:rStyle w:val="Hyperlink"/>
            <w:rFonts w:ascii="Arial Bold" w:hAnsi="Arial Bold" w:cs="Arial"/>
            <w14:scene3d>
              <w14:camera w14:prst="orthographicFront"/>
              <w14:lightRig w14:rig="threePt" w14:dir="t">
                <w14:rot w14:lat="0" w14:lon="0" w14:rev="0"/>
              </w14:lightRig>
            </w14:scene3d>
          </w:rPr>
          <w:t>12.</w:t>
        </w:r>
        <w:r w:rsidR="00D3291F">
          <w:rPr>
            <w:rFonts w:eastAsiaTheme="minorEastAsia" w:cstheme="minorBidi"/>
            <w:caps w:val="0"/>
            <w:sz w:val="22"/>
            <w:szCs w:val="22"/>
          </w:rPr>
          <w:tab/>
        </w:r>
        <w:r w:rsidR="00D3291F" w:rsidRPr="004767E0">
          <w:rPr>
            <w:rStyle w:val="Hyperlink"/>
            <w:rFonts w:ascii="Arial" w:hAnsi="Arial" w:cs="Arial"/>
          </w:rPr>
          <w:t>Employment Land Needs</w:t>
        </w:r>
        <w:r w:rsidR="00D3291F">
          <w:rPr>
            <w:webHidden/>
          </w:rPr>
          <w:tab/>
        </w:r>
        <w:r w:rsidR="00D3291F">
          <w:rPr>
            <w:webHidden/>
          </w:rPr>
          <w:fldChar w:fldCharType="begin"/>
        </w:r>
        <w:r w:rsidR="00D3291F">
          <w:rPr>
            <w:webHidden/>
          </w:rPr>
          <w:instrText xml:space="preserve"> PAGEREF _Toc97716041 \h </w:instrText>
        </w:r>
        <w:r w:rsidR="00D3291F">
          <w:rPr>
            <w:webHidden/>
          </w:rPr>
        </w:r>
        <w:r w:rsidR="00D3291F">
          <w:rPr>
            <w:webHidden/>
          </w:rPr>
          <w:fldChar w:fldCharType="separate"/>
        </w:r>
        <w:r w:rsidR="0024541A">
          <w:rPr>
            <w:webHidden/>
          </w:rPr>
          <w:t>181</w:t>
        </w:r>
        <w:r w:rsidR="00D3291F">
          <w:rPr>
            <w:webHidden/>
          </w:rPr>
          <w:fldChar w:fldCharType="end"/>
        </w:r>
      </w:hyperlink>
    </w:p>
    <w:p w14:paraId="3BAEEE24" w14:textId="274F2CA7" w:rsidR="00690AD6" w:rsidRDefault="00ED4661" w:rsidP="00F35753">
      <w:r>
        <w:fldChar w:fldCharType="end"/>
      </w:r>
    </w:p>
    <w:p w14:paraId="40F2BC7C" w14:textId="77777777" w:rsidR="00690AD6" w:rsidRDefault="00690AD6" w:rsidP="00F35753">
      <w:pPr>
        <w:pStyle w:val="Normalbeforebullet"/>
      </w:pPr>
      <w:r>
        <w:t>APPENDICES</w:t>
      </w:r>
    </w:p>
    <w:p w14:paraId="22705F91" w14:textId="2B0031D0" w:rsidR="00472D63" w:rsidRDefault="00F762FD">
      <w:pPr>
        <w:pStyle w:val="TOC1"/>
        <w:rPr>
          <w:rFonts w:eastAsiaTheme="minorEastAsia" w:cstheme="minorBidi"/>
          <w:caps w:val="0"/>
          <w:sz w:val="22"/>
          <w:szCs w:val="22"/>
        </w:rPr>
      </w:pPr>
      <w:r>
        <w:rPr>
          <w:caps w:val="0"/>
        </w:rPr>
        <w:fldChar w:fldCharType="begin"/>
      </w:r>
      <w:r>
        <w:rPr>
          <w:caps w:val="0"/>
        </w:rPr>
        <w:instrText xml:space="preserve"> TOC \n \h \z \t "Heading Appendices,1" </w:instrText>
      </w:r>
      <w:r>
        <w:rPr>
          <w:caps w:val="0"/>
        </w:rPr>
        <w:fldChar w:fldCharType="separate"/>
      </w:r>
      <w:hyperlink w:anchor="_Toc96373713" w:history="1">
        <w:r w:rsidR="00472D63" w:rsidRPr="00C94FD4">
          <w:rPr>
            <w:rStyle w:val="Hyperlink"/>
            <w:rFonts w:ascii="Arial" w:hAnsi="Arial" w:cs="Arial"/>
          </w:rPr>
          <w:t>A1.</w:t>
        </w:r>
        <w:r w:rsidR="00472D63">
          <w:rPr>
            <w:rFonts w:eastAsiaTheme="minorEastAsia" w:cstheme="minorBidi"/>
            <w:caps w:val="0"/>
            <w:sz w:val="22"/>
            <w:szCs w:val="22"/>
          </w:rPr>
          <w:tab/>
        </w:r>
        <w:r w:rsidR="00472D63" w:rsidRPr="00C94FD4">
          <w:rPr>
            <w:rStyle w:val="Hyperlink"/>
            <w:rFonts w:ascii="Arial" w:hAnsi="Arial" w:cs="Arial"/>
          </w:rPr>
          <w:t>Infrastructure Constrained Scenario – 555 dpa</w:t>
        </w:r>
      </w:hyperlink>
    </w:p>
    <w:p w14:paraId="270F00AC" w14:textId="4C0EF50C" w:rsidR="00814030" w:rsidRDefault="00F762FD" w:rsidP="00F35753">
      <w:pPr>
        <w:pStyle w:val="Normalbeforebullet"/>
      </w:pPr>
      <w:r>
        <w:rPr>
          <w:caps/>
          <w:noProof/>
        </w:rPr>
        <w:fldChar w:fldCharType="end"/>
      </w:r>
    </w:p>
    <w:p w14:paraId="059987D3" w14:textId="528D1CC1" w:rsidR="00690AD6" w:rsidRPr="005D03FE" w:rsidRDefault="00360825" w:rsidP="00586065">
      <w:pPr>
        <w:pStyle w:val="Heading1"/>
      </w:pPr>
      <w:bookmarkStart w:id="0" w:name="_Toc97716029"/>
      <w:r>
        <w:rPr>
          <w:noProof/>
        </w:rPr>
        <w:lastRenderedPageBreak/>
        <w:t>Executive Summary</w:t>
      </w:r>
      <w:bookmarkEnd w:id="0"/>
    </w:p>
    <w:p w14:paraId="0B9AD741" w14:textId="1189D490"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Chichester District Council commissioned Iceni Projects and Justin Gardner Consulting to prepare this update to the Housing &amp; Economic Development Needs Assessment (“HEDNA”). This work was most recently updated by GL Hearn in January 2018</w:t>
      </w:r>
      <w:r w:rsidR="00E02A3B">
        <w:rPr>
          <w:rFonts w:ascii="Arial" w:hAnsi="Arial" w:cs="Arial"/>
          <w:sz w:val="20"/>
          <w:szCs w:val="20"/>
        </w:rPr>
        <w:t>, August 2018</w:t>
      </w:r>
      <w:r w:rsidRPr="00DE1AA1">
        <w:rPr>
          <w:rFonts w:ascii="Arial" w:hAnsi="Arial" w:cs="Arial"/>
          <w:sz w:val="20"/>
          <w:szCs w:val="20"/>
        </w:rPr>
        <w:t xml:space="preserve"> and September 2020.</w:t>
      </w:r>
    </w:p>
    <w:p w14:paraId="4E40A005" w14:textId="076B853A"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As an update report this work is not a full HEDNA but a targeted review of the main outputs. These include, updating the housing market, assessing housing need, calculating affordable housing need, the need for older persons housing and other groups.</w:t>
      </w:r>
      <w:r>
        <w:rPr>
          <w:rFonts w:ascii="Arial" w:hAnsi="Arial" w:cs="Arial"/>
          <w:sz w:val="20"/>
          <w:szCs w:val="20"/>
        </w:rPr>
        <w:t xml:space="preserve"> </w:t>
      </w:r>
      <w:r w:rsidRPr="00DE1AA1">
        <w:rPr>
          <w:rFonts w:ascii="Arial" w:hAnsi="Arial" w:cs="Arial"/>
          <w:sz w:val="20"/>
          <w:szCs w:val="20"/>
        </w:rPr>
        <w:t xml:space="preserve">On the economic side the main outputs are  updated economic forecasts, </w:t>
      </w:r>
      <w:r w:rsidR="00935DAA">
        <w:rPr>
          <w:rFonts w:ascii="Arial" w:hAnsi="Arial" w:cs="Arial"/>
          <w:sz w:val="20"/>
          <w:szCs w:val="20"/>
        </w:rPr>
        <w:t xml:space="preserve"> a </w:t>
      </w:r>
      <w:r w:rsidRPr="00DE1AA1">
        <w:rPr>
          <w:rFonts w:ascii="Arial" w:hAnsi="Arial" w:cs="Arial"/>
          <w:sz w:val="20"/>
          <w:szCs w:val="20"/>
        </w:rPr>
        <w:t>review</w:t>
      </w:r>
      <w:r w:rsidR="00935DAA">
        <w:rPr>
          <w:rFonts w:ascii="Arial" w:hAnsi="Arial" w:cs="Arial"/>
          <w:sz w:val="20"/>
          <w:szCs w:val="20"/>
        </w:rPr>
        <w:t xml:space="preserve"> of </w:t>
      </w:r>
      <w:r w:rsidRPr="00DE1AA1">
        <w:rPr>
          <w:rFonts w:ascii="Arial" w:hAnsi="Arial" w:cs="Arial"/>
          <w:sz w:val="20"/>
          <w:szCs w:val="20"/>
        </w:rPr>
        <w:t xml:space="preserve"> the commercial property market, and updat</w:t>
      </w:r>
      <w:r w:rsidR="00935DAA">
        <w:rPr>
          <w:rFonts w:ascii="Arial" w:hAnsi="Arial" w:cs="Arial"/>
          <w:sz w:val="20"/>
          <w:szCs w:val="20"/>
        </w:rPr>
        <w:t>ed</w:t>
      </w:r>
      <w:r w:rsidRPr="00DE1AA1">
        <w:rPr>
          <w:rFonts w:ascii="Arial" w:hAnsi="Arial" w:cs="Arial"/>
          <w:sz w:val="20"/>
          <w:szCs w:val="20"/>
        </w:rPr>
        <w:t xml:space="preserve">  employment space calculations. Much of the previous HEDNA remains relevant including HMA geographies and should be cross referenced with this report as and when necessary.</w:t>
      </w:r>
    </w:p>
    <w:p w14:paraId="2047BDA1" w14:textId="77777777" w:rsidR="00360825" w:rsidRPr="00D556DB" w:rsidRDefault="00360825" w:rsidP="00360825">
      <w:pPr>
        <w:pStyle w:val="Heading2"/>
        <w:rPr>
          <w:rFonts w:ascii="Arial" w:hAnsi="Arial" w:cs="Arial"/>
        </w:rPr>
      </w:pPr>
      <w:r w:rsidRPr="00D556DB">
        <w:rPr>
          <w:rFonts w:ascii="Arial" w:hAnsi="Arial" w:cs="Arial"/>
        </w:rPr>
        <w:t>Housing Market</w:t>
      </w:r>
    </w:p>
    <w:p w14:paraId="7B428CD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median house price in Chichester so far in 2021 has been £415,000. Typically prices are in line with the regional and above the national average. </w:t>
      </w:r>
    </w:p>
    <w:p w14:paraId="432245F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There is significant variation in house prices across the district with the highest prices are found in the north of the district. The lowest prices can be found in Chichester</w:t>
      </w:r>
      <w:r>
        <w:rPr>
          <w:rFonts w:ascii="Arial" w:hAnsi="Arial" w:cs="Arial"/>
          <w:sz w:val="20"/>
          <w:szCs w:val="20"/>
        </w:rPr>
        <w:t xml:space="preserve"> </w:t>
      </w:r>
      <w:r w:rsidRPr="00DE1AA1">
        <w:rPr>
          <w:rFonts w:ascii="Arial" w:hAnsi="Arial" w:cs="Arial"/>
          <w:sz w:val="20"/>
          <w:szCs w:val="20"/>
        </w:rPr>
        <w:t>City.</w:t>
      </w:r>
    </w:p>
    <w:p w14:paraId="14E3B6C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With the exception of semi-detached the median house price across all other types of homes were higher in Chichester than the South East in 2020. </w:t>
      </w:r>
    </w:p>
    <w:p w14:paraId="7EE7CF26"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Median house prices in the district are now 14 times the median earnings of those working in the district and 12.5 times the median earnings of those living in the district. This means that without considerable equity there is likely to significant constraints on people being able to access the sales market.</w:t>
      </w:r>
    </w:p>
    <w:p w14:paraId="1E02E35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Transactions in the district are still well below the pre-2008 recession peak. It is also clear that the numbers of homes being sold has been falling since 2014. </w:t>
      </w:r>
    </w:p>
    <w:p w14:paraId="6FD91251"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Local agents have reported that there has been a lack of supply as people have been unable and unwilling to move. This includes a period in 2020 when lockdown stopped homes being viewed.</w:t>
      </w:r>
    </w:p>
    <w:p w14:paraId="75A09BB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the last six years completions have averaged around 590 dwellings per annum. In the most recent year they totalled 530 dwellings</w:t>
      </w:r>
    </w:p>
    <w:p w14:paraId="2D82CA12"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the year to March 2021 median monthly rents in Chichester were £900. There is relative parity between the district and regional figures for all sizes of rental units and these are above the national average.</w:t>
      </w:r>
    </w:p>
    <w:p w14:paraId="0D8EE17E"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Since 2015 median rents have increased by around 5%. This compares to around 16% in the South East and 22% nationally.</w:t>
      </w:r>
    </w:p>
    <w:p w14:paraId="3D6D6728" w14:textId="77777777" w:rsidR="00360825" w:rsidRPr="00D556DB" w:rsidRDefault="00360825" w:rsidP="00360825">
      <w:pPr>
        <w:pStyle w:val="Heading2"/>
        <w:rPr>
          <w:rFonts w:ascii="Arial" w:hAnsi="Arial" w:cs="Arial"/>
        </w:rPr>
      </w:pPr>
      <w:r w:rsidRPr="00D556DB">
        <w:rPr>
          <w:rFonts w:ascii="Arial" w:hAnsi="Arial" w:cs="Arial"/>
        </w:rPr>
        <w:t>Demographics</w:t>
      </w:r>
    </w:p>
    <w:p w14:paraId="291B2ED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Analysis has been undertaken to consider demographic trends, in particular looking at past trends in population growth and future projections. The analysis draws on the 2018-based subnational </w:t>
      </w:r>
      <w:r w:rsidRPr="00DE1AA1">
        <w:rPr>
          <w:rFonts w:ascii="Arial" w:hAnsi="Arial" w:cs="Arial"/>
          <w:sz w:val="20"/>
          <w:szCs w:val="20"/>
        </w:rPr>
        <w:lastRenderedPageBreak/>
        <w:t>population projections (SNPP) and the 2018-based household projections (SNHP). The analysis also looks at the most recent population estimates (again from ONS) which date to mid-2020.</w:t>
      </w:r>
    </w:p>
    <w:p w14:paraId="12E0C89F"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District has a notably older age structure than seen regionally or nationally, with 28% of the population estimated to be aged 65 and over in 2020 (compared to a national average of 19%). The Manhood Peninsula sub-area sees a particularly old population (33% aged 65+).</w:t>
      </w:r>
    </w:p>
    <w:p w14:paraId="547D3F6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Past population growth in Chichester has been fairly average in a regional and national context, over the past 9-years (since 2011) the population of the District has grown by 6.6% - compared with a 6.5% increase regionally and nationally over the same period (West Sussex saw higher growth at 7.3%). Population growth is driven by net internal migration (moves from one part of the country to another) with the District seeing a negative level of natural change (i.e. more deaths than births).</w:t>
      </w:r>
    </w:p>
    <w:p w14:paraId="63F6ECE5"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Projecting forward the latest ONS subnational population projections (SNPP) the District continues to see relatively strong population growth, with the 2018-based SNPP showing higher projected changes in Chichester than regionally or nationally (and at a similar level to that projected across West Sussex). Population growth is projected to be concentrated in older age groups (those aged 65 and over) – this age group accounting for in excess of 100% of all projected population change (i.e. there is projected to be a modest population decline in people aged Under 65).</w:t>
      </w:r>
    </w:p>
    <w:p w14:paraId="12EB052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Population growth can be converted into estimates of household growth by using household representative rates (HRR). HRRs can be described in their most simple terms as the number of people who are counted as heads of households (or in this case the more widely used Household Reference Person (HRP)). Data about HRRs is taken from ONS subnational household projections (SNHP).</w:t>
      </w:r>
    </w:p>
    <w:p w14:paraId="5D317B96"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analysing data about HRRs, it was considered that the latest (2018-based) version potentially built in some degree of suppression of household formation in younger age groups. Analysis was therefore provided linking to an older (2014-based) SNHP (with a further adjustment to younger age groups) – this was to provide projections reflecting the potential for younger households to access the housing market.</w:t>
      </w:r>
    </w:p>
    <w:p w14:paraId="4E5F2233" w14:textId="77777777" w:rsidR="00360825" w:rsidRPr="00D556DB" w:rsidRDefault="00360825" w:rsidP="00360825">
      <w:pPr>
        <w:pStyle w:val="Heading2"/>
        <w:rPr>
          <w:rFonts w:ascii="Arial" w:hAnsi="Arial" w:cs="Arial"/>
        </w:rPr>
      </w:pPr>
      <w:r w:rsidRPr="00D556DB">
        <w:rPr>
          <w:rFonts w:ascii="Arial" w:hAnsi="Arial" w:cs="Arial"/>
        </w:rPr>
        <w:t>Housing Need</w:t>
      </w:r>
    </w:p>
    <w:p w14:paraId="32AFF045" w14:textId="2218D305"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line with the standard method for calculating housing need as set out currently in the PPG, a minimum local housing need of 763 homes per annum is identified for Chichester District.</w:t>
      </w:r>
      <w:r w:rsidR="0083169C">
        <w:rPr>
          <w:rFonts w:ascii="Arial" w:hAnsi="Arial" w:cs="Arial"/>
          <w:sz w:val="20"/>
          <w:szCs w:val="20"/>
        </w:rPr>
        <w:t xml:space="preserve">  </w:t>
      </w:r>
      <w:r w:rsidR="005D44D3">
        <w:rPr>
          <w:rFonts w:ascii="Arial" w:hAnsi="Arial" w:cs="Arial"/>
          <w:sz w:val="20"/>
          <w:szCs w:val="20"/>
        </w:rPr>
        <w:t>The h</w:t>
      </w:r>
      <w:r w:rsidR="0083169C">
        <w:rPr>
          <w:rFonts w:ascii="Arial" w:hAnsi="Arial" w:cs="Arial"/>
          <w:sz w:val="20"/>
          <w:szCs w:val="20"/>
        </w:rPr>
        <w:t xml:space="preserve">ousing need for the area covered by the Chichester Local Plan (which excludes parts of the District within the South Downs National Park) is 638. </w:t>
      </w:r>
    </w:p>
    <w:p w14:paraId="22A15691" w14:textId="77777777" w:rsidR="00360825" w:rsidRPr="00DE1AA1" w:rsidRDefault="00360825" w:rsidP="00472D63">
      <w:pPr>
        <w:pStyle w:val="Heading4"/>
        <w:numPr>
          <w:ilvl w:val="0"/>
          <w:numId w:val="0"/>
        </w:numPr>
        <w:ind w:left="1134" w:hanging="1134"/>
      </w:pPr>
      <w:r w:rsidRPr="00DE1AA1">
        <w:lastRenderedPageBreak/>
        <w:t>Table EX.1 – Overall Housing Need</w:t>
      </w:r>
    </w:p>
    <w:tbl>
      <w:tblPr>
        <w:tblStyle w:val="TableGridLight1"/>
        <w:tblW w:w="5000" w:type="pct"/>
        <w:tblInd w:w="0" w:type="dxa"/>
        <w:tblLook w:val="04A0" w:firstRow="1" w:lastRow="0" w:firstColumn="1" w:lastColumn="0" w:noHBand="0" w:noVBand="1"/>
      </w:tblPr>
      <w:tblGrid>
        <w:gridCol w:w="6055"/>
        <w:gridCol w:w="2722"/>
      </w:tblGrid>
      <w:tr w:rsidR="00360825" w:rsidRPr="00DE1AA1" w14:paraId="0F1E2427" w14:textId="77777777" w:rsidTr="00C04569">
        <w:tc>
          <w:tcPr>
            <w:tcW w:w="6060" w:type="dxa"/>
            <w:shd w:val="clear" w:color="auto" w:fill="2C2A6B" w:themeFill="text2"/>
            <w:noWrap/>
            <w:hideMark/>
          </w:tcPr>
          <w:p w14:paraId="2282C7CD" w14:textId="77777777" w:rsidR="00360825" w:rsidRPr="00DE1AA1" w:rsidRDefault="00360825" w:rsidP="00C04569">
            <w:pPr>
              <w:keepNext/>
              <w:spacing w:after="0" w:line="300" w:lineRule="auto"/>
              <w:jc w:val="left"/>
              <w:rPr>
                <w:rFonts w:ascii="Arial" w:hAnsi="Arial" w:cs="Arial"/>
                <w:color w:val="FFFFFF" w:themeColor="background1"/>
              </w:rPr>
            </w:pPr>
          </w:p>
        </w:tc>
        <w:tc>
          <w:tcPr>
            <w:tcW w:w="2724" w:type="dxa"/>
            <w:shd w:val="clear" w:color="auto" w:fill="2C2A6B" w:themeFill="text2"/>
            <w:noWrap/>
            <w:hideMark/>
          </w:tcPr>
          <w:p w14:paraId="0E37D61F" w14:textId="77777777" w:rsidR="00360825" w:rsidRPr="00DE1AA1" w:rsidRDefault="00360825"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Chichester</w:t>
            </w:r>
          </w:p>
        </w:tc>
      </w:tr>
      <w:tr w:rsidR="00360825" w:rsidRPr="00DE1AA1" w14:paraId="0BAA6997" w14:textId="77777777" w:rsidTr="00C04569">
        <w:tc>
          <w:tcPr>
            <w:tcW w:w="6060" w:type="dxa"/>
            <w:shd w:val="clear" w:color="auto" w:fill="D9D9D9" w:themeFill="background1" w:themeFillShade="D9"/>
            <w:noWrap/>
            <w:hideMark/>
          </w:tcPr>
          <w:p w14:paraId="125DAB30"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 xml:space="preserve">Step 1 - Setting the Baseline: </w:t>
            </w:r>
          </w:p>
        </w:tc>
        <w:tc>
          <w:tcPr>
            <w:tcW w:w="2724" w:type="dxa"/>
            <w:shd w:val="clear" w:color="auto" w:fill="D9D9D9" w:themeFill="background1" w:themeFillShade="D9"/>
            <w:noWrap/>
          </w:tcPr>
          <w:p w14:paraId="2E7CFAB3" w14:textId="77777777" w:rsidR="00360825" w:rsidRPr="00DE1AA1" w:rsidRDefault="00360825" w:rsidP="00C04569">
            <w:pPr>
              <w:keepNext/>
              <w:spacing w:after="0" w:line="300" w:lineRule="auto"/>
              <w:jc w:val="left"/>
              <w:rPr>
                <w:rFonts w:ascii="Arial" w:hAnsi="Arial" w:cs="Arial"/>
                <w:b/>
                <w:bCs/>
                <w:color w:val="000000"/>
              </w:rPr>
            </w:pPr>
          </w:p>
        </w:tc>
      </w:tr>
      <w:tr w:rsidR="00360825" w:rsidRPr="00DE1AA1" w14:paraId="13F02C5A" w14:textId="77777777" w:rsidTr="00C04569">
        <w:tc>
          <w:tcPr>
            <w:tcW w:w="6060" w:type="dxa"/>
            <w:noWrap/>
            <w:hideMark/>
          </w:tcPr>
          <w:p w14:paraId="23A1810D" w14:textId="77777777" w:rsidR="00360825" w:rsidRPr="00DE1AA1" w:rsidRDefault="00360825" w:rsidP="00C04569">
            <w:pPr>
              <w:keepNext/>
              <w:spacing w:after="0" w:line="300" w:lineRule="auto"/>
              <w:jc w:val="left"/>
              <w:rPr>
                <w:rFonts w:ascii="Arial" w:hAnsi="Arial" w:cs="Arial"/>
                <w:b/>
                <w:bCs/>
                <w:color w:val="000000"/>
              </w:rPr>
            </w:pPr>
            <w:r w:rsidRPr="00DE1AA1">
              <w:rPr>
                <w:rFonts w:ascii="Arial" w:hAnsi="Arial" w:cs="Arial"/>
                <w:b/>
                <w:bCs/>
                <w:color w:val="000000"/>
              </w:rPr>
              <w:t xml:space="preserve">Household Growth (p.a.) over next 10 years, 2021-31 </w:t>
            </w:r>
          </w:p>
        </w:tc>
        <w:tc>
          <w:tcPr>
            <w:tcW w:w="2724" w:type="dxa"/>
            <w:noWrap/>
          </w:tcPr>
          <w:p w14:paraId="05E0963C" w14:textId="77777777" w:rsidR="00360825" w:rsidRPr="00DE1AA1" w:rsidRDefault="00360825" w:rsidP="00C04569">
            <w:pPr>
              <w:keepNext/>
              <w:spacing w:after="0" w:line="300" w:lineRule="auto"/>
              <w:jc w:val="center"/>
              <w:rPr>
                <w:rFonts w:ascii="Arial" w:hAnsi="Arial" w:cs="Arial"/>
                <w:b/>
                <w:bCs/>
                <w:color w:val="000000"/>
              </w:rPr>
            </w:pPr>
            <w:r w:rsidRPr="00DE1AA1">
              <w:rPr>
                <w:rFonts w:ascii="Arial" w:hAnsi="Arial" w:cs="Arial"/>
                <w:b/>
                <w:bCs/>
                <w:color w:val="000000"/>
              </w:rPr>
              <w:t>545</w:t>
            </w:r>
          </w:p>
        </w:tc>
      </w:tr>
      <w:tr w:rsidR="00360825" w:rsidRPr="00DE1AA1" w14:paraId="1CDEA036" w14:textId="77777777" w:rsidTr="00C04569">
        <w:tc>
          <w:tcPr>
            <w:tcW w:w="6060" w:type="dxa"/>
            <w:shd w:val="clear" w:color="auto" w:fill="D9D9D9" w:themeFill="background1" w:themeFillShade="D9"/>
            <w:noWrap/>
            <w:hideMark/>
          </w:tcPr>
          <w:p w14:paraId="7FE24724"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Step 2 - Affordability Adjustment:</w:t>
            </w:r>
          </w:p>
        </w:tc>
        <w:tc>
          <w:tcPr>
            <w:tcW w:w="2724" w:type="dxa"/>
            <w:shd w:val="clear" w:color="auto" w:fill="D9D9D9" w:themeFill="background1" w:themeFillShade="D9"/>
            <w:noWrap/>
          </w:tcPr>
          <w:p w14:paraId="26D0371A" w14:textId="77777777" w:rsidR="00360825" w:rsidRPr="00DE1AA1" w:rsidRDefault="00360825" w:rsidP="00C04569">
            <w:pPr>
              <w:keepNext/>
              <w:spacing w:after="0" w:line="300" w:lineRule="auto"/>
              <w:jc w:val="left"/>
              <w:rPr>
                <w:rFonts w:ascii="Arial" w:hAnsi="Arial" w:cs="Arial"/>
                <w:b/>
                <w:bCs/>
                <w:color w:val="000000"/>
              </w:rPr>
            </w:pPr>
          </w:p>
        </w:tc>
      </w:tr>
      <w:tr w:rsidR="00360825" w:rsidRPr="00DE1AA1" w14:paraId="627DE076" w14:textId="77777777" w:rsidTr="00C04569">
        <w:tc>
          <w:tcPr>
            <w:tcW w:w="6060" w:type="dxa"/>
            <w:noWrap/>
            <w:hideMark/>
          </w:tcPr>
          <w:p w14:paraId="23B50133"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Median workplace-based affordability ratio, 2020</w:t>
            </w:r>
          </w:p>
        </w:tc>
        <w:tc>
          <w:tcPr>
            <w:tcW w:w="2724" w:type="dxa"/>
            <w:noWrap/>
          </w:tcPr>
          <w:p w14:paraId="71FBC33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14.09</w:t>
            </w:r>
          </w:p>
        </w:tc>
      </w:tr>
      <w:tr w:rsidR="00360825" w:rsidRPr="00DE1AA1" w14:paraId="18A653A0" w14:textId="77777777" w:rsidTr="00C04569">
        <w:tc>
          <w:tcPr>
            <w:tcW w:w="6060" w:type="dxa"/>
            <w:noWrap/>
            <w:hideMark/>
          </w:tcPr>
          <w:p w14:paraId="1218FEE3"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Adjustment Factor</w:t>
            </w:r>
          </w:p>
        </w:tc>
        <w:tc>
          <w:tcPr>
            <w:tcW w:w="2724" w:type="dxa"/>
            <w:noWrap/>
          </w:tcPr>
          <w:p w14:paraId="63F7132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163%</w:t>
            </w:r>
          </w:p>
        </w:tc>
      </w:tr>
      <w:tr w:rsidR="00360825" w:rsidRPr="00DE1AA1" w14:paraId="3F93ACE1" w14:textId="77777777" w:rsidTr="00C04569">
        <w:tc>
          <w:tcPr>
            <w:tcW w:w="6060" w:type="dxa"/>
            <w:noWrap/>
            <w:hideMark/>
          </w:tcPr>
          <w:p w14:paraId="3FE2EB28" w14:textId="77777777" w:rsidR="00360825" w:rsidRPr="00DE1AA1" w:rsidRDefault="00360825" w:rsidP="00C04569">
            <w:pPr>
              <w:keepNext/>
              <w:spacing w:after="0" w:line="300" w:lineRule="auto"/>
              <w:jc w:val="left"/>
              <w:rPr>
                <w:rFonts w:ascii="Arial" w:hAnsi="Arial" w:cs="Arial"/>
                <w:b/>
                <w:bCs/>
                <w:color w:val="000000"/>
              </w:rPr>
            </w:pPr>
            <w:r w:rsidRPr="00DE1AA1">
              <w:rPr>
                <w:rFonts w:ascii="Arial" w:hAnsi="Arial" w:cs="Arial"/>
                <w:b/>
                <w:bCs/>
                <w:color w:val="000000"/>
              </w:rPr>
              <w:t>Step 2 Housing Need Figure</w:t>
            </w:r>
          </w:p>
        </w:tc>
        <w:tc>
          <w:tcPr>
            <w:tcW w:w="2724" w:type="dxa"/>
            <w:noWrap/>
          </w:tcPr>
          <w:p w14:paraId="7F6422B0" w14:textId="77777777" w:rsidR="00360825" w:rsidRPr="00DE1AA1" w:rsidRDefault="00360825" w:rsidP="00C04569">
            <w:pPr>
              <w:keepNext/>
              <w:spacing w:after="0" w:line="300" w:lineRule="auto"/>
              <w:jc w:val="center"/>
              <w:rPr>
                <w:rFonts w:ascii="Arial" w:hAnsi="Arial" w:cs="Arial"/>
                <w:b/>
                <w:bCs/>
                <w:color w:val="000000"/>
              </w:rPr>
            </w:pPr>
            <w:r w:rsidRPr="00DE1AA1">
              <w:rPr>
                <w:rFonts w:ascii="Arial" w:hAnsi="Arial" w:cs="Arial"/>
                <w:b/>
                <w:bCs/>
                <w:color w:val="000000"/>
              </w:rPr>
              <w:t>884</w:t>
            </w:r>
          </w:p>
        </w:tc>
      </w:tr>
      <w:tr w:rsidR="00360825" w:rsidRPr="00DE1AA1" w14:paraId="2DF15E32" w14:textId="77777777" w:rsidTr="00C04569">
        <w:tc>
          <w:tcPr>
            <w:tcW w:w="6060" w:type="dxa"/>
            <w:shd w:val="clear" w:color="auto" w:fill="D9D9D9" w:themeFill="background1" w:themeFillShade="D9"/>
            <w:noWrap/>
            <w:hideMark/>
          </w:tcPr>
          <w:p w14:paraId="1F5BFFCB"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Step 3- Cap:</w:t>
            </w:r>
          </w:p>
        </w:tc>
        <w:tc>
          <w:tcPr>
            <w:tcW w:w="2724" w:type="dxa"/>
            <w:shd w:val="clear" w:color="auto" w:fill="D9D9D9" w:themeFill="background1" w:themeFillShade="D9"/>
            <w:noWrap/>
          </w:tcPr>
          <w:p w14:paraId="2770D03C" w14:textId="77777777" w:rsidR="00360825" w:rsidRPr="00DE1AA1" w:rsidRDefault="00360825" w:rsidP="00C04569">
            <w:pPr>
              <w:keepNext/>
              <w:spacing w:after="0" w:line="300" w:lineRule="auto"/>
              <w:jc w:val="left"/>
              <w:rPr>
                <w:rFonts w:ascii="Arial" w:hAnsi="Arial" w:cs="Arial"/>
                <w:b/>
                <w:bCs/>
                <w:color w:val="000000"/>
              </w:rPr>
            </w:pPr>
          </w:p>
        </w:tc>
      </w:tr>
      <w:tr w:rsidR="00360825" w:rsidRPr="00DE1AA1" w14:paraId="44A5203C" w14:textId="77777777" w:rsidTr="00C04569">
        <w:tc>
          <w:tcPr>
            <w:tcW w:w="6060" w:type="dxa"/>
            <w:noWrap/>
            <w:hideMark/>
          </w:tcPr>
          <w:p w14:paraId="1FB77A2F"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 xml:space="preserve">Date of plan adoption </w:t>
            </w:r>
          </w:p>
        </w:tc>
        <w:tc>
          <w:tcPr>
            <w:tcW w:w="2724" w:type="dxa"/>
            <w:noWrap/>
          </w:tcPr>
          <w:p w14:paraId="5CD724A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w:t>
            </w:r>
            <w:r w:rsidRPr="00DE1AA1">
              <w:rPr>
                <w:rFonts w:ascii="Arial" w:hAnsi="Arial" w:cs="Arial"/>
                <w:color w:val="000000"/>
                <w:vertAlign w:val="superscript"/>
              </w:rPr>
              <w:t>th</w:t>
            </w:r>
            <w:r w:rsidRPr="00DE1AA1">
              <w:rPr>
                <w:rFonts w:ascii="Arial" w:hAnsi="Arial" w:cs="Arial"/>
                <w:color w:val="000000"/>
              </w:rPr>
              <w:t xml:space="preserve"> July 2015</w:t>
            </w:r>
          </w:p>
        </w:tc>
      </w:tr>
      <w:tr w:rsidR="00360825" w:rsidRPr="00DE1AA1" w14:paraId="741303B3" w14:textId="77777777" w:rsidTr="00C04569">
        <w:tc>
          <w:tcPr>
            <w:tcW w:w="6060" w:type="dxa"/>
            <w:noWrap/>
            <w:hideMark/>
          </w:tcPr>
          <w:p w14:paraId="0DD27F48"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Plan more than 5 years old</w:t>
            </w:r>
          </w:p>
        </w:tc>
        <w:tc>
          <w:tcPr>
            <w:tcW w:w="2724" w:type="dxa"/>
            <w:noWrap/>
          </w:tcPr>
          <w:p w14:paraId="5F69ACB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Yes</w:t>
            </w:r>
          </w:p>
        </w:tc>
      </w:tr>
      <w:tr w:rsidR="00360825" w:rsidRPr="00DE1AA1" w14:paraId="459ED31B" w14:textId="77777777" w:rsidTr="00C04569">
        <w:tc>
          <w:tcPr>
            <w:tcW w:w="6060" w:type="dxa"/>
            <w:noWrap/>
            <w:hideMark/>
          </w:tcPr>
          <w:p w14:paraId="1881DE78"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Housing requirement in last adopted plan</w:t>
            </w:r>
          </w:p>
        </w:tc>
        <w:tc>
          <w:tcPr>
            <w:tcW w:w="2724" w:type="dxa"/>
            <w:noWrap/>
          </w:tcPr>
          <w:p w14:paraId="49405F8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435</w:t>
            </w:r>
          </w:p>
        </w:tc>
      </w:tr>
      <w:tr w:rsidR="00360825" w:rsidRPr="00DE1AA1" w14:paraId="4B49C80D" w14:textId="77777777" w:rsidTr="00C04569">
        <w:tc>
          <w:tcPr>
            <w:tcW w:w="6060" w:type="dxa"/>
            <w:noWrap/>
            <w:hideMark/>
          </w:tcPr>
          <w:p w14:paraId="79158AB2"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Cap @ 40% above Higher of Step 1 or Local Plan</w:t>
            </w:r>
          </w:p>
        </w:tc>
        <w:tc>
          <w:tcPr>
            <w:tcW w:w="2724" w:type="dxa"/>
            <w:noWrap/>
          </w:tcPr>
          <w:p w14:paraId="4A76D15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763</w:t>
            </w:r>
          </w:p>
        </w:tc>
      </w:tr>
      <w:tr w:rsidR="00360825" w:rsidRPr="00DE1AA1" w14:paraId="2E0A471E" w14:textId="77777777" w:rsidTr="00C04569">
        <w:tc>
          <w:tcPr>
            <w:tcW w:w="6060" w:type="dxa"/>
            <w:shd w:val="clear" w:color="auto" w:fill="BFBFBF" w:themeFill="background1" w:themeFillShade="BF"/>
            <w:noWrap/>
            <w:hideMark/>
          </w:tcPr>
          <w:p w14:paraId="688C8591" w14:textId="25AC09C5" w:rsidR="00360825" w:rsidRPr="00DE1AA1" w:rsidRDefault="00360825" w:rsidP="00C04569">
            <w:pPr>
              <w:keepNext/>
              <w:spacing w:after="0" w:line="300" w:lineRule="auto"/>
              <w:jc w:val="left"/>
              <w:rPr>
                <w:rFonts w:ascii="Arial" w:hAnsi="Arial" w:cs="Arial"/>
                <w:b/>
                <w:bCs/>
                <w:color w:val="000000"/>
              </w:rPr>
            </w:pPr>
            <w:r w:rsidRPr="00DE1AA1">
              <w:rPr>
                <w:rFonts w:ascii="Arial" w:hAnsi="Arial" w:cs="Arial"/>
                <w:b/>
                <w:bCs/>
                <w:color w:val="000000"/>
              </w:rPr>
              <w:t>Minimum Local Housing Need (p.a.)</w:t>
            </w:r>
            <w:r w:rsidR="003274B9">
              <w:rPr>
                <w:rFonts w:ascii="Arial" w:hAnsi="Arial" w:cs="Arial"/>
                <w:b/>
                <w:bCs/>
                <w:color w:val="000000"/>
              </w:rPr>
              <w:t xml:space="preserve"> - District</w:t>
            </w:r>
          </w:p>
        </w:tc>
        <w:tc>
          <w:tcPr>
            <w:tcW w:w="2724" w:type="dxa"/>
            <w:shd w:val="clear" w:color="auto" w:fill="BFBFBF" w:themeFill="background1" w:themeFillShade="BF"/>
            <w:noWrap/>
          </w:tcPr>
          <w:p w14:paraId="71ED0CA0" w14:textId="77777777" w:rsidR="00360825" w:rsidRPr="00DE1AA1" w:rsidRDefault="00360825" w:rsidP="00C04569">
            <w:pPr>
              <w:keepNext/>
              <w:spacing w:after="0" w:line="300" w:lineRule="auto"/>
              <w:jc w:val="center"/>
              <w:rPr>
                <w:rFonts w:ascii="Arial" w:hAnsi="Arial" w:cs="Arial"/>
                <w:b/>
                <w:bCs/>
                <w:color w:val="000000"/>
              </w:rPr>
            </w:pPr>
            <w:r w:rsidRPr="00DE1AA1">
              <w:rPr>
                <w:rFonts w:ascii="Arial" w:hAnsi="Arial" w:cs="Arial"/>
                <w:b/>
                <w:bCs/>
                <w:color w:val="000000"/>
              </w:rPr>
              <w:t>763</w:t>
            </w:r>
          </w:p>
        </w:tc>
      </w:tr>
      <w:tr w:rsidR="003274B9" w:rsidRPr="00DE1AA1" w14:paraId="6D4AF5CA" w14:textId="77777777" w:rsidTr="00C04569">
        <w:tc>
          <w:tcPr>
            <w:tcW w:w="6060" w:type="dxa"/>
            <w:shd w:val="clear" w:color="auto" w:fill="BFBFBF" w:themeFill="background1" w:themeFillShade="BF"/>
            <w:noWrap/>
          </w:tcPr>
          <w:p w14:paraId="26E38BD9" w14:textId="2FD2ACC2" w:rsidR="003274B9" w:rsidRPr="00DE1AA1" w:rsidRDefault="003274B9" w:rsidP="00C04569">
            <w:pPr>
              <w:keepNext/>
              <w:spacing w:after="0" w:line="300" w:lineRule="auto"/>
              <w:jc w:val="left"/>
              <w:rPr>
                <w:rFonts w:ascii="Arial" w:hAnsi="Arial" w:cs="Arial"/>
                <w:b/>
                <w:bCs/>
                <w:color w:val="000000"/>
              </w:rPr>
            </w:pPr>
            <w:r w:rsidRPr="00DE1AA1">
              <w:rPr>
                <w:rFonts w:ascii="Arial" w:hAnsi="Arial" w:cs="Arial"/>
                <w:b/>
                <w:bCs/>
                <w:color w:val="000000"/>
              </w:rPr>
              <w:t>Minimum Local Housing Need (p.a.)</w:t>
            </w:r>
            <w:r>
              <w:rPr>
                <w:rFonts w:ascii="Arial" w:hAnsi="Arial" w:cs="Arial"/>
                <w:b/>
                <w:bCs/>
                <w:color w:val="000000"/>
              </w:rPr>
              <w:t xml:space="preserve"> – Plan Area</w:t>
            </w:r>
          </w:p>
        </w:tc>
        <w:tc>
          <w:tcPr>
            <w:tcW w:w="2724" w:type="dxa"/>
            <w:shd w:val="clear" w:color="auto" w:fill="BFBFBF" w:themeFill="background1" w:themeFillShade="BF"/>
            <w:noWrap/>
          </w:tcPr>
          <w:p w14:paraId="0278BF2E" w14:textId="7218F953" w:rsidR="003274B9" w:rsidRPr="00DE1AA1" w:rsidRDefault="003274B9" w:rsidP="00C04569">
            <w:pPr>
              <w:keepNext/>
              <w:spacing w:after="0" w:line="300" w:lineRule="auto"/>
              <w:jc w:val="center"/>
              <w:rPr>
                <w:rFonts w:ascii="Arial" w:hAnsi="Arial" w:cs="Arial"/>
                <w:b/>
                <w:bCs/>
                <w:color w:val="000000"/>
              </w:rPr>
            </w:pPr>
            <w:r>
              <w:rPr>
                <w:rFonts w:ascii="Arial" w:hAnsi="Arial" w:cs="Arial"/>
                <w:b/>
                <w:bCs/>
                <w:color w:val="000000"/>
              </w:rPr>
              <w:t>638</w:t>
            </w:r>
          </w:p>
        </w:tc>
      </w:tr>
    </w:tbl>
    <w:p w14:paraId="5B572070" w14:textId="77777777" w:rsidR="00360825" w:rsidRPr="00DE1AA1" w:rsidRDefault="00360825" w:rsidP="00360825">
      <w:pPr>
        <w:pStyle w:val="BodyText"/>
        <w:numPr>
          <w:ilvl w:val="0"/>
          <w:numId w:val="0"/>
        </w:numPr>
        <w:rPr>
          <w:rFonts w:ascii="Arial" w:eastAsiaTheme="majorEastAsia" w:hAnsi="Arial" w:cs="Arial"/>
        </w:rPr>
      </w:pPr>
    </w:p>
    <w:p w14:paraId="38846106" w14:textId="7FC6E915"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This is based on a</w:t>
      </w:r>
      <w:r w:rsidR="00167C72">
        <w:rPr>
          <w:rFonts w:ascii="Arial" w:hAnsi="Arial" w:cs="Arial"/>
          <w:sz w:val="20"/>
          <w:szCs w:val="20"/>
        </w:rPr>
        <w:t>n average</w:t>
      </w:r>
      <w:r w:rsidRPr="00DE1AA1">
        <w:rPr>
          <w:rFonts w:ascii="Arial" w:hAnsi="Arial" w:cs="Arial"/>
          <w:sz w:val="20"/>
          <w:szCs w:val="20"/>
        </w:rPr>
        <w:t xml:space="preserve"> household growth of 545 per annum</w:t>
      </w:r>
      <w:r w:rsidR="00167C72">
        <w:rPr>
          <w:rFonts w:ascii="Arial" w:hAnsi="Arial" w:cs="Arial"/>
          <w:sz w:val="20"/>
          <w:szCs w:val="20"/>
        </w:rPr>
        <w:t xml:space="preserve"> over the 2021-2022 period (which is also the case for the 2022-2032 period) </w:t>
      </w:r>
      <w:r w:rsidRPr="00DE1AA1">
        <w:rPr>
          <w:rFonts w:ascii="Arial" w:hAnsi="Arial" w:cs="Arial"/>
          <w:sz w:val="20"/>
          <w:szCs w:val="20"/>
        </w:rPr>
        <w:t>, taken from the 2014-based Household Projections and applying an affordability uplift of 163% applied to this based on the 2020 affordability ratio.</w:t>
      </w:r>
      <w:r>
        <w:rPr>
          <w:rFonts w:ascii="Arial" w:hAnsi="Arial" w:cs="Arial"/>
          <w:sz w:val="20"/>
          <w:szCs w:val="20"/>
        </w:rPr>
        <w:t xml:space="preserve"> </w:t>
      </w:r>
      <w:r w:rsidRPr="00DE1AA1">
        <w:rPr>
          <w:rFonts w:ascii="Arial" w:hAnsi="Arial" w:cs="Arial"/>
          <w:sz w:val="20"/>
          <w:szCs w:val="20"/>
        </w:rPr>
        <w:t>However, the uplift is capped at 40% above the household projections.</w:t>
      </w:r>
    </w:p>
    <w:p w14:paraId="498AF214" w14:textId="5B64C274"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latest HEDNA prepared for the National Park sets out a need of 125 homes in the SDNP area of the District. As a result, 638 homes per annum (763-125 dpa) will be needed in the District outside of the National Park (i.e. in the Plan Area).</w:t>
      </w:r>
      <w:r w:rsidR="003274B9">
        <w:rPr>
          <w:rFonts w:ascii="Arial" w:hAnsi="Arial" w:cs="Arial"/>
          <w:sz w:val="20"/>
          <w:szCs w:val="20"/>
        </w:rPr>
        <w:t xml:space="preserve">  The Plan Area figure of 638 dpa is the main housing need figure examined in the remainder of the report.</w:t>
      </w:r>
    </w:p>
    <w:p w14:paraId="7275CD5E"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There are no circumstances in Chichester District relating to growth funding, strategic infrastructure improvements or affordable housing need which indicate that ‘actual’ housing need is higher than the standard method indicates.</w:t>
      </w:r>
    </w:p>
    <w:p w14:paraId="2C5482C4" w14:textId="44381170"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Using information from the published SNPP and SNHP, bespoke projections w</w:t>
      </w:r>
      <w:r w:rsidR="004770AE">
        <w:rPr>
          <w:rFonts w:ascii="Arial" w:hAnsi="Arial" w:cs="Arial"/>
          <w:sz w:val="20"/>
          <w:szCs w:val="20"/>
        </w:rPr>
        <w:t>ere</w:t>
      </w:r>
      <w:r w:rsidRPr="00DE1AA1">
        <w:rPr>
          <w:rFonts w:ascii="Arial" w:hAnsi="Arial" w:cs="Arial"/>
          <w:sz w:val="20"/>
          <w:szCs w:val="20"/>
        </w:rPr>
        <w:t xml:space="preserve"> developed linked to the  Standard Method (638 dwellings per annum in the Plan Area and 125 in the SDNP). The modelling considers the level of population growth and household formation that might be expected if these levels of delivery are achieved (in the 2021-39 period). </w:t>
      </w:r>
    </w:p>
    <w:p w14:paraId="4129572B"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This bespoke projection suggests that population growth might be expected to be higher than suggested in the latest official projections and that the age structure changes will proportionally include more people aged under 65 as these tend to be the migrant age groups that would move to these homes. </w:t>
      </w:r>
    </w:p>
    <w:p w14:paraId="6A01EEC6" w14:textId="19FA33B5"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Over the </w:t>
      </w:r>
      <w:r w:rsidRPr="00E0137A">
        <w:rPr>
          <w:rFonts w:ascii="Arial" w:hAnsi="Arial" w:cs="Arial"/>
          <w:sz w:val="20"/>
          <w:szCs w:val="20"/>
        </w:rPr>
        <w:t xml:space="preserve">2021-39 period, delivery of 763 dpa is projected to see an increase in population of </w:t>
      </w:r>
      <w:r w:rsidRPr="00D556DB">
        <w:rPr>
          <w:rFonts w:ascii="Arial" w:hAnsi="Arial" w:cs="Arial"/>
          <w:sz w:val="20"/>
          <w:szCs w:val="20"/>
        </w:rPr>
        <w:t>18% (21,700 more people)</w:t>
      </w:r>
      <w:r w:rsidR="004770AE">
        <w:rPr>
          <w:rFonts w:ascii="Arial" w:hAnsi="Arial" w:cs="Arial"/>
          <w:sz w:val="20"/>
          <w:szCs w:val="20"/>
        </w:rPr>
        <w:t xml:space="preserve"> in the whole District </w:t>
      </w:r>
      <w:r w:rsidRPr="00E0137A">
        <w:rPr>
          <w:rFonts w:ascii="Arial" w:hAnsi="Arial" w:cs="Arial"/>
          <w:sz w:val="20"/>
          <w:szCs w:val="20"/>
        </w:rPr>
        <w:t>compared with a 9% increase (11,300) in the 2018-based SNPP. Most of the difference is accounted for by a projected</w:t>
      </w:r>
      <w:r w:rsidRPr="00DE1AA1">
        <w:rPr>
          <w:rFonts w:ascii="Arial" w:hAnsi="Arial" w:cs="Arial"/>
          <w:sz w:val="20"/>
          <w:szCs w:val="20"/>
        </w:rPr>
        <w:t xml:space="preserve"> uplift in the number of people aged 16-64 (and children).</w:t>
      </w:r>
    </w:p>
    <w:p w14:paraId="6732202F" w14:textId="77777777" w:rsidR="00360825" w:rsidRPr="00D556DB" w:rsidRDefault="00360825" w:rsidP="00360825">
      <w:pPr>
        <w:pStyle w:val="Heading2"/>
        <w:rPr>
          <w:rFonts w:ascii="Arial" w:hAnsi="Arial" w:cs="Arial"/>
        </w:rPr>
      </w:pPr>
      <w:r w:rsidRPr="00D556DB">
        <w:rPr>
          <w:rFonts w:ascii="Arial" w:hAnsi="Arial" w:cs="Arial"/>
        </w:rPr>
        <w:lastRenderedPageBreak/>
        <w:t>Labour Supply and Economic Led Housing Need</w:t>
      </w:r>
    </w:p>
    <w:p w14:paraId="09098764"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report also considers the link between housing and economic growth; seeking to understand what level of jobs might be supported by the labour supply and what level of housing is required to meet economic forecasts. These calculations took into account, the number of people with more than one job, economic activity rates, returning unemployment to pre-pandemic levels and commuting patterns.</w:t>
      </w:r>
    </w:p>
    <w:p w14:paraId="4D9BB269" w14:textId="68F18BDA" w:rsidR="00360825" w:rsidRPr="00E0137A"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analysis identifies that by delivering 763 dpa of which 638 </w:t>
      </w:r>
      <w:r w:rsidRPr="00E0137A">
        <w:rPr>
          <w:rFonts w:ascii="Arial" w:hAnsi="Arial" w:cs="Arial"/>
          <w:sz w:val="20"/>
          <w:szCs w:val="20"/>
        </w:rPr>
        <w:t>dpa</w:t>
      </w:r>
      <w:r w:rsidR="008D36D9">
        <w:rPr>
          <w:rFonts w:ascii="Arial" w:hAnsi="Arial" w:cs="Arial"/>
          <w:sz w:val="20"/>
          <w:szCs w:val="20"/>
        </w:rPr>
        <w:t xml:space="preserve"> is</w:t>
      </w:r>
      <w:r w:rsidRPr="00E0137A">
        <w:rPr>
          <w:rFonts w:ascii="Arial" w:hAnsi="Arial" w:cs="Arial"/>
          <w:sz w:val="20"/>
          <w:szCs w:val="20"/>
        </w:rPr>
        <w:t xml:space="preserve"> in the plan area then </w:t>
      </w:r>
      <w:r w:rsidRPr="00D556DB">
        <w:rPr>
          <w:rFonts w:ascii="Arial" w:hAnsi="Arial" w:cs="Arial"/>
          <w:sz w:val="20"/>
          <w:szCs w:val="20"/>
        </w:rPr>
        <w:t>12,313 jobs</w:t>
      </w:r>
      <w:r w:rsidRPr="00E0137A">
        <w:rPr>
          <w:rFonts w:ascii="Arial" w:hAnsi="Arial" w:cs="Arial"/>
          <w:sz w:val="20"/>
          <w:szCs w:val="20"/>
        </w:rPr>
        <w:t xml:space="preserve"> could be supported in the local (district) economy over the 2021 to 2039. This compares to a baseline economic forecasts showing a growth of 5,761 additional jobs and a growth scenario forecasting 9,802 additional jobs.</w:t>
      </w:r>
    </w:p>
    <w:p w14:paraId="691850FD" w14:textId="77777777" w:rsidR="00360825" w:rsidRPr="00E0137A" w:rsidRDefault="00360825" w:rsidP="00360825">
      <w:pPr>
        <w:pStyle w:val="bigserial"/>
        <w:spacing w:after="240"/>
        <w:ind w:left="0" w:hanging="567"/>
        <w:rPr>
          <w:rFonts w:ascii="Arial" w:hAnsi="Arial" w:cs="Arial"/>
          <w:sz w:val="20"/>
          <w:szCs w:val="20"/>
        </w:rPr>
      </w:pPr>
      <w:r w:rsidRPr="00D556DB">
        <w:rPr>
          <w:rFonts w:ascii="Arial" w:hAnsi="Arial" w:cs="Arial"/>
          <w:sz w:val="20"/>
          <w:szCs w:val="20"/>
        </w:rPr>
        <w:t>The baseline economic forecast would only require 517 dwellings per annum to support job growth, but the figure increases to 669 dwellings per annum when looking at the growth scenario. Of these 392 and 544 dpa would be in the Local Plan area</w:t>
      </w:r>
      <w:r w:rsidRPr="00E0137A">
        <w:rPr>
          <w:rFonts w:ascii="Arial" w:hAnsi="Arial" w:cs="Arial"/>
          <w:sz w:val="20"/>
          <w:szCs w:val="20"/>
        </w:rPr>
        <w:t>.</w:t>
      </w:r>
    </w:p>
    <w:p w14:paraId="64E7FADC" w14:textId="77777777" w:rsidR="00360825" w:rsidRPr="00D556DB" w:rsidRDefault="00360825" w:rsidP="00360825">
      <w:pPr>
        <w:pStyle w:val="Heading2"/>
        <w:rPr>
          <w:rFonts w:ascii="Arial" w:hAnsi="Arial" w:cs="Arial"/>
        </w:rPr>
      </w:pPr>
      <w:r w:rsidRPr="00D556DB">
        <w:rPr>
          <w:rFonts w:ascii="Arial" w:hAnsi="Arial" w:cs="Arial"/>
        </w:rPr>
        <w:t>Affordable Housing Need</w:t>
      </w:r>
    </w:p>
    <w:p w14:paraId="328FBAEA"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analysis is split between a need for social/affordable rented accommodation and is based on households unable to buy or rent in the market and the need for affordable home ownership (AHO) </w:t>
      </w:r>
    </w:p>
    <w:p w14:paraId="4F02798D"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analysis has taken account of local housing costs (to both buy and rent) along with estimates of household income. </w:t>
      </w:r>
    </w:p>
    <w:p w14:paraId="2CFDE832" w14:textId="77777777" w:rsidR="00360825" w:rsidRPr="00E0137A"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When </w:t>
      </w:r>
      <w:r w:rsidRPr="00E0137A">
        <w:rPr>
          <w:rFonts w:ascii="Arial" w:hAnsi="Arial" w:cs="Arial"/>
          <w:sz w:val="20"/>
          <w:szCs w:val="20"/>
        </w:rPr>
        <w:t xml:space="preserve">looking at rented needs, the analysis suggests a need for </w:t>
      </w:r>
      <w:r>
        <w:rPr>
          <w:rFonts w:ascii="Arial" w:hAnsi="Arial" w:cs="Arial"/>
          <w:sz w:val="20"/>
          <w:szCs w:val="20"/>
        </w:rPr>
        <w:t>278</w:t>
      </w:r>
      <w:r w:rsidRPr="00E0137A">
        <w:rPr>
          <w:rFonts w:ascii="Arial" w:hAnsi="Arial" w:cs="Arial"/>
          <w:sz w:val="20"/>
          <w:szCs w:val="20"/>
        </w:rPr>
        <w:t xml:space="preserve"> affordable homes per annum across the district; the Council is therefore justified in seeking to secure additional affordable housing.</w:t>
      </w:r>
    </w:p>
    <w:p w14:paraId="23C19511" w14:textId="77777777" w:rsidR="00360825" w:rsidRPr="00D556DB" w:rsidRDefault="00360825" w:rsidP="00472D63">
      <w:pPr>
        <w:pStyle w:val="Heading4"/>
        <w:numPr>
          <w:ilvl w:val="0"/>
          <w:numId w:val="0"/>
        </w:numPr>
        <w:ind w:left="1134" w:hanging="1134"/>
      </w:pPr>
      <w:r w:rsidRPr="00E0137A">
        <w:t>EX</w:t>
      </w:r>
      <w:r w:rsidRPr="00D556DB">
        <w:t>2 - Estimated Need for Social/Affordable Rented Housing by sub-area (per annum)</w:t>
      </w:r>
    </w:p>
    <w:tbl>
      <w:tblPr>
        <w:tblStyle w:val="TableTheme"/>
        <w:tblW w:w="5000" w:type="pct"/>
        <w:tblInd w:w="0" w:type="dxa"/>
        <w:tblLayout w:type="fixed"/>
        <w:tblLook w:val="04A0" w:firstRow="1" w:lastRow="0" w:firstColumn="1" w:lastColumn="0" w:noHBand="0" w:noVBand="1"/>
      </w:tblPr>
      <w:tblGrid>
        <w:gridCol w:w="1919"/>
        <w:gridCol w:w="1143"/>
        <w:gridCol w:w="1143"/>
        <w:gridCol w:w="1319"/>
        <w:gridCol w:w="967"/>
        <w:gridCol w:w="1143"/>
        <w:gridCol w:w="1143"/>
      </w:tblGrid>
      <w:tr w:rsidR="00360825" w:rsidRPr="00E0137A" w14:paraId="242F2E92" w14:textId="77777777" w:rsidTr="00C04569">
        <w:tc>
          <w:tcPr>
            <w:tcW w:w="1919" w:type="dxa"/>
            <w:tcBorders>
              <w:top w:val="single" w:sz="4" w:space="0" w:color="auto"/>
              <w:left w:val="single" w:sz="4" w:space="0" w:color="auto"/>
              <w:bottom w:val="single" w:sz="4" w:space="0" w:color="auto"/>
              <w:right w:val="single" w:sz="4" w:space="0" w:color="auto"/>
            </w:tcBorders>
            <w:shd w:val="clear" w:color="auto" w:fill="002060"/>
          </w:tcPr>
          <w:p w14:paraId="54806AEA" w14:textId="77777777" w:rsidR="00360825" w:rsidRPr="00D556DB" w:rsidRDefault="00360825" w:rsidP="00C04569">
            <w:pPr>
              <w:keepNext/>
              <w:spacing w:after="0" w:line="240" w:lineRule="auto"/>
              <w:jc w:val="left"/>
              <w:rPr>
                <w:rFonts w:ascii="Arial" w:hAnsi="Arial" w:cs="Arial"/>
                <w:b/>
              </w:rPr>
            </w:pP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D92869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Current need</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943660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Newly forming house-holds</w:t>
            </w:r>
          </w:p>
        </w:tc>
        <w:tc>
          <w:tcPr>
            <w:tcW w:w="131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9AD82A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Existing house-holds falling into need</w:t>
            </w:r>
          </w:p>
        </w:tc>
        <w:tc>
          <w:tcPr>
            <w:tcW w:w="9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79A99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 Gross Need</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6BE1C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Relet Supply</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3C1FDB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Net Need</w:t>
            </w:r>
          </w:p>
        </w:tc>
      </w:tr>
      <w:tr w:rsidR="00360825" w:rsidRPr="00E0137A" w14:paraId="6D85BD04" w14:textId="77777777" w:rsidTr="00C04569">
        <w:tc>
          <w:tcPr>
            <w:tcW w:w="1919" w:type="dxa"/>
            <w:tcBorders>
              <w:top w:val="single" w:sz="4" w:space="0" w:color="auto"/>
              <w:left w:val="single" w:sz="4" w:space="0" w:color="auto"/>
              <w:bottom w:val="single" w:sz="4" w:space="0" w:color="auto"/>
              <w:right w:val="single" w:sz="4" w:space="0" w:color="auto"/>
            </w:tcBorders>
            <w:hideMark/>
          </w:tcPr>
          <w:p w14:paraId="411A6FC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rPr>
              <w:t>Chichester District</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E3E1B5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58</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FAC162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380</w:t>
            </w:r>
          </w:p>
        </w:tc>
        <w:tc>
          <w:tcPr>
            <w:tcW w:w="1319" w:type="dxa"/>
            <w:tcBorders>
              <w:top w:val="single" w:sz="4" w:space="0" w:color="auto"/>
              <w:left w:val="single" w:sz="4" w:space="0" w:color="auto"/>
              <w:bottom w:val="single" w:sz="4" w:space="0" w:color="auto"/>
              <w:right w:val="single" w:sz="4" w:space="0" w:color="auto"/>
            </w:tcBorders>
            <w:vAlign w:val="bottom"/>
            <w:hideMark/>
          </w:tcPr>
          <w:p w14:paraId="27DB84F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66</w:t>
            </w:r>
          </w:p>
        </w:tc>
        <w:tc>
          <w:tcPr>
            <w:tcW w:w="967" w:type="dxa"/>
            <w:tcBorders>
              <w:top w:val="single" w:sz="4" w:space="0" w:color="auto"/>
              <w:left w:val="single" w:sz="4" w:space="0" w:color="auto"/>
              <w:bottom w:val="single" w:sz="4" w:space="0" w:color="auto"/>
              <w:right w:val="single" w:sz="4" w:space="0" w:color="auto"/>
            </w:tcBorders>
            <w:vAlign w:val="bottom"/>
            <w:hideMark/>
          </w:tcPr>
          <w:p w14:paraId="2B885ED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504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9ABC5B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226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3DCC9BE7" w14:textId="77777777" w:rsidR="00360825" w:rsidRPr="00E0137A"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278</w:t>
            </w:r>
          </w:p>
        </w:tc>
      </w:tr>
    </w:tbl>
    <w:p w14:paraId="3EB122F6" w14:textId="77777777" w:rsidR="00360825" w:rsidRPr="00E0137A" w:rsidRDefault="00360825" w:rsidP="00360825">
      <w:pPr>
        <w:pStyle w:val="bigserial"/>
        <w:numPr>
          <w:ilvl w:val="0"/>
          <w:numId w:val="0"/>
        </w:numPr>
        <w:spacing w:after="240"/>
        <w:rPr>
          <w:rFonts w:ascii="Arial" w:hAnsi="Arial" w:cs="Arial"/>
          <w:sz w:val="20"/>
          <w:szCs w:val="20"/>
        </w:rPr>
      </w:pPr>
    </w:p>
    <w:p w14:paraId="2C970F69" w14:textId="77777777" w:rsidR="00360825" w:rsidRPr="00DE1AA1" w:rsidRDefault="00360825" w:rsidP="00360825">
      <w:pPr>
        <w:pStyle w:val="bigserial"/>
        <w:spacing w:after="240"/>
        <w:ind w:left="0" w:hanging="567"/>
        <w:rPr>
          <w:rFonts w:ascii="Arial" w:hAnsi="Arial" w:cs="Arial"/>
          <w:sz w:val="20"/>
          <w:szCs w:val="20"/>
        </w:rPr>
      </w:pPr>
      <w:r w:rsidRPr="00E0137A">
        <w:rPr>
          <w:rFonts w:ascii="Arial" w:hAnsi="Arial" w:cs="Arial"/>
          <w:sz w:val="20"/>
          <w:szCs w:val="20"/>
        </w:rPr>
        <w:t>Despite the level</w:t>
      </w:r>
      <w:r w:rsidRPr="00DE1AA1">
        <w:rPr>
          <w:rFonts w:ascii="Arial" w:hAnsi="Arial" w:cs="Arial"/>
          <w:sz w:val="20"/>
          <w:szCs w:val="20"/>
        </w:rPr>
        <w:t xml:space="preserve"> of need being high, it is not considered that this would necessarily point to any requirement for the Council to increase the Local Plan housing requirement. The link between affordable need and overall need (of all tenures) is complex and in trying to make a link it must be remembered that many of those picked up as having an affordable need are already in housing (and therefore do not generate a net additional need for a home). </w:t>
      </w:r>
    </w:p>
    <w:p w14:paraId="3A36F30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Additionally, most of the affordable need is already part of the demographic projections and so any additional provision would arguably be double counting. </w:t>
      </w:r>
    </w:p>
    <w:p w14:paraId="6916431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That said, the level of affordable need across areas can form part of the consideration of the distribution of housing for different locations, along with an understanding of demographic trends and economic growth.</w:t>
      </w:r>
    </w:p>
    <w:p w14:paraId="161974C6"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lastRenderedPageBreak/>
        <w:t xml:space="preserve">The analysis suggests there will be a need for both social and affordable rented housing – the latter will be suitable particularly for households who are close to being able to afford to rent privately and also for some households who claim full Housing Benefit. </w:t>
      </w:r>
    </w:p>
    <w:p w14:paraId="69A17D1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On this basis, it is not recommended that the Council has a rigid policy for the split between social and affordable rented housing, although the analysis is clear that both tenures of homes are likely to be required.</w:t>
      </w:r>
    </w:p>
    <w:p w14:paraId="73498950" w14:textId="465E52E0"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When looking at the need for AHO products such as First Homes, the analysis suggests a need across the district for </w:t>
      </w:r>
      <w:r>
        <w:rPr>
          <w:rFonts w:ascii="Arial" w:hAnsi="Arial" w:cs="Arial"/>
          <w:sz w:val="20"/>
          <w:szCs w:val="20"/>
        </w:rPr>
        <w:t>301</w:t>
      </w:r>
      <w:r w:rsidRPr="00DE1AA1">
        <w:rPr>
          <w:rFonts w:ascii="Arial" w:hAnsi="Arial" w:cs="Arial"/>
          <w:sz w:val="20"/>
          <w:szCs w:val="20"/>
        </w:rPr>
        <w:t xml:space="preserve"> per annum. It should be noted that there could be a significant additional supply from resales of market homes (below a lower quartile price) which arguably would mean there is a much more limited need for AHO.</w:t>
      </w:r>
    </w:p>
    <w:p w14:paraId="6725C2B6"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Analysis does suggest that there are many households in Chichester who are being excluded from the owner-occupied sector (as evidenced by reductions in owners with a mortgage and increases in the size of the private rented sector). This suggests that a key issue in the district is about access to capital (e.g. for deposits, stamp duty, legal costs) as well as potentially mortgage restrictions (e.g. where employment is temporary) rather than simply the cost of housing to buy.</w:t>
      </w:r>
    </w:p>
    <w:p w14:paraId="2EABBBAD"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study also considers different types of AHO (notably First Homes and shared ownership) as each will have a role to play – shared ownership is likely to be suitable for households with more marginal affordability (those only just able to afford to privately rent) as it has the advantage of a lower deposit and subsidised rent.</w:t>
      </w:r>
    </w:p>
    <w:p w14:paraId="0D4BA37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deciding what types of affordable housing to provide, including a split between rented and home ownership products, the Council will need to consider the relative levels of need and also viability issues (recognising for example that providing AHO may be more viable and may therefore allow more units to be delivered, but at the same time noting that households with a need for rented housing are likely to have more acute needs and fewer housing options).</w:t>
      </w:r>
    </w:p>
    <w:p w14:paraId="29CB720A"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Overall, the analysis identifies a notable need for affordable housing, and it is clear that provision of new affordable housing is an important and pressing issue in the area. </w:t>
      </w:r>
    </w:p>
    <w:p w14:paraId="7CE2A0A0"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It does however need to be stressed that this report does not provide an affordable housing target; the amount of affordable housing delivered will be limited to the amount that can viably be provided. </w:t>
      </w:r>
    </w:p>
    <w:p w14:paraId="1D3926C5"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evidence does however suggest that affordable housing delivery should be maximised where opportunities arise.</w:t>
      </w:r>
    </w:p>
    <w:p w14:paraId="349104CC" w14:textId="77777777" w:rsidR="00360825" w:rsidRPr="00D556DB" w:rsidRDefault="00360825" w:rsidP="00360825">
      <w:pPr>
        <w:pStyle w:val="Heading2"/>
        <w:rPr>
          <w:rFonts w:ascii="Arial" w:hAnsi="Arial" w:cs="Arial"/>
        </w:rPr>
      </w:pPr>
      <w:r w:rsidRPr="00D556DB">
        <w:rPr>
          <w:rFonts w:ascii="Arial" w:hAnsi="Arial" w:cs="Arial"/>
        </w:rPr>
        <w:t>Housing Mix</w:t>
      </w:r>
    </w:p>
    <w:p w14:paraId="3A71C68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proportion of households with dependent children in Chichester District is relatively low with around 24% of all households containing dependent children in 2011 (29% regionally and nationally). Households in the Plan Area North are particularly likely to contain dependent children. There are notable differences between different types of household, with married couples (with dependent children) seeing a high level of owner-occupation, whereas as lone parents are particularly likely to live in social or private rented accommodation.</w:t>
      </w:r>
    </w:p>
    <w:p w14:paraId="39DACACB" w14:textId="48AAF141"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There are a range of factors which will influence demand for different sizes of homes, including demographic changes; future growth in real earnings and households’ ability to save; economic performance and housing affordability. The analysis linked to long-term (18-year) demographic change concludes that the following represents an appropriate mix of affordable and market homes, </w:t>
      </w:r>
      <w:r w:rsidRPr="00DE1AA1">
        <w:rPr>
          <w:rFonts w:ascii="Arial" w:hAnsi="Arial" w:cs="Arial"/>
          <w:sz w:val="20"/>
          <w:szCs w:val="20"/>
        </w:rPr>
        <w:lastRenderedPageBreak/>
        <w:t>this takes account of both household changes and the ageing of the population – the analysis also models for there to be a modest decrease in levels of under-occupancy (which in Chichester are very high in the market sector)</w:t>
      </w:r>
      <w:r>
        <w:rPr>
          <w:rFonts w:ascii="Arial" w:hAnsi="Arial" w:cs="Arial"/>
          <w:sz w:val="20"/>
          <w:szCs w:val="20"/>
        </w:rPr>
        <w:t xml:space="preserve"> but also takes account of the move to more home working (</w:t>
      </w:r>
      <w:r w:rsidR="004C7B56">
        <w:rPr>
          <w:rFonts w:ascii="Arial" w:hAnsi="Arial" w:cs="Arial"/>
          <w:sz w:val="20"/>
          <w:szCs w:val="20"/>
        </w:rPr>
        <w:t>potentially</w:t>
      </w:r>
      <w:r>
        <w:rPr>
          <w:rFonts w:ascii="Arial" w:hAnsi="Arial" w:cs="Arial"/>
          <w:sz w:val="20"/>
          <w:szCs w:val="20"/>
        </w:rPr>
        <w:t xml:space="preserve"> requiring a spare room)</w:t>
      </w:r>
      <w:r w:rsidRPr="00DE1AA1">
        <w:rPr>
          <w:rFonts w:ascii="Arial" w:hAnsi="Arial" w:cs="Arial"/>
          <w:sz w:val="20"/>
          <w:szCs w:val="20"/>
        </w:rPr>
        <w:t>.</w:t>
      </w:r>
    </w:p>
    <w:p w14:paraId="19A290BC" w14:textId="77777777" w:rsidR="00360825" w:rsidRPr="00DE1AA1" w:rsidRDefault="00360825" w:rsidP="00472D63">
      <w:pPr>
        <w:pStyle w:val="Heading4"/>
        <w:numPr>
          <w:ilvl w:val="0"/>
          <w:numId w:val="0"/>
        </w:numPr>
        <w:ind w:left="1134" w:hanging="1134"/>
      </w:pPr>
      <w:r w:rsidRPr="00DE1AA1">
        <w:t>EX3 - Suggested Mix of Housing by Size and Tenure – Chichester</w:t>
      </w:r>
    </w:p>
    <w:tbl>
      <w:tblPr>
        <w:tblStyle w:val="TableTheme"/>
        <w:tblW w:w="5000" w:type="pct"/>
        <w:tblInd w:w="0" w:type="dxa"/>
        <w:tblLayout w:type="fixed"/>
        <w:tblLook w:val="04A0" w:firstRow="1" w:lastRow="0" w:firstColumn="1" w:lastColumn="0" w:noHBand="0" w:noVBand="1"/>
      </w:tblPr>
      <w:tblGrid>
        <w:gridCol w:w="2689"/>
        <w:gridCol w:w="1522"/>
        <w:gridCol w:w="1522"/>
        <w:gridCol w:w="1522"/>
        <w:gridCol w:w="1522"/>
      </w:tblGrid>
      <w:tr w:rsidR="00360825" w:rsidRPr="00DE1AA1" w14:paraId="4A1456C9" w14:textId="77777777" w:rsidTr="00C04569">
        <w:tc>
          <w:tcPr>
            <w:tcW w:w="2689" w:type="dxa"/>
            <w:tcBorders>
              <w:top w:val="single" w:sz="4" w:space="0" w:color="auto"/>
              <w:left w:val="single" w:sz="4" w:space="0" w:color="auto"/>
              <w:bottom w:val="single" w:sz="4" w:space="0" w:color="auto"/>
              <w:right w:val="single" w:sz="4" w:space="0" w:color="auto"/>
            </w:tcBorders>
            <w:shd w:val="clear" w:color="auto" w:fill="002060"/>
            <w:vAlign w:val="center"/>
          </w:tcPr>
          <w:p w14:paraId="0C973E9D" w14:textId="77777777" w:rsidR="00360825" w:rsidRPr="00DE1AA1" w:rsidRDefault="00360825" w:rsidP="00C04569">
            <w:pPr>
              <w:keepNext/>
              <w:spacing w:before="60" w:after="60" w:line="300" w:lineRule="auto"/>
              <w:jc w:val="center"/>
              <w:rPr>
                <w:rFonts w:ascii="Arial" w:hAnsi="Arial" w:cs="Arial"/>
              </w:rPr>
            </w:pP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49B6FF" w14:textId="77777777" w:rsidR="00360825" w:rsidRPr="00DE1AA1" w:rsidRDefault="00360825" w:rsidP="00C04569">
            <w:pPr>
              <w:pStyle w:val="ListParagraph"/>
              <w:keepNext/>
              <w:widowControl w:val="0"/>
              <w:spacing w:before="60" w:after="60" w:line="300" w:lineRule="auto"/>
              <w:ind w:left="0"/>
              <w:jc w:val="center"/>
              <w:rPr>
                <w:rFonts w:ascii="Arial" w:hAnsi="Arial"/>
              </w:rPr>
            </w:pPr>
            <w:r w:rsidRPr="00DE1AA1">
              <w:rPr>
                <w:rFonts w:ascii="Arial" w:hAnsi="Arial"/>
              </w:rPr>
              <w:t>1-bedroom</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3FE23B0" w14:textId="77777777" w:rsidR="00360825" w:rsidRPr="00DE1AA1" w:rsidRDefault="00360825" w:rsidP="00C04569">
            <w:pPr>
              <w:pStyle w:val="ListParagraph"/>
              <w:keepNext/>
              <w:widowControl w:val="0"/>
              <w:spacing w:before="60" w:after="60" w:line="300" w:lineRule="auto"/>
              <w:ind w:left="0"/>
              <w:jc w:val="center"/>
              <w:rPr>
                <w:rFonts w:ascii="Arial" w:hAnsi="Arial"/>
              </w:rPr>
            </w:pPr>
            <w:r w:rsidRPr="00DE1AA1">
              <w:rPr>
                <w:rFonts w:ascii="Arial" w:hAnsi="Arial"/>
              </w:rPr>
              <w:t>2-bedrooms</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7ABE29D" w14:textId="77777777" w:rsidR="00360825" w:rsidRPr="00DE1AA1" w:rsidRDefault="00360825" w:rsidP="00C04569">
            <w:pPr>
              <w:pStyle w:val="ListParagraph"/>
              <w:keepNext/>
              <w:widowControl w:val="0"/>
              <w:spacing w:before="60" w:after="60" w:line="300" w:lineRule="auto"/>
              <w:ind w:left="0"/>
              <w:jc w:val="center"/>
              <w:rPr>
                <w:rFonts w:ascii="Arial" w:hAnsi="Arial"/>
              </w:rPr>
            </w:pPr>
            <w:r w:rsidRPr="00DE1AA1">
              <w:rPr>
                <w:rFonts w:ascii="Arial" w:hAnsi="Arial"/>
              </w:rPr>
              <w:t>3-bedrooms</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218C68" w14:textId="77777777" w:rsidR="00360825" w:rsidRPr="00DE1AA1" w:rsidRDefault="00360825" w:rsidP="00C04569">
            <w:pPr>
              <w:pStyle w:val="ListParagraph"/>
              <w:keepNext/>
              <w:widowControl w:val="0"/>
              <w:spacing w:before="60" w:after="60" w:line="300" w:lineRule="auto"/>
              <w:ind w:left="0"/>
              <w:jc w:val="center"/>
              <w:rPr>
                <w:rFonts w:ascii="Arial" w:hAnsi="Arial"/>
              </w:rPr>
            </w:pPr>
            <w:r w:rsidRPr="00DE1AA1">
              <w:rPr>
                <w:rFonts w:ascii="Arial" w:hAnsi="Arial"/>
              </w:rPr>
              <w:t>4+-bedrooms</w:t>
            </w:r>
          </w:p>
        </w:tc>
      </w:tr>
      <w:tr w:rsidR="00360825" w:rsidRPr="00DE1AA1" w14:paraId="05EE71CA"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0952312B" w14:textId="77777777" w:rsidR="00360825" w:rsidRPr="00DE1AA1" w:rsidRDefault="00360825" w:rsidP="00C04569">
            <w:pPr>
              <w:keepNext/>
              <w:spacing w:after="0" w:line="300" w:lineRule="auto"/>
              <w:rPr>
                <w:rFonts w:ascii="Arial" w:hAnsi="Arial" w:cs="Arial"/>
              </w:rPr>
            </w:pPr>
            <w:r w:rsidRPr="00DE1AA1">
              <w:rPr>
                <w:rFonts w:ascii="Arial" w:hAnsi="Arial" w:cs="Arial"/>
              </w:rPr>
              <w:t>Market</w:t>
            </w:r>
          </w:p>
        </w:tc>
        <w:tc>
          <w:tcPr>
            <w:tcW w:w="1522" w:type="dxa"/>
            <w:tcBorders>
              <w:top w:val="single" w:sz="4" w:space="0" w:color="auto"/>
              <w:left w:val="single" w:sz="4" w:space="0" w:color="auto"/>
              <w:bottom w:val="single" w:sz="4" w:space="0" w:color="auto"/>
              <w:right w:val="single" w:sz="4" w:space="0" w:color="auto"/>
            </w:tcBorders>
            <w:vAlign w:val="center"/>
            <w:hideMark/>
          </w:tcPr>
          <w:p w14:paraId="3134F16C" w14:textId="77777777" w:rsidR="00360825" w:rsidRPr="00DE1AA1" w:rsidRDefault="00360825" w:rsidP="00C04569">
            <w:pPr>
              <w:keepNext/>
              <w:spacing w:after="0" w:line="300" w:lineRule="auto"/>
              <w:jc w:val="center"/>
              <w:rPr>
                <w:rFonts w:ascii="Arial" w:hAnsi="Arial" w:cs="Arial"/>
              </w:rPr>
            </w:pPr>
            <w:r>
              <w:rPr>
                <w:rFonts w:ascii="Arial" w:hAnsi="Arial" w:cs="Arial"/>
              </w:rPr>
              <w:t>5</w:t>
            </w:r>
            <w:r w:rsidRPr="00DE1AA1">
              <w:rPr>
                <w:rFonts w:ascii="Arial" w:hAnsi="Arial" w:cs="Arial"/>
              </w:rPr>
              <w:t>-1</w:t>
            </w:r>
            <w:r>
              <w:rPr>
                <w:rFonts w:ascii="Arial" w:hAnsi="Arial" w:cs="Arial"/>
              </w:rPr>
              <w:t>0</w:t>
            </w:r>
            <w:r w:rsidRPr="00DE1AA1">
              <w:rPr>
                <w:rFonts w:ascii="Arial" w:hAnsi="Arial" w:cs="Arial"/>
              </w:rPr>
              <w:t>%</w:t>
            </w:r>
          </w:p>
        </w:tc>
        <w:tc>
          <w:tcPr>
            <w:tcW w:w="1522" w:type="dxa"/>
            <w:tcBorders>
              <w:top w:val="single" w:sz="4" w:space="0" w:color="auto"/>
              <w:left w:val="single" w:sz="4" w:space="0" w:color="auto"/>
              <w:bottom w:val="single" w:sz="4" w:space="0" w:color="auto"/>
              <w:right w:val="single" w:sz="4" w:space="0" w:color="auto"/>
            </w:tcBorders>
            <w:vAlign w:val="center"/>
            <w:hideMark/>
          </w:tcPr>
          <w:p w14:paraId="571E9BEB" w14:textId="77777777" w:rsidR="00360825" w:rsidRPr="00DE1AA1" w:rsidRDefault="00360825" w:rsidP="00C04569">
            <w:pPr>
              <w:keepNext/>
              <w:spacing w:after="0" w:line="300" w:lineRule="auto"/>
              <w:jc w:val="center"/>
              <w:rPr>
                <w:rFonts w:ascii="Arial" w:hAnsi="Arial" w:cs="Arial"/>
              </w:rPr>
            </w:pPr>
            <w:r>
              <w:rPr>
                <w:rFonts w:ascii="Arial" w:hAnsi="Arial" w:cs="Arial"/>
              </w:rPr>
              <w:t>30</w:t>
            </w:r>
            <w:r w:rsidRPr="00DE1AA1">
              <w:rPr>
                <w:rFonts w:ascii="Arial" w:hAnsi="Arial" w:cs="Arial"/>
              </w:rPr>
              <w:t>-4</w:t>
            </w:r>
            <w:r>
              <w:rPr>
                <w:rFonts w:ascii="Arial" w:hAnsi="Arial" w:cs="Arial"/>
              </w:rPr>
              <w:t>0</w:t>
            </w:r>
            <w:r w:rsidRPr="00DE1AA1">
              <w:rPr>
                <w:rFonts w:ascii="Arial" w:hAnsi="Arial" w:cs="Arial"/>
              </w:rPr>
              <w:t>%</w:t>
            </w:r>
          </w:p>
        </w:tc>
        <w:tc>
          <w:tcPr>
            <w:tcW w:w="1522" w:type="dxa"/>
            <w:tcBorders>
              <w:top w:val="single" w:sz="4" w:space="0" w:color="auto"/>
              <w:left w:val="single" w:sz="4" w:space="0" w:color="auto"/>
              <w:bottom w:val="single" w:sz="4" w:space="0" w:color="auto"/>
              <w:right w:val="single" w:sz="4" w:space="0" w:color="auto"/>
            </w:tcBorders>
            <w:vAlign w:val="center"/>
            <w:hideMark/>
          </w:tcPr>
          <w:p w14:paraId="4C505E7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w:t>
            </w:r>
            <w:r>
              <w:rPr>
                <w:rFonts w:ascii="Arial" w:hAnsi="Arial" w:cs="Arial"/>
              </w:rPr>
              <w:t>5</w:t>
            </w:r>
            <w:r w:rsidRPr="00DE1AA1">
              <w:rPr>
                <w:rFonts w:ascii="Arial" w:hAnsi="Arial" w:cs="Arial"/>
              </w:rPr>
              <w:t>-</w:t>
            </w:r>
            <w:r>
              <w:rPr>
                <w:rFonts w:ascii="Arial" w:hAnsi="Arial" w:cs="Arial"/>
              </w:rPr>
              <w:t>4</w:t>
            </w:r>
            <w:r w:rsidRPr="00DE1AA1">
              <w:rPr>
                <w:rFonts w:ascii="Arial" w:hAnsi="Arial" w:cs="Arial"/>
              </w:rPr>
              <w:t>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4245AC4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w:t>
            </w:r>
            <w:r>
              <w:rPr>
                <w:rFonts w:ascii="Arial" w:hAnsi="Arial" w:cs="Arial"/>
              </w:rPr>
              <w:t>5</w:t>
            </w:r>
            <w:r w:rsidRPr="00DE1AA1">
              <w:rPr>
                <w:rFonts w:ascii="Arial" w:hAnsi="Arial" w:cs="Arial"/>
              </w:rPr>
              <w:t>-</w:t>
            </w:r>
            <w:r>
              <w:rPr>
                <w:rFonts w:ascii="Arial" w:hAnsi="Arial" w:cs="Arial"/>
              </w:rPr>
              <w:t>20</w:t>
            </w:r>
            <w:r w:rsidRPr="00DE1AA1">
              <w:rPr>
                <w:rFonts w:ascii="Arial" w:hAnsi="Arial" w:cs="Arial"/>
              </w:rPr>
              <w:t>%</w:t>
            </w:r>
          </w:p>
        </w:tc>
      </w:tr>
      <w:tr w:rsidR="00360825" w:rsidRPr="00DE1AA1" w14:paraId="0A32310A"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279017FE" w14:textId="77777777" w:rsidR="00360825" w:rsidRPr="00DE1AA1" w:rsidRDefault="00360825" w:rsidP="00C04569">
            <w:pPr>
              <w:keepNext/>
              <w:spacing w:after="0" w:line="300" w:lineRule="auto"/>
              <w:rPr>
                <w:rFonts w:ascii="Arial" w:hAnsi="Arial" w:cs="Arial"/>
              </w:rPr>
            </w:pPr>
            <w:r w:rsidRPr="00DE1AA1">
              <w:rPr>
                <w:rFonts w:ascii="Arial" w:hAnsi="Arial" w:cs="Arial"/>
              </w:rPr>
              <w:t>Affordable home ownership</w:t>
            </w:r>
          </w:p>
        </w:tc>
        <w:tc>
          <w:tcPr>
            <w:tcW w:w="1522" w:type="dxa"/>
            <w:tcBorders>
              <w:top w:val="single" w:sz="4" w:space="0" w:color="auto"/>
              <w:left w:val="single" w:sz="4" w:space="0" w:color="auto"/>
              <w:bottom w:val="single" w:sz="4" w:space="0" w:color="auto"/>
              <w:right w:val="single" w:sz="4" w:space="0" w:color="auto"/>
            </w:tcBorders>
            <w:vAlign w:val="center"/>
            <w:hideMark/>
          </w:tcPr>
          <w:p w14:paraId="5DF53B4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20-25%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23F0AC2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45-50%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630909F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20-25%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6CD0329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5-10%</w:t>
            </w:r>
          </w:p>
        </w:tc>
      </w:tr>
      <w:tr w:rsidR="00360825" w:rsidRPr="00DE1AA1" w14:paraId="6BC89EED"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4290001C" w14:textId="77777777" w:rsidR="00360825" w:rsidRPr="00DE1AA1" w:rsidRDefault="00360825" w:rsidP="00C04569">
            <w:pPr>
              <w:keepNext/>
              <w:spacing w:after="0" w:line="300" w:lineRule="auto"/>
              <w:rPr>
                <w:rFonts w:ascii="Arial" w:hAnsi="Arial" w:cs="Arial"/>
              </w:rPr>
            </w:pPr>
            <w:r w:rsidRPr="00DE1AA1">
              <w:rPr>
                <w:rFonts w:ascii="Arial" w:hAnsi="Arial" w:cs="Arial"/>
              </w:rPr>
              <w:t>Affordable housing (rented)</w:t>
            </w:r>
          </w:p>
        </w:tc>
        <w:tc>
          <w:tcPr>
            <w:tcW w:w="1522" w:type="dxa"/>
            <w:tcBorders>
              <w:top w:val="single" w:sz="4" w:space="0" w:color="auto"/>
              <w:left w:val="single" w:sz="4" w:space="0" w:color="auto"/>
              <w:bottom w:val="single" w:sz="4" w:space="0" w:color="auto"/>
              <w:right w:val="single" w:sz="4" w:space="0" w:color="auto"/>
            </w:tcBorders>
            <w:vAlign w:val="center"/>
            <w:hideMark/>
          </w:tcPr>
          <w:p w14:paraId="296103D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35-40%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09DD4ED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35-40%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0A271C2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15-20%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96FA98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5-10%</w:t>
            </w:r>
          </w:p>
        </w:tc>
      </w:tr>
    </w:tbl>
    <w:p w14:paraId="0A85CAFC" w14:textId="77777777" w:rsidR="00360825" w:rsidRPr="00DE1AA1" w:rsidRDefault="00360825" w:rsidP="00360825">
      <w:pPr>
        <w:pStyle w:val="bigserial"/>
        <w:numPr>
          <w:ilvl w:val="0"/>
          <w:numId w:val="0"/>
        </w:numPr>
        <w:spacing w:after="240"/>
        <w:rPr>
          <w:rFonts w:ascii="Arial" w:hAnsi="Arial" w:cs="Arial"/>
          <w:sz w:val="20"/>
          <w:szCs w:val="20"/>
        </w:rPr>
      </w:pPr>
    </w:p>
    <w:p w14:paraId="49C8D3C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strategic conclusions in the affordable sector recognise the role which delivery of larger family homes can play in releasing a supply of smaller properties for other households. Also recognised is the limited flexibility which 1-bed properties offer to changing household circumstances, which feed through into higher turnover and management issues. The conclusions also take account of the current mix of housing by tenure and also the size requirements shown on the Housing Register.</w:t>
      </w:r>
    </w:p>
    <w:p w14:paraId="387155E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mix identified above could inform strategic policies although a flexible approach should be adopted. For example, in some areas Registered Providers find difficulties selling 1-bedroom affordable home ownership (AHO) homes and therefore the 1-bedroom elements of AHO might be better provided as 2-bedroom accommodation. Additionally, in applying the mix to individual development sites, regard should be had to the nature of the site and character of the area, and to up-to-date evidence of need as well as the existing mix and turnover of properties at the local level. The Council should also monitor the mix of housing delivered.</w:t>
      </w:r>
    </w:p>
    <w:p w14:paraId="6EF96C3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Analysis also suggests that the majority of units should be houses rather than flats, although consideration will need to be given to site specific circumstances (which may in some cases lend themselves to flatted development). Additionally, the Council should consider the role of bungalows within the mix – such housing can be particularly attractive to older person households downsizing and may help to release larger (family-sized) accommodation back into the market.</w:t>
      </w:r>
    </w:p>
    <w:p w14:paraId="71BA3A85"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Based on the evidence, it is expected that the focus of new market housing provision will be on 2- and 3-bed properties. Continued demand for family housing can be expected from newly forming households. There may also be some demand for medium-sized properties (2- and 3-beds) from older households downsizing and looking to release equity in existing homes, but still retaining flexibility for friends and family to come and stay.</w:t>
      </w:r>
    </w:p>
    <w:p w14:paraId="106402EB" w14:textId="77777777" w:rsidR="00360825" w:rsidRPr="00D556DB" w:rsidRDefault="00360825" w:rsidP="00360825">
      <w:pPr>
        <w:pStyle w:val="Heading2"/>
        <w:rPr>
          <w:rFonts w:ascii="Arial" w:hAnsi="Arial" w:cs="Arial"/>
        </w:rPr>
      </w:pPr>
      <w:r w:rsidRPr="00D556DB">
        <w:rPr>
          <w:rFonts w:ascii="Arial" w:hAnsi="Arial" w:cs="Arial"/>
        </w:rPr>
        <w:t>Older People and Those with a Disability</w:t>
      </w:r>
    </w:p>
    <w:p w14:paraId="67D0BBE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A range of data sources and statistics have been accessed to consider the characteristics and housing needs of the older person population and the population with some form of disability. The two groups are taken together as there is a clear link between age and disability. The analysis responds to Planning Practice Guidance on Housing for Older and Disabled People published by Government in June 2019 and includes an assessment of the need for specialist accommodation for older people and the potential requirements for housing to be built to M4(2) and M4(3) housing technical standards (accessibility and wheelchair standards).</w:t>
      </w:r>
    </w:p>
    <w:p w14:paraId="4DC642A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data shows that Chichester has an older age structure and similar overall levels of disability compared with the national average – age specific rates of disability are consequently notably lower than seen nationally. The older person population has some distinct characteristics, including a high </w:t>
      </w:r>
      <w:r w:rsidRPr="00DE1AA1">
        <w:rPr>
          <w:rFonts w:ascii="Arial" w:hAnsi="Arial" w:cs="Arial"/>
          <w:sz w:val="20"/>
          <w:szCs w:val="20"/>
        </w:rPr>
        <w:lastRenderedPageBreak/>
        <w:t>representation in the owner-occupied sector and is projected to increase notably in the future. An ageing population means that the number of people with disabilities is likely to increase substantially. Key findings for the 2021-39 period include:</w:t>
      </w:r>
    </w:p>
    <w:p w14:paraId="49F89694" w14:textId="77777777" w:rsidR="00360825" w:rsidRPr="00DE1AA1" w:rsidRDefault="00360825" w:rsidP="001A7584">
      <w:pPr>
        <w:numPr>
          <w:ilvl w:val="0"/>
          <w:numId w:val="38"/>
        </w:numPr>
        <w:spacing w:after="120"/>
        <w:ind w:hanging="357"/>
        <w:rPr>
          <w:rFonts w:ascii="Arial" w:hAnsi="Arial" w:cs="Arial"/>
        </w:rPr>
      </w:pPr>
      <w:r w:rsidRPr="00DE1AA1">
        <w:rPr>
          <w:rFonts w:ascii="Arial" w:hAnsi="Arial" w:cs="Arial"/>
        </w:rPr>
        <w:t xml:space="preserve">A </w:t>
      </w:r>
      <w:r>
        <w:rPr>
          <w:rFonts w:ascii="Arial" w:hAnsi="Arial" w:cs="Arial"/>
        </w:rPr>
        <w:t>42</w:t>
      </w:r>
      <w:r w:rsidRPr="00DE1AA1">
        <w:rPr>
          <w:rFonts w:ascii="Arial" w:hAnsi="Arial" w:cs="Arial"/>
        </w:rPr>
        <w:t xml:space="preserve">% increase in the population aged 65+ (potentially accounting for </w:t>
      </w:r>
      <w:r>
        <w:rPr>
          <w:rFonts w:ascii="Arial" w:hAnsi="Arial" w:cs="Arial"/>
        </w:rPr>
        <w:t>67</w:t>
      </w:r>
      <w:r w:rsidRPr="00DE1AA1">
        <w:rPr>
          <w:rFonts w:ascii="Arial" w:hAnsi="Arial" w:cs="Arial"/>
        </w:rPr>
        <w:t>% of total population growth);</w:t>
      </w:r>
    </w:p>
    <w:p w14:paraId="60B57A4A" w14:textId="77777777" w:rsidR="00360825" w:rsidRPr="00DE1AA1" w:rsidRDefault="00360825" w:rsidP="001A7584">
      <w:pPr>
        <w:numPr>
          <w:ilvl w:val="0"/>
          <w:numId w:val="38"/>
        </w:numPr>
        <w:spacing w:after="120"/>
        <w:ind w:hanging="357"/>
        <w:rPr>
          <w:rFonts w:ascii="Arial" w:hAnsi="Arial" w:cs="Arial"/>
        </w:rPr>
      </w:pPr>
      <w:r w:rsidRPr="00DE1AA1">
        <w:rPr>
          <w:rFonts w:ascii="Arial" w:hAnsi="Arial" w:cs="Arial"/>
        </w:rPr>
        <w:t>A 5</w:t>
      </w:r>
      <w:r>
        <w:rPr>
          <w:rFonts w:ascii="Arial" w:hAnsi="Arial" w:cs="Arial"/>
        </w:rPr>
        <w:t>8</w:t>
      </w:r>
      <w:r w:rsidRPr="00DE1AA1">
        <w:rPr>
          <w:rFonts w:ascii="Arial" w:hAnsi="Arial" w:cs="Arial"/>
        </w:rPr>
        <w:t xml:space="preserve">% increase in the number of people aged 65+ with dementia and a </w:t>
      </w:r>
      <w:r>
        <w:rPr>
          <w:rFonts w:ascii="Arial" w:hAnsi="Arial" w:cs="Arial"/>
        </w:rPr>
        <w:t>51</w:t>
      </w:r>
      <w:r w:rsidRPr="00DE1AA1">
        <w:rPr>
          <w:rFonts w:ascii="Arial" w:hAnsi="Arial" w:cs="Arial"/>
        </w:rPr>
        <w:t>% increase in those aged 65+ with mobility problems;</w:t>
      </w:r>
    </w:p>
    <w:p w14:paraId="432ED55A" w14:textId="77777777" w:rsidR="004A7148" w:rsidRPr="00D556DB" w:rsidRDefault="004A7148" w:rsidP="004A7148">
      <w:pPr>
        <w:numPr>
          <w:ilvl w:val="0"/>
          <w:numId w:val="38"/>
        </w:numPr>
        <w:spacing w:after="120"/>
        <w:ind w:hanging="357"/>
        <w:rPr>
          <w:rFonts w:ascii="Arial" w:hAnsi="Arial" w:cs="Arial"/>
        </w:rPr>
      </w:pPr>
      <w:r w:rsidRPr="00D556DB">
        <w:rPr>
          <w:rFonts w:ascii="Arial" w:hAnsi="Arial" w:cs="Arial"/>
        </w:rPr>
        <w:t xml:space="preserve">A need for </w:t>
      </w:r>
      <w:r>
        <w:rPr>
          <w:rFonts w:ascii="Arial" w:hAnsi="Arial" w:cs="Arial"/>
        </w:rPr>
        <w:t>between</w:t>
      </w:r>
      <w:r w:rsidRPr="00D556DB">
        <w:rPr>
          <w:rFonts w:ascii="Arial" w:hAnsi="Arial" w:cs="Arial"/>
        </w:rPr>
        <w:t xml:space="preserve"> 1,200</w:t>
      </w:r>
      <w:r>
        <w:rPr>
          <w:rFonts w:ascii="Arial" w:hAnsi="Arial" w:cs="Arial"/>
        </w:rPr>
        <w:t xml:space="preserve"> and 1,700</w:t>
      </w:r>
      <w:r w:rsidRPr="00D556DB">
        <w:rPr>
          <w:rFonts w:ascii="Arial" w:hAnsi="Arial" w:cs="Arial"/>
        </w:rPr>
        <w:t xml:space="preserve"> housing units with support (sheltered/retirement housing) – split between market and affordable housing;</w:t>
      </w:r>
    </w:p>
    <w:p w14:paraId="76BBB2F6" w14:textId="77777777" w:rsidR="004A7148" w:rsidRPr="00D556DB" w:rsidRDefault="004A7148" w:rsidP="004A7148">
      <w:pPr>
        <w:numPr>
          <w:ilvl w:val="0"/>
          <w:numId w:val="38"/>
        </w:numPr>
        <w:spacing w:after="120"/>
        <w:ind w:hanging="357"/>
        <w:rPr>
          <w:rFonts w:ascii="Arial" w:hAnsi="Arial" w:cs="Arial"/>
        </w:rPr>
      </w:pPr>
      <w:r w:rsidRPr="00D556DB">
        <w:rPr>
          <w:rFonts w:ascii="Arial" w:hAnsi="Arial" w:cs="Arial"/>
        </w:rPr>
        <w:t xml:space="preserve">A need for </w:t>
      </w:r>
      <w:r>
        <w:rPr>
          <w:rFonts w:ascii="Arial" w:hAnsi="Arial" w:cs="Arial"/>
        </w:rPr>
        <w:t>between</w:t>
      </w:r>
      <w:r w:rsidRPr="00D556DB">
        <w:rPr>
          <w:rFonts w:ascii="Arial" w:hAnsi="Arial" w:cs="Arial"/>
        </w:rPr>
        <w:t xml:space="preserve"> 900</w:t>
      </w:r>
      <w:r>
        <w:rPr>
          <w:rFonts w:ascii="Arial" w:hAnsi="Arial" w:cs="Arial"/>
        </w:rPr>
        <w:t xml:space="preserve"> and 1,000</w:t>
      </w:r>
      <w:r w:rsidRPr="00D556DB">
        <w:rPr>
          <w:rFonts w:ascii="Arial" w:hAnsi="Arial" w:cs="Arial"/>
        </w:rPr>
        <w:t xml:space="preserve"> additional housing units with care (e.g. extra-care) – focussed on the market sector;</w:t>
      </w:r>
    </w:p>
    <w:p w14:paraId="7AD7A102" w14:textId="77777777" w:rsidR="00360825" w:rsidRPr="00DE1AA1" w:rsidRDefault="00360825" w:rsidP="001A7584">
      <w:pPr>
        <w:numPr>
          <w:ilvl w:val="0"/>
          <w:numId w:val="38"/>
        </w:numPr>
        <w:spacing w:after="120"/>
        <w:ind w:hanging="357"/>
        <w:rPr>
          <w:rFonts w:ascii="Arial" w:hAnsi="Arial" w:cs="Arial"/>
        </w:rPr>
      </w:pPr>
      <w:r w:rsidRPr="00DE1AA1">
        <w:rPr>
          <w:rFonts w:ascii="Arial" w:hAnsi="Arial" w:cs="Arial"/>
        </w:rPr>
        <w:t>A need for additional nursing care bedspaces; and</w:t>
      </w:r>
    </w:p>
    <w:p w14:paraId="3D48B699" w14:textId="77777777" w:rsidR="00360825" w:rsidRPr="00D556DB" w:rsidRDefault="00360825" w:rsidP="001A7584">
      <w:pPr>
        <w:numPr>
          <w:ilvl w:val="0"/>
          <w:numId w:val="38"/>
        </w:numPr>
        <w:rPr>
          <w:rFonts w:ascii="Arial" w:hAnsi="Arial" w:cs="Arial"/>
        </w:rPr>
      </w:pPr>
      <w:r w:rsidRPr="00DE1AA1">
        <w:rPr>
          <w:rFonts w:ascii="Arial" w:hAnsi="Arial" w:cs="Arial"/>
        </w:rPr>
        <w:t>a need for around 1,1</w:t>
      </w:r>
      <w:r>
        <w:rPr>
          <w:rFonts w:ascii="Arial" w:hAnsi="Arial" w:cs="Arial"/>
        </w:rPr>
        <w:t>5</w:t>
      </w:r>
      <w:r w:rsidRPr="00DE1AA1">
        <w:rPr>
          <w:rFonts w:ascii="Arial" w:hAnsi="Arial" w:cs="Arial"/>
        </w:rPr>
        <w:t>0 dwellings to be for wheelchair users (meeting technical standard M4(3)).</w:t>
      </w:r>
    </w:p>
    <w:p w14:paraId="2991E293"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This would suggest that there is a clear need to increase the supply of accessible and adaptable dwellings and wheelchair user dwellings as well as providing specific provision of older persons housing. Given the evidence, the Council could consider (as a start point) requiring all dwellings (in all tenures) to meet the M4(2) standards (which are similar to the Lifetime Homes Standards) and around 10% of homes meeting M4(3) – wheelchair user dwellings (a higher proportion in the affordable sector).</w:t>
      </w:r>
    </w:p>
    <w:p w14:paraId="5CADF6D2"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Where the authority has nomination rights M4(3) would be wheelchair accessible dwellings (constructed for immediate occupation) and in the market sector they should be wheelchair user adaptable dwellings (constructed to be adjustable for occupation by a wheelchair user). It should however be noted that there will be cases where this may not be possible (e.g. due to viability or site-specific circumstances) and so any policy should be applied flexibly.</w:t>
      </w:r>
    </w:p>
    <w:p w14:paraId="18E2B2D4"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Council should also consider if a different approach is prudent for market housing and affordable homes, recognising that Registered Providers may already build to higher standards, and that households in the affordable sector are more likely to have some form of disability.</w:t>
      </w:r>
    </w:p>
    <w:p w14:paraId="4BF32F01"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seeking M4(2) compliant homes, the Council should also be mindful that such homes could be considered as ‘homes for life’ and would be suitable for any occupant, regardless of whether or not they have a disability at the time of initial occupation.</w:t>
      </w:r>
    </w:p>
    <w:p w14:paraId="4B5F17D9"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framing policies for the provision of specialist older persons accommodation, the Council will need to consider a range of issues. This will include the different use classes of accommodation (i.e. C2 vs. C3) and requirements for affordable housing contributions (linked to this the viability of provision). There may also be some practical issues to consider, such as the ability of any individual development being mixed tenure given the way care and support services are paid for.</w:t>
      </w:r>
    </w:p>
    <w:p w14:paraId="1A22BB8C" w14:textId="77777777" w:rsidR="00360825" w:rsidRPr="00D556DB" w:rsidRDefault="00360825" w:rsidP="00360825">
      <w:pPr>
        <w:pStyle w:val="Heading2"/>
        <w:rPr>
          <w:rFonts w:ascii="Arial" w:hAnsi="Arial" w:cs="Arial"/>
        </w:rPr>
      </w:pPr>
      <w:r w:rsidRPr="00D556DB">
        <w:rPr>
          <w:rFonts w:ascii="Arial" w:hAnsi="Arial" w:cs="Arial"/>
        </w:rPr>
        <w:lastRenderedPageBreak/>
        <w:t>Other Specific Groups</w:t>
      </w:r>
    </w:p>
    <w:p w14:paraId="4181A9EC" w14:textId="77777777" w:rsidR="00360825" w:rsidRPr="00D556DB" w:rsidRDefault="00360825" w:rsidP="00360825">
      <w:pPr>
        <w:pStyle w:val="Heading3"/>
        <w:rPr>
          <w:rFonts w:ascii="Arial" w:hAnsi="Arial" w:cs="Arial"/>
        </w:rPr>
      </w:pPr>
      <w:r w:rsidRPr="00D556DB">
        <w:rPr>
          <w:rFonts w:ascii="Arial" w:hAnsi="Arial" w:cs="Arial"/>
        </w:rPr>
        <w:t>Homeless Households</w:t>
      </w:r>
    </w:p>
    <w:p w14:paraId="2660A830"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Chichester has had an average of 67 households owed a homelessness prevention or homelessness relief duty each quarter since 1st April 2018. To again put this in context, this equates to 1.2 households per every 1,000 households in Chichester, compared with 2.5 in the South East and 2.9 across England. </w:t>
      </w:r>
    </w:p>
    <w:p w14:paraId="6521110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Numbers are increasing in in comparison to long term trends although they have fallen significantly over the period from June 2018 to December 2020.</w:t>
      </w:r>
    </w:p>
    <w:p w14:paraId="4097205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There is a significant overlap in the group presenting themselves as homeless and those with mental health problems, physical disabilities, drug and alcohol dependencies as well as other support needs. </w:t>
      </w:r>
    </w:p>
    <w:p w14:paraId="00C0B1E7" w14:textId="77777777" w:rsidR="00360825" w:rsidRPr="00D556DB" w:rsidRDefault="00360825" w:rsidP="00360825">
      <w:pPr>
        <w:pStyle w:val="Heading3"/>
        <w:rPr>
          <w:rFonts w:ascii="Arial" w:hAnsi="Arial" w:cs="Arial"/>
        </w:rPr>
      </w:pPr>
      <w:r w:rsidRPr="00D556DB">
        <w:rPr>
          <w:rFonts w:ascii="Arial" w:hAnsi="Arial" w:cs="Arial"/>
        </w:rPr>
        <w:t>Students</w:t>
      </w:r>
    </w:p>
    <w:p w14:paraId="7B75ADE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University of Chichester is a rapidly growing University both in terms of student roll and reputation. The University is at the beginning of a process called Project Cornerstone which will see the University grow its current full-time student numbers from 4,400 in 2020 to around 6,000 by 2025/26. </w:t>
      </w:r>
    </w:p>
    <w:p w14:paraId="6C9D5F9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order to meet the accommodation demand from the growing student body the University is seeking to deliver 450 additional bedspaces; 250 of which will be located in Chichester. The University is also undertaking a Demand Study drilling into the need for additional accommodation and will act on its findings.</w:t>
      </w:r>
    </w:p>
    <w:p w14:paraId="6C69262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It is recommended that the Council should continue to engage with the University regarding opportunities to provide for additional bedspaces to cater for Undergraduates and other year groups. This is to ensure that demand does not outstrip supply, resulting in unbalanced communities.</w:t>
      </w:r>
    </w:p>
    <w:p w14:paraId="18E9A194"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There is an economic imperative of doing so as the student body supports a large section of the local economy and the university provides graduates local businesses.</w:t>
      </w:r>
      <w:r>
        <w:rPr>
          <w:rFonts w:ascii="Arial" w:hAnsi="Arial" w:cs="Arial"/>
          <w:sz w:val="20"/>
          <w:szCs w:val="20"/>
        </w:rPr>
        <w:t xml:space="preserve"> </w:t>
      </w:r>
      <w:r w:rsidRPr="00DE1AA1">
        <w:rPr>
          <w:rFonts w:ascii="Arial" w:hAnsi="Arial" w:cs="Arial"/>
          <w:sz w:val="20"/>
          <w:szCs w:val="20"/>
        </w:rPr>
        <w:t>The wider aim to improve affordability would also serve to support a greater graduate retention within the local economy.</w:t>
      </w:r>
    </w:p>
    <w:p w14:paraId="55E86489" w14:textId="77777777" w:rsidR="00360825" w:rsidRPr="00D556DB" w:rsidRDefault="00360825" w:rsidP="00360825">
      <w:pPr>
        <w:pStyle w:val="Heading3"/>
        <w:rPr>
          <w:rFonts w:ascii="Arial" w:hAnsi="Arial" w:cs="Arial"/>
        </w:rPr>
      </w:pPr>
      <w:r w:rsidRPr="00D556DB">
        <w:rPr>
          <w:rFonts w:ascii="Arial" w:hAnsi="Arial" w:cs="Arial"/>
        </w:rPr>
        <w:t>Service Families</w:t>
      </w:r>
    </w:p>
    <w:p w14:paraId="4F65B755"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According to the Ministry of Defence there were 1,000 military and civilian personnel stationed in Chichester on 1st April 2020 – almost of all of whom are military personnel. </w:t>
      </w:r>
    </w:p>
    <w:p w14:paraId="0C37105F"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On the basis of the evidence and steps being taken at District and County level, it is not considered that there is a need for further intervention from the Council in respect of service families.</w:t>
      </w:r>
    </w:p>
    <w:p w14:paraId="377BD3D8" w14:textId="77777777" w:rsidR="00360825" w:rsidRPr="00D556DB" w:rsidRDefault="00360825" w:rsidP="00360825">
      <w:pPr>
        <w:pStyle w:val="Heading3"/>
        <w:rPr>
          <w:rFonts w:ascii="Arial" w:hAnsi="Arial" w:cs="Arial"/>
        </w:rPr>
      </w:pPr>
      <w:r w:rsidRPr="00D556DB">
        <w:rPr>
          <w:rFonts w:ascii="Arial" w:hAnsi="Arial" w:cs="Arial"/>
        </w:rPr>
        <w:t>Self and Custom Build</w:t>
      </w:r>
    </w:p>
    <w:p w14:paraId="247ADC50"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Council is required to grant sufficient planning permissions to meet the demand identified on their custom and self-build Register </w:t>
      </w:r>
    </w:p>
    <w:p w14:paraId="1862B08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Over the six base periods (typically 12 month recording periods), there has been a total of 150 registered expressions of interest in a serviced plot of land. And from 1 July 2018, the Council have had 3 applicants which have been placed on part 2 of the register. This averages 25 per annum</w:t>
      </w:r>
    </w:p>
    <w:p w14:paraId="1D1BA94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In addition we can draw on </w:t>
      </w:r>
      <w:proofErr w:type="spellStart"/>
      <w:r w:rsidRPr="00DE1AA1">
        <w:rPr>
          <w:rFonts w:ascii="Arial" w:hAnsi="Arial" w:cs="Arial"/>
          <w:sz w:val="20"/>
          <w:szCs w:val="20"/>
        </w:rPr>
        <w:t>NaCSBA</w:t>
      </w:r>
      <w:proofErr w:type="spellEnd"/>
      <w:r w:rsidRPr="00DE1AA1">
        <w:rPr>
          <w:rFonts w:ascii="Arial" w:hAnsi="Arial" w:cs="Arial"/>
          <w:sz w:val="20"/>
          <w:szCs w:val="20"/>
        </w:rPr>
        <w:t xml:space="preserve"> data to better understand the level of demand for serviced plots in Chichester in relative terms. The data shows that Chichester has mid-levels demand of 125 persons per 100,000 of the population. </w:t>
      </w:r>
    </w:p>
    <w:p w14:paraId="4939C80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lastRenderedPageBreak/>
        <w:t>Iceni consider that in order to respond to demand in the sector, and in response to the PPG’s requirements, the Council should support, through planning policy, the submission and delivery of self-build and custom housebuilding sites, where opportunities for land arise and where such schemes are consistent with other planning policies.</w:t>
      </w:r>
    </w:p>
    <w:p w14:paraId="48BBC06F" w14:textId="77777777" w:rsidR="00360825" w:rsidRPr="00DE1AA1" w:rsidRDefault="00360825" w:rsidP="00360825">
      <w:pPr>
        <w:pStyle w:val="Heading2"/>
        <w:rPr>
          <w:rFonts w:ascii="Arial" w:hAnsi="Arial" w:cs="Arial"/>
        </w:rPr>
      </w:pPr>
      <w:r w:rsidRPr="00D556DB">
        <w:rPr>
          <w:rFonts w:ascii="Arial" w:hAnsi="Arial" w:cs="Arial"/>
        </w:rPr>
        <w:t xml:space="preserve">Office Property Market </w:t>
      </w:r>
    </w:p>
    <w:p w14:paraId="65D240E2"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UK office market is recovering from the pandemic but demand still remains subdued in comparison to pre-pandemic levels. Prime (higher spec) offices are likely to be most in demand as firms look for quality over quantity.</w:t>
      </w:r>
    </w:p>
    <w:p w14:paraId="4E1000C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impact of the pandemic on the South Coast’s office market is unclear. However, before the market was strong, particularly due to demand from professional, business, and TMT (Technology, Medial and Telecommunications) firms and co-working providers.</w:t>
      </w:r>
    </w:p>
    <w:p w14:paraId="56FADAF6"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Chichester has a relatively small office market which has remained stable in size since 2002/03. However, in the last 5 years the amount of office floorspace in Chichester has been shrinking at a similar rate to West Sussex, the South East and England as a whole.</w:t>
      </w:r>
    </w:p>
    <w:p w14:paraId="70AEF531"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Chichester’s office market is not oversupplied but neither is it particularly constrained. However, if the strong demand observed over the last 2 years continues the market may become undersupplied, unless new floorspace is delivered.</w:t>
      </w:r>
    </w:p>
    <w:p w14:paraId="0301533D"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level of demand for high quality office space in Chichester is uncertain but there is no evidence to suggest that the demand for prime space identified at a national level does not exist in the district.</w:t>
      </w:r>
    </w:p>
    <w:p w14:paraId="64E2F724"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Lower quality office space in Chichester is well occupied and should not be lost unless absolutely necessary.</w:t>
      </w:r>
    </w:p>
    <w:p w14:paraId="723011D2"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Chichester’s office market is focussed on small to medium sized provision. Around half of space demand is likely to come from the 100-500 sqm category with the 0-100 sqm categories and 500-2,000 sqm categories making up around a quarter each.</w:t>
      </w:r>
    </w:p>
    <w:p w14:paraId="39288BCB"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Overall, the current supply-demand position is neutral and hence no significant adjustments need to be made to future floorspace needs modelling set out below.</w:t>
      </w:r>
    </w:p>
    <w:p w14:paraId="6387B0CD" w14:textId="77777777" w:rsidR="00360825" w:rsidRPr="00DE1AA1" w:rsidRDefault="00360825" w:rsidP="00360825">
      <w:pPr>
        <w:pStyle w:val="Heading2"/>
        <w:rPr>
          <w:rFonts w:ascii="Arial" w:hAnsi="Arial" w:cs="Arial"/>
        </w:rPr>
      </w:pPr>
      <w:r w:rsidRPr="00DE1AA1">
        <w:rPr>
          <w:rFonts w:ascii="Arial" w:hAnsi="Arial" w:cs="Arial"/>
        </w:rPr>
        <w:t xml:space="preserve">Industrial Market Summary </w:t>
      </w:r>
    </w:p>
    <w:p w14:paraId="6796A24E"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UK industrial property market is thriving, owing to an accelerated shift towards e-commerce, Brexit and demand from high-tech occupiers. This demand is driving high rents which are growing at a faster rate than other major property types.</w:t>
      </w:r>
    </w:p>
    <w:p w14:paraId="18DD7184"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South Coast has a significant property market with good transport connections. The areas’ industrial market has barely been impacted by the pandemic and strong demand has led to an undersupply of space.</w:t>
      </w:r>
    </w:p>
    <w:p w14:paraId="02588D01"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Chichester’s industrial market (which includes factories and warehouses) has grown rapidly over the last 10 years and is now a mid-sized market which makes an important contribution to the industrial market of West Sussex and the South East.</w:t>
      </w:r>
    </w:p>
    <w:p w14:paraId="1A260DBF"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lastRenderedPageBreak/>
        <w:t>Chichester’s industrial market is extremely undersupplied. This is due to both strong recent demand and low levels of delivery.</w:t>
      </w:r>
    </w:p>
    <w:p w14:paraId="40EA1C93"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Rents are very strong in Chichester reflecting the areas’ strategic location (and potentially historically low vacancy rates).</w:t>
      </w:r>
    </w:p>
    <w:p w14:paraId="7057091E"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There is demand for industrial space of all sizes in Chichester, however over half of demand is for floorspace of between 100 and 2,000 sqm. Around 26% of demand is for space between 2,000 sqm and 10,000 sqm with 15% seeking larger (+10,000 sqm) units.</w:t>
      </w:r>
    </w:p>
    <w:p w14:paraId="5605BC4F"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Extreme levels of undersupply in Chichester’s industrial market will be considered when assessing future floorspace needs.</w:t>
      </w:r>
    </w:p>
    <w:p w14:paraId="3515F8A5" w14:textId="77777777" w:rsidR="00360825" w:rsidRPr="00D556DB" w:rsidRDefault="00360825" w:rsidP="00360825">
      <w:pPr>
        <w:pStyle w:val="Heading2"/>
        <w:rPr>
          <w:rFonts w:ascii="Arial" w:hAnsi="Arial" w:cs="Arial"/>
        </w:rPr>
      </w:pPr>
      <w:r w:rsidRPr="00D556DB">
        <w:rPr>
          <w:rFonts w:ascii="Arial" w:hAnsi="Arial" w:cs="Arial"/>
        </w:rPr>
        <w:t>Employment Growth Forecast</w:t>
      </w:r>
    </w:p>
    <w:p w14:paraId="26F0928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As set out earlier in this summary the baseline economic forecasts showing a growth of 5,760 additional jobs over the 2021-2039 period and a growth scenario forecasting</w:t>
      </w:r>
      <w:r>
        <w:rPr>
          <w:rFonts w:ascii="Arial" w:hAnsi="Arial" w:cs="Arial"/>
          <w:sz w:val="20"/>
          <w:szCs w:val="20"/>
        </w:rPr>
        <w:t xml:space="preserve"> </w:t>
      </w:r>
      <w:r w:rsidRPr="00DE1AA1">
        <w:rPr>
          <w:rFonts w:ascii="Arial" w:hAnsi="Arial" w:cs="Arial"/>
          <w:sz w:val="20"/>
          <w:szCs w:val="20"/>
        </w:rPr>
        <w:t>9,802 additional jobs.</w:t>
      </w:r>
    </w:p>
    <w:p w14:paraId="763234E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growth scenario makes adjustments based on intelligence about the local structure and prospects of a range of sectors within Chichester. Combined these adjustments add an additional 4,041 jobs to the baseline forecasts taking the growth from 0.4% per annum to 0.7% per annum.</w:t>
      </w:r>
    </w:p>
    <w:p w14:paraId="7F24AFC0"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However, the 2021 figure is the bottom of the pandemic cycle and some of the initial growth from this point is unlikely to generate any demand for additional floorspace as it will essentially just be the re-employment of those that were furloughed or made redundant during the pandemic.</w:t>
      </w:r>
    </w:p>
    <w:p w14:paraId="3D77422D" w14:textId="77777777" w:rsidR="00360825" w:rsidRPr="00DE1AA1" w:rsidRDefault="00360825" w:rsidP="00360825">
      <w:pPr>
        <w:pStyle w:val="bigserial"/>
        <w:spacing w:after="240"/>
        <w:ind w:left="0" w:hanging="567"/>
        <w:rPr>
          <w:rFonts w:ascii="Arial" w:hAnsi="Arial" w:cs="Arial"/>
          <w:sz w:val="20"/>
          <w:szCs w:val="20"/>
        </w:rPr>
      </w:pPr>
      <w:r w:rsidRPr="00D556DB">
        <w:rPr>
          <w:rFonts w:ascii="Arial" w:hAnsi="Arial" w:cs="Arial"/>
          <w:sz w:val="20"/>
          <w:szCs w:val="20"/>
        </w:rPr>
        <w:t>We have also looked at the number of jobs associated with the delivery of the standard method of 763 dwellings per annum (638 in LPA and 125 in the National Park).</w:t>
      </w:r>
      <w:r>
        <w:rPr>
          <w:rFonts w:ascii="Arial" w:hAnsi="Arial" w:cs="Arial"/>
          <w:sz w:val="20"/>
          <w:szCs w:val="20"/>
        </w:rPr>
        <w:t xml:space="preserve"> </w:t>
      </w:r>
      <w:r w:rsidRPr="00D556DB">
        <w:rPr>
          <w:rFonts w:ascii="Arial" w:hAnsi="Arial" w:cs="Arial"/>
          <w:sz w:val="20"/>
          <w:szCs w:val="20"/>
        </w:rPr>
        <w:t>Our calculations suggest this level of growth would support 12,313 jobs across the district.</w:t>
      </w:r>
    </w:p>
    <w:p w14:paraId="233281B4" w14:textId="77777777" w:rsidR="00360825" w:rsidRPr="00D556DB" w:rsidRDefault="00360825" w:rsidP="00360825">
      <w:pPr>
        <w:pStyle w:val="Heading2"/>
        <w:rPr>
          <w:rFonts w:ascii="Arial" w:eastAsiaTheme="majorEastAsia" w:hAnsi="Arial" w:cs="Arial"/>
        </w:rPr>
      </w:pPr>
      <w:r w:rsidRPr="00D556DB">
        <w:rPr>
          <w:rFonts w:ascii="Arial" w:hAnsi="Arial" w:cs="Arial"/>
        </w:rPr>
        <w:t>Employment Land Need</w:t>
      </w:r>
    </w:p>
    <w:p w14:paraId="63A6A98F" w14:textId="77777777"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As per the Planning Practice Guidance the use of a number of different techniques to estimate future employment land have been used including labour demand, labour supply and completions trends.</w:t>
      </w:r>
    </w:p>
    <w:p w14:paraId="0BC3C49E" w14:textId="77777777"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 xml:space="preserve">In addition we also considered the impact of the pandemic and the potential to reabsorb some jobs within the existing stock, the provision of a flexible margin and future losses to other uses (replacement demand). We also considered the proportion of floorspace required in the Plan Area (85%) as opposed to the SDNP (15%). </w:t>
      </w:r>
    </w:p>
    <w:p w14:paraId="705AA9ED" w14:textId="77777777"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This resulted in an overall labour demand need for between 19.7 and 20.5Ha of employment land in the Plan Area between 2021 and 2039.</w:t>
      </w:r>
    </w:p>
    <w:p w14:paraId="6135E2B4" w14:textId="09269FCD"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As with the previous HEDNA we have concluded that the most appropriate scenario to plan for is a hybrid of the labour demand growth scenario and past net completions</w:t>
      </w:r>
      <w:r w:rsidR="002B1913" w:rsidRPr="008079A0">
        <w:rPr>
          <w:rFonts w:ascii="Arial" w:hAnsi="Arial" w:cs="Arial"/>
          <w:sz w:val="20"/>
          <w:szCs w:val="20"/>
        </w:rPr>
        <w:t xml:space="preserve">. </w:t>
      </w:r>
    </w:p>
    <w:p w14:paraId="6B470C19" w14:textId="77777777"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 xml:space="preserve">Overall, the evidence suggests that the employment land needs for the Plan Area for the period 2021-39 is for between 110,000 and 117,000 sqm of floorspace which translates to 22 and 23 ha in employment land. </w:t>
      </w:r>
    </w:p>
    <w:p w14:paraId="1FA80CD3" w14:textId="77777777" w:rsidR="00360825" w:rsidRDefault="00360825" w:rsidP="00360825">
      <w:pPr>
        <w:spacing w:after="0" w:line="240" w:lineRule="auto"/>
        <w:jc w:val="left"/>
        <w:rPr>
          <w:rFonts w:ascii="Arial" w:hAnsi="Arial" w:cs="Arial"/>
          <w:b/>
          <w:color w:val="646464" w:themeColor="background2"/>
        </w:rPr>
      </w:pPr>
      <w:r>
        <w:br w:type="page"/>
      </w:r>
    </w:p>
    <w:p w14:paraId="0D00CA4E" w14:textId="77777777" w:rsidR="00360825" w:rsidRPr="00326DEC" w:rsidRDefault="00360825" w:rsidP="00472D63">
      <w:pPr>
        <w:pStyle w:val="Heading4"/>
        <w:numPr>
          <w:ilvl w:val="0"/>
          <w:numId w:val="0"/>
        </w:numPr>
        <w:ind w:left="1134" w:hanging="1134"/>
      </w:pPr>
      <w:r>
        <w:lastRenderedPageBreak/>
        <w:t xml:space="preserve">EX3 </w:t>
      </w:r>
      <w:r w:rsidRPr="00326DEC">
        <w:t>– Employment Floorspace and Land Requirements 2021-2039 – CLP Area</w:t>
      </w:r>
    </w:p>
    <w:tbl>
      <w:tblPr>
        <w:tblW w:w="8784" w:type="dxa"/>
        <w:tblLayout w:type="fixed"/>
        <w:tblLook w:val="04A0" w:firstRow="1" w:lastRow="0" w:firstColumn="1" w:lastColumn="0" w:noHBand="0" w:noVBand="1"/>
      </w:tblPr>
      <w:tblGrid>
        <w:gridCol w:w="1271"/>
        <w:gridCol w:w="2504"/>
        <w:gridCol w:w="2504"/>
        <w:gridCol w:w="2505"/>
      </w:tblGrid>
      <w:tr w:rsidR="00360825" w:rsidRPr="00DE1AA1" w14:paraId="66C41444" w14:textId="77777777" w:rsidTr="00C04569">
        <w:trPr>
          <w:trHeight w:val="467"/>
        </w:trPr>
        <w:tc>
          <w:tcPr>
            <w:tcW w:w="127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25DC908" w14:textId="77777777" w:rsidR="00360825" w:rsidRPr="00DE1AA1" w:rsidRDefault="00360825" w:rsidP="00C04569">
            <w:pPr>
              <w:spacing w:after="0" w:line="240" w:lineRule="auto"/>
              <w:jc w:val="left"/>
              <w:rPr>
                <w:rFonts w:ascii="Arial" w:hAnsi="Arial" w:cs="Arial"/>
                <w:b/>
                <w:bCs/>
                <w:color w:val="FFFFFF"/>
              </w:rPr>
            </w:pPr>
            <w:r w:rsidRPr="00DE1AA1">
              <w:rPr>
                <w:rFonts w:ascii="Arial" w:hAnsi="Arial" w:cs="Arial"/>
                <w:color w:val="FFFFFF"/>
              </w:rPr>
              <w:t> </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12F628AD"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Floorspace (Sq. m)</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08833690"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Employment Land (Ha)</w:t>
            </w:r>
          </w:p>
        </w:tc>
        <w:tc>
          <w:tcPr>
            <w:tcW w:w="2505" w:type="dxa"/>
            <w:tcBorders>
              <w:top w:val="single" w:sz="4" w:space="0" w:color="auto"/>
              <w:left w:val="nil"/>
              <w:bottom w:val="single" w:sz="4" w:space="0" w:color="auto"/>
              <w:right w:val="single" w:sz="4" w:space="0" w:color="auto"/>
            </w:tcBorders>
            <w:shd w:val="clear" w:color="000000" w:fill="002060"/>
            <w:vAlign w:val="center"/>
          </w:tcPr>
          <w:p w14:paraId="2CD0F141"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Source</w:t>
            </w:r>
          </w:p>
        </w:tc>
      </w:tr>
      <w:tr w:rsidR="00360825" w:rsidRPr="00B13575" w14:paraId="3046709B"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B4A63C0"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2504" w:type="dxa"/>
            <w:tcBorders>
              <w:top w:val="nil"/>
              <w:left w:val="nil"/>
              <w:bottom w:val="single" w:sz="4" w:space="0" w:color="auto"/>
              <w:right w:val="single" w:sz="4" w:space="0" w:color="auto"/>
            </w:tcBorders>
            <w:shd w:val="clear" w:color="auto" w:fill="auto"/>
            <w:noWrap/>
            <w:vAlign w:val="center"/>
            <w:hideMark/>
          </w:tcPr>
          <w:p w14:paraId="3FE1779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36,488 – 42,863</w:t>
            </w:r>
          </w:p>
        </w:tc>
        <w:tc>
          <w:tcPr>
            <w:tcW w:w="2504" w:type="dxa"/>
            <w:tcBorders>
              <w:top w:val="nil"/>
              <w:left w:val="nil"/>
              <w:bottom w:val="single" w:sz="4" w:space="0" w:color="auto"/>
              <w:right w:val="single" w:sz="4" w:space="0" w:color="auto"/>
            </w:tcBorders>
            <w:shd w:val="clear" w:color="auto" w:fill="auto"/>
            <w:noWrap/>
            <w:vAlign w:val="center"/>
            <w:hideMark/>
          </w:tcPr>
          <w:p w14:paraId="47B4E611"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4.9 - 5.7</w:t>
            </w:r>
          </w:p>
        </w:tc>
        <w:tc>
          <w:tcPr>
            <w:tcW w:w="2505" w:type="dxa"/>
            <w:tcBorders>
              <w:top w:val="nil"/>
              <w:left w:val="nil"/>
              <w:bottom w:val="single" w:sz="4" w:space="0" w:color="auto"/>
              <w:right w:val="single" w:sz="4" w:space="0" w:color="auto"/>
            </w:tcBorders>
            <w:vAlign w:val="center"/>
          </w:tcPr>
          <w:p w14:paraId="01EB05B4"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Labour Demand</w:t>
            </w:r>
          </w:p>
        </w:tc>
      </w:tr>
      <w:tr w:rsidR="00360825" w:rsidRPr="00B13575" w14:paraId="23C16F57"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95AB637"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2504" w:type="dxa"/>
            <w:tcBorders>
              <w:top w:val="nil"/>
              <w:left w:val="nil"/>
              <w:bottom w:val="single" w:sz="4" w:space="0" w:color="auto"/>
              <w:right w:val="single" w:sz="4" w:space="0" w:color="auto"/>
            </w:tcBorders>
            <w:shd w:val="clear" w:color="auto" w:fill="auto"/>
            <w:noWrap/>
            <w:vAlign w:val="center"/>
            <w:hideMark/>
          </w:tcPr>
          <w:p w14:paraId="480D2689"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50,497</w:t>
            </w:r>
          </w:p>
        </w:tc>
        <w:tc>
          <w:tcPr>
            <w:tcW w:w="2504" w:type="dxa"/>
            <w:tcBorders>
              <w:top w:val="nil"/>
              <w:left w:val="nil"/>
              <w:bottom w:val="single" w:sz="4" w:space="0" w:color="auto"/>
              <w:right w:val="single" w:sz="4" w:space="0" w:color="auto"/>
            </w:tcBorders>
            <w:shd w:val="clear" w:color="auto" w:fill="auto"/>
            <w:noWrap/>
            <w:vAlign w:val="center"/>
            <w:hideMark/>
          </w:tcPr>
          <w:p w14:paraId="3B8C255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12.6</w:t>
            </w:r>
          </w:p>
        </w:tc>
        <w:tc>
          <w:tcPr>
            <w:tcW w:w="2505" w:type="dxa"/>
            <w:tcBorders>
              <w:top w:val="nil"/>
              <w:left w:val="nil"/>
              <w:bottom w:val="single" w:sz="4" w:space="0" w:color="auto"/>
              <w:right w:val="single" w:sz="4" w:space="0" w:color="auto"/>
            </w:tcBorders>
            <w:vAlign w:val="center"/>
          </w:tcPr>
          <w:p w14:paraId="0A817711"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Completions</w:t>
            </w:r>
          </w:p>
        </w:tc>
      </w:tr>
      <w:tr w:rsidR="00360825" w:rsidRPr="00B13575" w14:paraId="1DC08E9C"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4ED91DDE"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2504" w:type="dxa"/>
            <w:tcBorders>
              <w:top w:val="nil"/>
              <w:left w:val="nil"/>
              <w:bottom w:val="single" w:sz="4" w:space="0" w:color="auto"/>
              <w:right w:val="single" w:sz="4" w:space="0" w:color="auto"/>
            </w:tcBorders>
            <w:shd w:val="clear" w:color="auto" w:fill="auto"/>
            <w:noWrap/>
            <w:vAlign w:val="center"/>
            <w:hideMark/>
          </w:tcPr>
          <w:p w14:paraId="7A5BAF80"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21,288</w:t>
            </w:r>
          </w:p>
        </w:tc>
        <w:tc>
          <w:tcPr>
            <w:tcW w:w="2504" w:type="dxa"/>
            <w:tcBorders>
              <w:top w:val="nil"/>
              <w:left w:val="nil"/>
              <w:bottom w:val="single" w:sz="4" w:space="0" w:color="auto"/>
              <w:right w:val="single" w:sz="4" w:space="0" w:color="auto"/>
            </w:tcBorders>
            <w:shd w:val="clear" w:color="auto" w:fill="auto"/>
            <w:noWrap/>
            <w:vAlign w:val="center"/>
            <w:hideMark/>
          </w:tcPr>
          <w:p w14:paraId="2A68CA3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4.3</w:t>
            </w:r>
          </w:p>
        </w:tc>
        <w:tc>
          <w:tcPr>
            <w:tcW w:w="2505" w:type="dxa"/>
            <w:tcBorders>
              <w:top w:val="nil"/>
              <w:left w:val="nil"/>
              <w:bottom w:val="single" w:sz="4" w:space="0" w:color="auto"/>
              <w:right w:val="single" w:sz="4" w:space="0" w:color="auto"/>
            </w:tcBorders>
            <w:vAlign w:val="center"/>
          </w:tcPr>
          <w:p w14:paraId="11239966"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Completions</w:t>
            </w:r>
          </w:p>
        </w:tc>
      </w:tr>
      <w:tr w:rsidR="00360825" w:rsidRPr="00B13575" w14:paraId="1AEB3258"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F2BC51E"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2504" w:type="dxa"/>
            <w:tcBorders>
              <w:top w:val="nil"/>
              <w:left w:val="nil"/>
              <w:bottom w:val="single" w:sz="4" w:space="0" w:color="auto"/>
              <w:right w:val="single" w:sz="4" w:space="0" w:color="auto"/>
            </w:tcBorders>
            <w:shd w:val="clear" w:color="auto" w:fill="auto"/>
            <w:noWrap/>
            <w:vAlign w:val="center"/>
            <w:hideMark/>
          </w:tcPr>
          <w:p w14:paraId="4D3616E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110,277 – 116,796</w:t>
            </w:r>
          </w:p>
        </w:tc>
        <w:tc>
          <w:tcPr>
            <w:tcW w:w="2504" w:type="dxa"/>
            <w:tcBorders>
              <w:top w:val="nil"/>
              <w:left w:val="nil"/>
              <w:bottom w:val="single" w:sz="4" w:space="0" w:color="auto"/>
              <w:right w:val="single" w:sz="4" w:space="0" w:color="auto"/>
            </w:tcBorders>
            <w:shd w:val="clear" w:color="auto" w:fill="auto"/>
            <w:noWrap/>
            <w:vAlign w:val="center"/>
            <w:hideMark/>
          </w:tcPr>
          <w:p w14:paraId="2F1A1B80"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22.0 – 23.0</w:t>
            </w:r>
          </w:p>
        </w:tc>
        <w:tc>
          <w:tcPr>
            <w:tcW w:w="2505" w:type="dxa"/>
            <w:tcBorders>
              <w:top w:val="nil"/>
              <w:left w:val="nil"/>
              <w:bottom w:val="single" w:sz="4" w:space="0" w:color="auto"/>
              <w:right w:val="single" w:sz="4" w:space="0" w:color="auto"/>
            </w:tcBorders>
            <w:vAlign w:val="bottom"/>
          </w:tcPr>
          <w:p w14:paraId="179DC715"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 </w:t>
            </w:r>
          </w:p>
        </w:tc>
      </w:tr>
    </w:tbl>
    <w:p w14:paraId="4BF718E8"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based on OE and WSCC Data</w:t>
      </w:r>
    </w:p>
    <w:p w14:paraId="61836C4C" w14:textId="400D6C42"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This is slightly lower than the previous 2020 HEDNA which arrived at a need for 25.6 Ha. However, given shocks to the market in the interim period this reduction would not seem unreasonable</w:t>
      </w:r>
      <w:r w:rsidR="002B1913" w:rsidRPr="008079A0">
        <w:rPr>
          <w:rFonts w:ascii="Arial" w:hAnsi="Arial" w:cs="Arial"/>
          <w:sz w:val="20"/>
          <w:szCs w:val="20"/>
        </w:rPr>
        <w:t xml:space="preserve">. </w:t>
      </w:r>
    </w:p>
    <w:p w14:paraId="09DE8EA8" w14:textId="77777777" w:rsidR="00360825" w:rsidRPr="008079A0" w:rsidRDefault="00360825" w:rsidP="00360825">
      <w:pPr>
        <w:pStyle w:val="Heading2"/>
      </w:pPr>
      <w:r w:rsidRPr="008079A0">
        <w:t>Difference from 2020 HEDNA</w:t>
      </w:r>
    </w:p>
    <w:p w14:paraId="3A137DDA"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This section of the report examines the difference between this version of the HEDNA and the previous 2020 version. It should be noted that the plan period differ by two years. The older report examined the 2019-2037 period whereas this report examines the 2021-2039 period. As both period are the same length they can be directly comparable.</w:t>
      </w:r>
    </w:p>
    <w:p w14:paraId="18CFDE3A" w14:textId="77777777" w:rsidR="00360825" w:rsidRPr="00C16AB0"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In comparison to the 2020 HEDNA overall need for the district using the standard method has increased </w:t>
      </w:r>
      <w:r w:rsidRPr="00C16AB0">
        <w:rPr>
          <w:rFonts w:ascii="Arial" w:hAnsi="Arial" w:cs="Arial"/>
          <w:sz w:val="20"/>
          <w:szCs w:val="20"/>
        </w:rPr>
        <w:t>from 746 dpa to 763 dpa of which 638 is expected in the Plan Area which compares to 621 dpa in the previous report . This reflects worsening affordability in the district and accordingly the higher adjustment.</w:t>
      </w:r>
    </w:p>
    <w:p w14:paraId="798D1C3A" w14:textId="77777777" w:rsidR="00360825" w:rsidRPr="00C16AB0" w:rsidRDefault="00360825" w:rsidP="00360825">
      <w:pPr>
        <w:pStyle w:val="bigserial"/>
        <w:spacing w:after="240"/>
        <w:ind w:left="0" w:hanging="567"/>
        <w:rPr>
          <w:rFonts w:ascii="Arial" w:hAnsi="Arial" w:cs="Arial"/>
          <w:sz w:val="20"/>
          <w:szCs w:val="20"/>
        </w:rPr>
      </w:pPr>
      <w:r w:rsidRPr="00C16AB0">
        <w:rPr>
          <w:rFonts w:ascii="Arial" w:hAnsi="Arial" w:cs="Arial"/>
          <w:sz w:val="20"/>
          <w:szCs w:val="20"/>
        </w:rPr>
        <w:t>The affordable housing need has fallen from 348 social/affordable rented homes per annum to 2</w:t>
      </w:r>
      <w:r w:rsidRPr="00D556DB">
        <w:rPr>
          <w:rFonts w:ascii="Arial" w:hAnsi="Arial" w:cs="Arial"/>
          <w:sz w:val="20"/>
          <w:szCs w:val="20"/>
        </w:rPr>
        <w:t>78</w:t>
      </w:r>
      <w:r w:rsidRPr="00C16AB0">
        <w:rPr>
          <w:rFonts w:ascii="Arial" w:hAnsi="Arial" w:cs="Arial"/>
          <w:sz w:val="20"/>
          <w:szCs w:val="20"/>
        </w:rPr>
        <w:t xml:space="preserve"> affordable homes per annum. </w:t>
      </w:r>
    </w:p>
    <w:p w14:paraId="3580D003" w14:textId="77777777" w:rsidR="00360825" w:rsidRPr="00C16AB0" w:rsidRDefault="00360825" w:rsidP="00360825">
      <w:pPr>
        <w:pStyle w:val="bigserial"/>
        <w:spacing w:after="240"/>
        <w:ind w:left="0" w:hanging="567"/>
        <w:rPr>
          <w:rFonts w:ascii="Arial" w:hAnsi="Arial" w:cs="Arial"/>
          <w:sz w:val="20"/>
          <w:szCs w:val="20"/>
        </w:rPr>
      </w:pPr>
      <w:r w:rsidRPr="00C16AB0">
        <w:rPr>
          <w:rFonts w:ascii="Arial" w:hAnsi="Arial" w:cs="Arial"/>
          <w:sz w:val="20"/>
          <w:szCs w:val="20"/>
        </w:rPr>
        <w:t>However, the need for affordable home ownership products has increase</w:t>
      </w:r>
      <w:r w:rsidRPr="00D556DB">
        <w:rPr>
          <w:rFonts w:ascii="Arial" w:hAnsi="Arial" w:cs="Arial"/>
          <w:sz w:val="20"/>
          <w:szCs w:val="20"/>
        </w:rPr>
        <w:t>d</w:t>
      </w:r>
      <w:r w:rsidRPr="00C16AB0">
        <w:rPr>
          <w:rFonts w:ascii="Arial" w:hAnsi="Arial" w:cs="Arial"/>
          <w:sz w:val="20"/>
          <w:szCs w:val="20"/>
        </w:rPr>
        <w:t xml:space="preserve"> to 30</w:t>
      </w:r>
      <w:r w:rsidRPr="00D556DB">
        <w:rPr>
          <w:rFonts w:ascii="Arial" w:hAnsi="Arial" w:cs="Arial"/>
          <w:sz w:val="20"/>
          <w:szCs w:val="20"/>
        </w:rPr>
        <w:t>1</w:t>
      </w:r>
      <w:r w:rsidRPr="00C16AB0">
        <w:rPr>
          <w:rFonts w:ascii="Arial" w:hAnsi="Arial" w:cs="Arial"/>
          <w:sz w:val="20"/>
          <w:szCs w:val="20"/>
        </w:rPr>
        <w:t xml:space="preserve"> per annum from 130 per annum. This increase is largely due to a different method in assessing future supply. The actual gross need has fallen from 385 per annum to 3</w:t>
      </w:r>
      <w:r w:rsidRPr="00D556DB">
        <w:rPr>
          <w:rFonts w:ascii="Arial" w:hAnsi="Arial" w:cs="Arial"/>
          <w:sz w:val="20"/>
          <w:szCs w:val="20"/>
        </w:rPr>
        <w:t>16</w:t>
      </w:r>
      <w:r w:rsidRPr="00C16AB0">
        <w:rPr>
          <w:rFonts w:ascii="Arial" w:hAnsi="Arial" w:cs="Arial"/>
          <w:sz w:val="20"/>
          <w:szCs w:val="20"/>
        </w:rPr>
        <w:t xml:space="preserve"> per annum.</w:t>
      </w:r>
    </w:p>
    <w:p w14:paraId="29B8CF25" w14:textId="4DE6AB2A" w:rsidR="00360825" w:rsidRPr="00DE1AA1" w:rsidRDefault="00360825" w:rsidP="00360825">
      <w:pPr>
        <w:pStyle w:val="bigserial"/>
        <w:spacing w:after="240"/>
        <w:ind w:left="0" w:hanging="567"/>
        <w:rPr>
          <w:rFonts w:ascii="Arial" w:hAnsi="Arial" w:cs="Arial"/>
          <w:sz w:val="20"/>
          <w:szCs w:val="20"/>
        </w:rPr>
      </w:pPr>
      <w:r w:rsidRPr="00C16AB0">
        <w:rPr>
          <w:rFonts w:ascii="Arial" w:hAnsi="Arial" w:cs="Arial"/>
          <w:sz w:val="20"/>
          <w:szCs w:val="20"/>
        </w:rPr>
        <w:t>The baseline</w:t>
      </w:r>
      <w:r w:rsidRPr="00DE1AA1">
        <w:rPr>
          <w:rFonts w:ascii="Arial" w:hAnsi="Arial" w:cs="Arial"/>
          <w:sz w:val="20"/>
          <w:szCs w:val="20"/>
        </w:rPr>
        <w:t xml:space="preserve"> economic forecasts have increased from 3,700 additional jobs to a growth of 5,760 additional jobs. Although this number includes an element of covid recovery. If the starting point of 2019 </w:t>
      </w:r>
      <w:r w:rsidR="002B1913" w:rsidRPr="00DE1AA1">
        <w:rPr>
          <w:rFonts w:ascii="Arial" w:hAnsi="Arial" w:cs="Arial"/>
          <w:sz w:val="20"/>
          <w:szCs w:val="20"/>
        </w:rPr>
        <w:t>were</w:t>
      </w:r>
      <w:r w:rsidRPr="00DE1AA1">
        <w:rPr>
          <w:rFonts w:ascii="Arial" w:hAnsi="Arial" w:cs="Arial"/>
          <w:sz w:val="20"/>
          <w:szCs w:val="20"/>
        </w:rPr>
        <w:t xml:space="preserve"> used the baseline job growth would only 2,545 jobs by 2039.</w:t>
      </w:r>
    </w:p>
    <w:p w14:paraId="31EF7FEE"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growth scenario has stayed comparable at 9,802 additional jobs compared to 9,500 in the previous report. This is a positive position for the district to take.</w:t>
      </w:r>
    </w:p>
    <w:p w14:paraId="4C0B9DDC" w14:textId="77777777" w:rsidR="00360825" w:rsidRPr="00D556DB" w:rsidRDefault="00360825" w:rsidP="00360825">
      <w:pPr>
        <w:pStyle w:val="bigserial"/>
        <w:spacing w:after="240"/>
        <w:ind w:left="0" w:hanging="567"/>
        <w:rPr>
          <w:rFonts w:ascii="Arial" w:hAnsi="Arial" w:cs="Arial"/>
        </w:rPr>
      </w:pPr>
      <w:r w:rsidRPr="00D556DB">
        <w:rPr>
          <w:rFonts w:ascii="Arial" w:hAnsi="Arial" w:cs="Arial"/>
          <w:sz w:val="20"/>
          <w:szCs w:val="20"/>
        </w:rPr>
        <w:t>The approach which relies on labour demand for offices and completion trends for industrial uses replicates the hybrid approach to assessing need within the previous HEDNA.</w:t>
      </w:r>
      <w:r>
        <w:rPr>
          <w:rFonts w:ascii="Arial" w:hAnsi="Arial" w:cs="Arial"/>
          <w:sz w:val="20"/>
          <w:szCs w:val="20"/>
        </w:rPr>
        <w:t xml:space="preserve"> </w:t>
      </w:r>
      <w:r w:rsidRPr="00D556DB">
        <w:rPr>
          <w:rFonts w:ascii="Arial" w:hAnsi="Arial" w:cs="Arial"/>
          <w:sz w:val="20"/>
          <w:szCs w:val="20"/>
        </w:rPr>
        <w:t xml:space="preserve">However, the overall net need is </w:t>
      </w:r>
      <w:r>
        <w:rPr>
          <w:rFonts w:ascii="Arial" w:hAnsi="Arial" w:cs="Arial"/>
          <w:sz w:val="20"/>
          <w:szCs w:val="20"/>
        </w:rPr>
        <w:t>slightly lower at 22 to 23 Ha in comparison to 25</w:t>
      </w:r>
      <w:r w:rsidRPr="00D556DB">
        <w:rPr>
          <w:rFonts w:ascii="Arial" w:hAnsi="Arial" w:cs="Arial"/>
          <w:sz w:val="20"/>
          <w:szCs w:val="20"/>
        </w:rPr>
        <w:t>.6 Ha in 2020.</w:t>
      </w:r>
      <w:r>
        <w:rPr>
          <w:rFonts w:ascii="Arial" w:hAnsi="Arial" w:cs="Arial"/>
          <w:sz w:val="20"/>
          <w:szCs w:val="20"/>
        </w:rPr>
        <w:t xml:space="preserve"> </w:t>
      </w:r>
    </w:p>
    <w:p w14:paraId="74B3D6F0" w14:textId="77777777" w:rsidR="00360825" w:rsidRDefault="00360825" w:rsidP="00360825">
      <w:pPr>
        <w:spacing w:after="0" w:line="240" w:lineRule="auto"/>
        <w:jc w:val="left"/>
        <w:rPr>
          <w:rFonts w:ascii="Arial" w:hAnsi="Arial" w:cs="Arial"/>
          <w:b/>
          <w:color w:val="646464" w:themeColor="background2"/>
        </w:rPr>
      </w:pPr>
      <w:r>
        <w:br w:type="page"/>
      </w:r>
    </w:p>
    <w:p w14:paraId="3249A31C" w14:textId="33911AEC" w:rsidR="00360825" w:rsidRPr="00D556DB" w:rsidRDefault="00472D63" w:rsidP="00472D63">
      <w:pPr>
        <w:pStyle w:val="Heading4"/>
        <w:numPr>
          <w:ilvl w:val="0"/>
          <w:numId w:val="0"/>
        </w:numPr>
        <w:ind w:left="1134" w:hanging="1134"/>
      </w:pPr>
      <w:r>
        <w:lastRenderedPageBreak/>
        <w:t xml:space="preserve">EX4 - </w:t>
      </w:r>
      <w:r w:rsidR="00360825" w:rsidRPr="00D556DB">
        <w:t>Comparison to Previous HEDNA</w:t>
      </w:r>
    </w:p>
    <w:tbl>
      <w:tblPr>
        <w:tblpPr w:leftFromText="180" w:rightFromText="180" w:vertAnchor="text" w:horzAnchor="margin" w:tblpY="89"/>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4"/>
        <w:gridCol w:w="1752"/>
        <w:gridCol w:w="1753"/>
        <w:gridCol w:w="1752"/>
        <w:gridCol w:w="1753"/>
      </w:tblGrid>
      <w:tr w:rsidR="00360825" w:rsidRPr="00DE1AA1" w14:paraId="4C40861F" w14:textId="77777777" w:rsidTr="00C04569">
        <w:trPr>
          <w:trHeight w:hRule="exact" w:val="418"/>
        </w:trPr>
        <w:tc>
          <w:tcPr>
            <w:tcW w:w="1774" w:type="dxa"/>
            <w:shd w:val="clear" w:color="000000" w:fill="002060"/>
            <w:noWrap/>
            <w:vAlign w:val="center"/>
            <w:hideMark/>
          </w:tcPr>
          <w:p w14:paraId="4E032EA1" w14:textId="77777777" w:rsidR="00360825" w:rsidRPr="00DE1AA1" w:rsidRDefault="00360825" w:rsidP="00C04569">
            <w:pPr>
              <w:rPr>
                <w:rFonts w:ascii="Arial" w:hAnsi="Arial" w:cs="Arial"/>
                <w:color w:val="FFFFFF"/>
              </w:rPr>
            </w:pPr>
            <w:r w:rsidRPr="00DE1AA1">
              <w:rPr>
                <w:rFonts w:ascii="Arial" w:hAnsi="Arial" w:cs="Arial"/>
                <w:color w:val="FFFFFF"/>
              </w:rPr>
              <w:t>Type</w:t>
            </w:r>
          </w:p>
        </w:tc>
        <w:tc>
          <w:tcPr>
            <w:tcW w:w="1752" w:type="dxa"/>
            <w:shd w:val="clear" w:color="000000" w:fill="002060"/>
            <w:vAlign w:val="center"/>
          </w:tcPr>
          <w:p w14:paraId="6B20BEF0"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2020 Sq. m</w:t>
            </w:r>
          </w:p>
        </w:tc>
        <w:tc>
          <w:tcPr>
            <w:tcW w:w="1753" w:type="dxa"/>
            <w:shd w:val="clear" w:color="000000" w:fill="002060"/>
            <w:vAlign w:val="center"/>
          </w:tcPr>
          <w:p w14:paraId="6249DEF8"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2020 Ha</w:t>
            </w:r>
          </w:p>
        </w:tc>
        <w:tc>
          <w:tcPr>
            <w:tcW w:w="1752" w:type="dxa"/>
            <w:shd w:val="clear" w:color="000000" w:fill="002060"/>
            <w:vAlign w:val="center"/>
            <w:hideMark/>
          </w:tcPr>
          <w:p w14:paraId="46FBAB95"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2022 Sq. m</w:t>
            </w:r>
          </w:p>
        </w:tc>
        <w:tc>
          <w:tcPr>
            <w:tcW w:w="1753" w:type="dxa"/>
            <w:shd w:val="clear" w:color="000000" w:fill="002060"/>
            <w:vAlign w:val="center"/>
            <w:hideMark/>
          </w:tcPr>
          <w:p w14:paraId="3FF244A7"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2022 Ha</w:t>
            </w:r>
          </w:p>
        </w:tc>
      </w:tr>
      <w:tr w:rsidR="00360825" w:rsidRPr="00DE1AA1" w14:paraId="06C50B4A" w14:textId="77777777" w:rsidTr="00C04569">
        <w:trPr>
          <w:trHeight w:hRule="exact" w:val="284"/>
        </w:trPr>
        <w:tc>
          <w:tcPr>
            <w:tcW w:w="1774" w:type="dxa"/>
            <w:shd w:val="clear" w:color="000000" w:fill="FFFFFF"/>
            <w:noWrap/>
            <w:vAlign w:val="center"/>
            <w:hideMark/>
          </w:tcPr>
          <w:p w14:paraId="626629BA" w14:textId="77777777" w:rsidR="00360825" w:rsidRPr="00DE1AA1" w:rsidRDefault="00360825" w:rsidP="00C04569">
            <w:pPr>
              <w:rPr>
                <w:rFonts w:ascii="Arial" w:hAnsi="Arial" w:cs="Arial"/>
                <w:color w:val="000000"/>
              </w:rPr>
            </w:pPr>
            <w:r w:rsidRPr="00DE1AA1">
              <w:rPr>
                <w:rFonts w:ascii="Arial" w:hAnsi="Arial" w:cs="Arial"/>
                <w:color w:val="000000"/>
                <w:lang w:val="en-US"/>
              </w:rPr>
              <w:t>Office</w:t>
            </w:r>
          </w:p>
        </w:tc>
        <w:tc>
          <w:tcPr>
            <w:tcW w:w="1752" w:type="dxa"/>
            <w:shd w:val="clear" w:color="000000" w:fill="FFFFFF"/>
          </w:tcPr>
          <w:p w14:paraId="045BB5F1"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40,400</w:t>
            </w:r>
          </w:p>
        </w:tc>
        <w:tc>
          <w:tcPr>
            <w:tcW w:w="1753" w:type="dxa"/>
            <w:shd w:val="clear" w:color="000000" w:fill="FFFFFF"/>
          </w:tcPr>
          <w:p w14:paraId="4D5F8B35"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5.4</w:t>
            </w:r>
          </w:p>
        </w:tc>
        <w:tc>
          <w:tcPr>
            <w:tcW w:w="1752" w:type="dxa"/>
            <w:shd w:val="clear" w:color="000000" w:fill="FFFFFF"/>
            <w:vAlign w:val="center"/>
            <w:hideMark/>
          </w:tcPr>
          <w:p w14:paraId="656C53FB"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36,488 – 42,863</w:t>
            </w:r>
          </w:p>
        </w:tc>
        <w:tc>
          <w:tcPr>
            <w:tcW w:w="1753" w:type="dxa"/>
            <w:shd w:val="clear" w:color="000000" w:fill="FFFFFF"/>
            <w:vAlign w:val="center"/>
            <w:hideMark/>
          </w:tcPr>
          <w:p w14:paraId="07DEBB53"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4.9 - 5.7</w:t>
            </w:r>
          </w:p>
        </w:tc>
      </w:tr>
      <w:tr w:rsidR="00360825" w:rsidRPr="00DE1AA1" w14:paraId="2C74EE9D" w14:textId="77777777" w:rsidTr="00C04569">
        <w:trPr>
          <w:trHeight w:hRule="exact" w:val="284"/>
        </w:trPr>
        <w:tc>
          <w:tcPr>
            <w:tcW w:w="1774" w:type="dxa"/>
            <w:shd w:val="clear" w:color="000000" w:fill="FFFFFF"/>
            <w:noWrap/>
            <w:vAlign w:val="center"/>
            <w:hideMark/>
          </w:tcPr>
          <w:p w14:paraId="504EC8D5" w14:textId="77777777" w:rsidR="00360825" w:rsidRPr="00DE1AA1" w:rsidRDefault="00360825" w:rsidP="00C04569">
            <w:pPr>
              <w:rPr>
                <w:rFonts w:ascii="Arial" w:hAnsi="Arial" w:cs="Arial"/>
                <w:color w:val="000000"/>
              </w:rPr>
            </w:pPr>
            <w:r w:rsidRPr="00DE1AA1">
              <w:rPr>
                <w:rFonts w:ascii="Arial" w:hAnsi="Arial" w:cs="Arial"/>
                <w:color w:val="000000"/>
                <w:lang w:val="en-US"/>
              </w:rPr>
              <w:t>Industrial</w:t>
            </w:r>
          </w:p>
        </w:tc>
        <w:tc>
          <w:tcPr>
            <w:tcW w:w="1752" w:type="dxa"/>
            <w:shd w:val="clear" w:color="000000" w:fill="FFFFFF"/>
          </w:tcPr>
          <w:p w14:paraId="797B80FF"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 xml:space="preserve"> 36,200 </w:t>
            </w:r>
          </w:p>
        </w:tc>
        <w:tc>
          <w:tcPr>
            <w:tcW w:w="1753" w:type="dxa"/>
            <w:shd w:val="clear" w:color="000000" w:fill="FFFFFF"/>
            <w:vAlign w:val="center"/>
          </w:tcPr>
          <w:p w14:paraId="1210ACE0"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9.1</w:t>
            </w:r>
          </w:p>
        </w:tc>
        <w:tc>
          <w:tcPr>
            <w:tcW w:w="1752" w:type="dxa"/>
            <w:shd w:val="clear" w:color="000000" w:fill="FFFFFF"/>
            <w:vAlign w:val="center"/>
            <w:hideMark/>
          </w:tcPr>
          <w:p w14:paraId="24C4D921"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50,497</w:t>
            </w:r>
          </w:p>
        </w:tc>
        <w:tc>
          <w:tcPr>
            <w:tcW w:w="1753" w:type="dxa"/>
            <w:shd w:val="clear" w:color="000000" w:fill="FFFFFF"/>
            <w:vAlign w:val="center"/>
            <w:hideMark/>
          </w:tcPr>
          <w:p w14:paraId="2ECA92F8"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12.6</w:t>
            </w:r>
          </w:p>
        </w:tc>
      </w:tr>
      <w:tr w:rsidR="00360825" w:rsidRPr="00DE1AA1" w14:paraId="57DFB3E4" w14:textId="77777777" w:rsidTr="00C04569">
        <w:trPr>
          <w:trHeight w:hRule="exact" w:val="284"/>
        </w:trPr>
        <w:tc>
          <w:tcPr>
            <w:tcW w:w="1774" w:type="dxa"/>
            <w:shd w:val="clear" w:color="000000" w:fill="FFFFFF"/>
            <w:noWrap/>
            <w:vAlign w:val="center"/>
            <w:hideMark/>
          </w:tcPr>
          <w:p w14:paraId="1CF2D18F" w14:textId="77777777" w:rsidR="00360825" w:rsidRPr="00DE1AA1" w:rsidRDefault="00360825" w:rsidP="00C04569">
            <w:pPr>
              <w:rPr>
                <w:rFonts w:ascii="Arial" w:hAnsi="Arial" w:cs="Arial"/>
                <w:color w:val="000000"/>
              </w:rPr>
            </w:pPr>
            <w:r w:rsidRPr="00DE1AA1">
              <w:rPr>
                <w:rFonts w:ascii="Arial" w:hAnsi="Arial" w:cs="Arial"/>
                <w:color w:val="000000"/>
                <w:lang w:val="en-US"/>
              </w:rPr>
              <w:t>Warehouse</w:t>
            </w:r>
          </w:p>
        </w:tc>
        <w:tc>
          <w:tcPr>
            <w:tcW w:w="1752" w:type="dxa"/>
            <w:shd w:val="clear" w:color="000000" w:fill="FFFFFF"/>
          </w:tcPr>
          <w:p w14:paraId="2A5E0A3B"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 xml:space="preserve"> 55,600</w:t>
            </w:r>
          </w:p>
        </w:tc>
        <w:tc>
          <w:tcPr>
            <w:tcW w:w="1753" w:type="dxa"/>
            <w:shd w:val="clear" w:color="000000" w:fill="FFFFFF"/>
            <w:vAlign w:val="center"/>
          </w:tcPr>
          <w:p w14:paraId="74BB4482"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11.1</w:t>
            </w:r>
          </w:p>
        </w:tc>
        <w:tc>
          <w:tcPr>
            <w:tcW w:w="1752" w:type="dxa"/>
            <w:shd w:val="clear" w:color="000000" w:fill="FFFFFF"/>
            <w:vAlign w:val="center"/>
            <w:hideMark/>
          </w:tcPr>
          <w:p w14:paraId="4F402F94"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21,288</w:t>
            </w:r>
          </w:p>
        </w:tc>
        <w:tc>
          <w:tcPr>
            <w:tcW w:w="1753" w:type="dxa"/>
            <w:shd w:val="clear" w:color="000000" w:fill="FFFFFF"/>
            <w:vAlign w:val="center"/>
            <w:hideMark/>
          </w:tcPr>
          <w:p w14:paraId="6C6E2072"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4.3</w:t>
            </w:r>
          </w:p>
        </w:tc>
      </w:tr>
      <w:tr w:rsidR="00360825" w:rsidRPr="00DE1AA1" w14:paraId="3874E120" w14:textId="77777777" w:rsidTr="00C04569">
        <w:trPr>
          <w:trHeight w:hRule="exact" w:val="576"/>
        </w:trPr>
        <w:tc>
          <w:tcPr>
            <w:tcW w:w="1774" w:type="dxa"/>
            <w:shd w:val="clear" w:color="000000" w:fill="FFFFFF"/>
            <w:noWrap/>
            <w:vAlign w:val="center"/>
            <w:hideMark/>
          </w:tcPr>
          <w:p w14:paraId="3C05230C" w14:textId="77777777" w:rsidR="00360825" w:rsidRPr="00DE1AA1" w:rsidRDefault="00360825" w:rsidP="00C04569">
            <w:pPr>
              <w:rPr>
                <w:rFonts w:ascii="Arial" w:hAnsi="Arial" w:cs="Arial"/>
                <w:color w:val="000000"/>
              </w:rPr>
            </w:pPr>
            <w:r w:rsidRPr="00DE1AA1">
              <w:rPr>
                <w:rFonts w:ascii="Arial" w:hAnsi="Arial" w:cs="Arial"/>
                <w:color w:val="000000"/>
                <w:lang w:val="en-US"/>
              </w:rPr>
              <w:t>Total</w:t>
            </w:r>
          </w:p>
        </w:tc>
        <w:tc>
          <w:tcPr>
            <w:tcW w:w="1752" w:type="dxa"/>
            <w:shd w:val="clear" w:color="000000" w:fill="FFFFFF"/>
            <w:vAlign w:val="center"/>
          </w:tcPr>
          <w:p w14:paraId="2C1E4872"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132,200</w:t>
            </w:r>
          </w:p>
        </w:tc>
        <w:tc>
          <w:tcPr>
            <w:tcW w:w="1753" w:type="dxa"/>
            <w:shd w:val="clear" w:color="000000" w:fill="FFFFFF"/>
            <w:vAlign w:val="center"/>
          </w:tcPr>
          <w:p w14:paraId="20CE0306"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25.6</w:t>
            </w:r>
          </w:p>
        </w:tc>
        <w:tc>
          <w:tcPr>
            <w:tcW w:w="1752" w:type="dxa"/>
            <w:shd w:val="clear" w:color="000000" w:fill="FFFFFF"/>
            <w:vAlign w:val="center"/>
            <w:hideMark/>
          </w:tcPr>
          <w:p w14:paraId="1A56CD35"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110,277 – 116,796</w:t>
            </w:r>
          </w:p>
        </w:tc>
        <w:tc>
          <w:tcPr>
            <w:tcW w:w="1753" w:type="dxa"/>
            <w:shd w:val="clear" w:color="000000" w:fill="FFFFFF"/>
            <w:vAlign w:val="center"/>
            <w:hideMark/>
          </w:tcPr>
          <w:p w14:paraId="0F0B1D6F"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22.0 – 23.0</w:t>
            </w:r>
          </w:p>
        </w:tc>
      </w:tr>
    </w:tbl>
    <w:p w14:paraId="76ED4C22"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Iceni Projects and CDC HEDNA 2020</w:t>
      </w:r>
    </w:p>
    <w:p w14:paraId="088EA772" w14:textId="77777777"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 xml:space="preserve">The need for offices is largely unchanged while the need for factories has increased and warehousing has decreased.   This is reasonable given the major impacts on the economy that have occurred over the last two years however this should be monitored with any notable recovery addressed. </w:t>
      </w:r>
    </w:p>
    <w:p w14:paraId="63BA73E3" w14:textId="77777777" w:rsidR="00360825" w:rsidRPr="00D556DB" w:rsidRDefault="00360825" w:rsidP="001A7584">
      <w:pPr>
        <w:pStyle w:val="Heading1"/>
        <w:numPr>
          <w:ilvl w:val="0"/>
          <w:numId w:val="6"/>
        </w:numPr>
        <w:ind w:hanging="709"/>
        <w:jc w:val="left"/>
        <w:rPr>
          <w:rFonts w:ascii="Arial" w:hAnsi="Arial" w:cs="Arial"/>
        </w:rPr>
      </w:pPr>
      <w:bookmarkStart w:id="1" w:name="_Toc96358132"/>
      <w:bookmarkStart w:id="2" w:name="_Toc97716030"/>
      <w:r w:rsidRPr="00D556DB">
        <w:rPr>
          <w:rFonts w:ascii="Arial" w:hAnsi="Arial" w:cs="Arial"/>
        </w:rPr>
        <w:lastRenderedPageBreak/>
        <w:t>Introduction</w:t>
      </w:r>
      <w:bookmarkEnd w:id="1"/>
      <w:bookmarkEnd w:id="2"/>
      <w:r>
        <w:rPr>
          <w:rFonts w:ascii="Arial" w:hAnsi="Arial" w:cs="Arial"/>
        </w:rPr>
        <w:t xml:space="preserve"> </w:t>
      </w:r>
    </w:p>
    <w:p w14:paraId="02FCC381" w14:textId="25F86233" w:rsidR="00360825" w:rsidRPr="00D556DB" w:rsidRDefault="00360825" w:rsidP="001A7584">
      <w:pPr>
        <w:pStyle w:val="BodyText"/>
        <w:numPr>
          <w:ilvl w:val="1"/>
          <w:numId w:val="6"/>
        </w:numPr>
        <w:tabs>
          <w:tab w:val="clear" w:pos="1134"/>
          <w:tab w:val="num" w:pos="0"/>
        </w:tabs>
        <w:ind w:left="0" w:hanging="709"/>
        <w:rPr>
          <w:rFonts w:ascii="Arial" w:hAnsi="Arial" w:cs="Arial"/>
        </w:rPr>
      </w:pPr>
      <w:bookmarkStart w:id="3" w:name="_Hlk89082310"/>
      <w:bookmarkStart w:id="4" w:name="_Hlk86310911"/>
      <w:r w:rsidRPr="00D556DB">
        <w:rPr>
          <w:rFonts w:ascii="Arial" w:hAnsi="Arial" w:cs="Arial"/>
        </w:rPr>
        <w:t>Chichester District Council commissioned Iceni Projects and Justin Gardner Consulting (JGC) to prepare this update to the Housing &amp; Economic Development Needs Assessment (“HEDNA”). This work was most recently updated by GL Hearn in January 2018</w:t>
      </w:r>
      <w:r w:rsidR="0019450B">
        <w:rPr>
          <w:rFonts w:ascii="Arial" w:hAnsi="Arial" w:cs="Arial"/>
        </w:rPr>
        <w:t>, August 2018</w:t>
      </w:r>
      <w:r w:rsidRPr="00D556DB">
        <w:rPr>
          <w:rFonts w:ascii="Arial" w:hAnsi="Arial" w:cs="Arial"/>
        </w:rPr>
        <w:t xml:space="preserve"> and September 2020.</w:t>
      </w:r>
    </w:p>
    <w:p w14:paraId="35E4DEE4"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bookmarkStart w:id="5" w:name="_Hlk89082318"/>
      <w:bookmarkEnd w:id="3"/>
      <w:r w:rsidRPr="00D556DB">
        <w:rPr>
          <w:rFonts w:ascii="Arial" w:hAnsi="Arial" w:cs="Arial"/>
        </w:rPr>
        <w:t xml:space="preserve">As an update report this work is not a full HEDNA but a targeted review of the main outputs. </w:t>
      </w:r>
      <w:r w:rsidRPr="00DE1AA1">
        <w:rPr>
          <w:rFonts w:ascii="Arial" w:hAnsi="Arial" w:cs="Arial"/>
        </w:rPr>
        <w:t xml:space="preserve">These include, </w:t>
      </w:r>
      <w:r w:rsidRPr="00D556DB">
        <w:rPr>
          <w:rFonts w:ascii="Arial" w:hAnsi="Arial" w:cs="Arial"/>
        </w:rPr>
        <w:t>updating</w:t>
      </w:r>
      <w:r w:rsidRPr="00DE1AA1">
        <w:rPr>
          <w:rFonts w:ascii="Arial" w:hAnsi="Arial" w:cs="Arial"/>
        </w:rPr>
        <w:t xml:space="preserve"> the housing market, assessing housing need, calculating affordable housing need, the need for older persons housing and other groups.</w:t>
      </w:r>
      <w:r>
        <w:rPr>
          <w:rFonts w:ascii="Arial" w:hAnsi="Arial" w:cs="Arial"/>
        </w:rPr>
        <w:t xml:space="preserve"> </w:t>
      </w:r>
      <w:r w:rsidRPr="00DE1AA1">
        <w:rPr>
          <w:rFonts w:ascii="Arial" w:hAnsi="Arial" w:cs="Arial"/>
        </w:rPr>
        <w:t xml:space="preserve">On the economic side the main outputs are to update economic forecasts, review the commercial property market, and updating the employment space calculations. </w:t>
      </w:r>
    </w:p>
    <w:p w14:paraId="28479F0F"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Much of the previous HEDNA remains relevant including HMA geographies and should be cross referenced with this report as and when necessary.</w:t>
      </w:r>
    </w:p>
    <w:bookmarkEnd w:id="4"/>
    <w:bookmarkEnd w:id="5"/>
    <w:p w14:paraId="5EADBED7"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There have been significant global and national events which have occurred in the interim period as such much of the demographic and economic outlook have changed in the interim period and this update reflects these.</w:t>
      </w:r>
    </w:p>
    <w:p w14:paraId="4A7F2761"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In addition, there have also been a number of policy announcements which need to be taken into account. This includes the publication of the revised National Planning Policy Framework (2021) and Planning Practice Guidance in relation to First Homes. In both cases this update reflects the new policies and guidance.</w:t>
      </w:r>
    </w:p>
    <w:p w14:paraId="0B1695F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Following this introductory chapter this report has the following structure:</w:t>
      </w:r>
    </w:p>
    <w:p w14:paraId="7C83395B"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2 - Updates the housing market; </w:t>
      </w:r>
    </w:p>
    <w:p w14:paraId="513C4D19"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Chapter 3 – Reviews recent demographics;</w:t>
      </w:r>
      <w:r w:rsidRPr="00D556DB">
        <w:rPr>
          <w:rFonts w:ascii="Arial" w:hAnsi="Arial" w:cs="Arial"/>
        </w:rPr>
        <w:fldChar w:fldCharType="begin"/>
      </w:r>
      <w:r w:rsidRPr="00D556DB">
        <w:rPr>
          <w:rFonts w:ascii="Arial" w:hAnsi="Arial" w:cs="Arial"/>
        </w:rPr>
        <w:instrText xml:space="preserve"> TOC \o "1-1" \h \z \u </w:instrText>
      </w:r>
      <w:r w:rsidRPr="00D556DB">
        <w:rPr>
          <w:rFonts w:ascii="Arial" w:hAnsi="Arial" w:cs="Arial"/>
        </w:rPr>
        <w:fldChar w:fldCharType="separate"/>
      </w:r>
      <w:hyperlink w:anchor="_Toc88465259" w:history="1"/>
    </w:p>
    <w:p w14:paraId="1166876F"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1" w:history="1">
        <w:r w:rsidRPr="00D556DB">
          <w:rPr>
            <w:rFonts w:ascii="Arial" w:hAnsi="Arial" w:cs="Arial"/>
          </w:rPr>
          <w:t>4 – Examines overall housing need</w:t>
        </w:r>
      </w:hyperlink>
      <w:r w:rsidRPr="00D556DB">
        <w:rPr>
          <w:rFonts w:ascii="Arial" w:hAnsi="Arial" w:cs="Arial"/>
        </w:rPr>
        <w:t>;</w:t>
      </w:r>
    </w:p>
    <w:p w14:paraId="25666E84"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5 - Calculates demographic growth </w:t>
      </w:r>
    </w:p>
    <w:p w14:paraId="65AA727A"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Chapter 6 - Examines the link between demographic and Economic Growth</w:t>
      </w:r>
    </w:p>
    <w:p w14:paraId="56F698D2"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2" w:history="1">
        <w:r w:rsidRPr="00D556DB">
          <w:rPr>
            <w:rFonts w:ascii="Arial" w:hAnsi="Arial" w:cs="Arial"/>
          </w:rPr>
          <w:t xml:space="preserve">7 - Calculates affordable housing need; </w:t>
        </w:r>
      </w:hyperlink>
    </w:p>
    <w:p w14:paraId="4D519CB6"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3" w:history="1">
        <w:r w:rsidRPr="00D556DB">
          <w:rPr>
            <w:rFonts w:ascii="Arial" w:hAnsi="Arial" w:cs="Arial"/>
          </w:rPr>
          <w:t xml:space="preserve">8 – Looks at the need for older people and those with a disability; </w:t>
        </w:r>
      </w:hyperlink>
    </w:p>
    <w:p w14:paraId="4EF5C596"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4" w:history="1">
        <w:r w:rsidRPr="00D556DB">
          <w:rPr>
            <w:rFonts w:ascii="Arial" w:hAnsi="Arial" w:cs="Arial"/>
          </w:rPr>
          <w:t xml:space="preserve">9 – Looks at housing need for a range of other specific groups; </w:t>
        </w:r>
      </w:hyperlink>
    </w:p>
    <w:p w14:paraId="45A9F2AB"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5" w:history="1">
        <w:r w:rsidRPr="00D556DB">
          <w:rPr>
            <w:rFonts w:ascii="Arial" w:hAnsi="Arial" w:cs="Arial"/>
          </w:rPr>
          <w:t>10 – Examines the commercial property market</w:t>
        </w:r>
      </w:hyperlink>
      <w:r w:rsidRPr="00D556DB">
        <w:rPr>
          <w:rFonts w:ascii="Arial" w:hAnsi="Arial" w:cs="Arial"/>
        </w:rPr>
        <w:t>;</w:t>
      </w:r>
    </w:p>
    <w:p w14:paraId="23CF6888"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6" w:history="1">
        <w:r w:rsidRPr="00D556DB">
          <w:rPr>
            <w:rFonts w:ascii="Arial" w:hAnsi="Arial" w:cs="Arial"/>
          </w:rPr>
          <w:t>11 – Forecasts employment growth</w:t>
        </w:r>
      </w:hyperlink>
      <w:r w:rsidRPr="00D556DB">
        <w:rPr>
          <w:rFonts w:ascii="Arial" w:hAnsi="Arial" w:cs="Arial"/>
        </w:rPr>
        <w:t>; and</w:t>
      </w:r>
    </w:p>
    <w:p w14:paraId="66E9FE26"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7" w:history="1">
        <w:r w:rsidRPr="00D556DB">
          <w:rPr>
            <w:rFonts w:ascii="Arial" w:hAnsi="Arial" w:cs="Arial"/>
          </w:rPr>
          <w:t>12 – Calculates the employment space requirements</w:t>
        </w:r>
      </w:hyperlink>
      <w:r w:rsidRPr="00D556DB">
        <w:rPr>
          <w:rFonts w:ascii="Arial" w:hAnsi="Arial" w:cs="Arial"/>
        </w:rPr>
        <w:t>.</w:t>
      </w:r>
    </w:p>
    <w:p w14:paraId="39C7E25A" w14:textId="77777777" w:rsidR="00360825" w:rsidRPr="00D556DB" w:rsidRDefault="00360825" w:rsidP="00360825">
      <w:pPr>
        <w:pStyle w:val="ListBullet2"/>
        <w:numPr>
          <w:ilvl w:val="0"/>
          <w:numId w:val="0"/>
        </w:numPr>
        <w:spacing w:after="120" w:line="240" w:lineRule="auto"/>
        <w:ind w:left="641"/>
        <w:rPr>
          <w:rFonts w:ascii="Arial" w:hAnsi="Arial" w:cs="Arial"/>
        </w:rPr>
      </w:pPr>
      <w:r w:rsidRPr="00D556DB">
        <w:rPr>
          <w:rFonts w:ascii="Arial" w:hAnsi="Arial" w:cs="Arial"/>
        </w:rPr>
        <w:fldChar w:fldCharType="end"/>
      </w:r>
    </w:p>
    <w:p w14:paraId="44437BC6" w14:textId="77777777" w:rsidR="00360825" w:rsidRPr="00D556DB" w:rsidRDefault="00360825" w:rsidP="00360825">
      <w:pPr>
        <w:pStyle w:val="Heading1"/>
        <w:rPr>
          <w:rFonts w:ascii="Arial" w:hAnsi="Arial" w:cs="Arial"/>
        </w:rPr>
      </w:pPr>
      <w:bookmarkStart w:id="6" w:name="_Toc96358133"/>
      <w:bookmarkStart w:id="7" w:name="_Toc97716031"/>
      <w:r w:rsidRPr="00D556DB">
        <w:rPr>
          <w:rFonts w:ascii="Arial" w:hAnsi="Arial" w:cs="Arial"/>
        </w:rPr>
        <w:lastRenderedPageBreak/>
        <w:t>Housing Market Update</w:t>
      </w:r>
      <w:bookmarkEnd w:id="6"/>
      <w:bookmarkEnd w:id="7"/>
      <w:r w:rsidRPr="00D556DB">
        <w:rPr>
          <w:rFonts w:ascii="Arial" w:hAnsi="Arial" w:cs="Arial"/>
        </w:rPr>
        <w:t xml:space="preserve"> </w:t>
      </w:r>
    </w:p>
    <w:p w14:paraId="6BF0360A"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t>5-202</w:t>
      </w:r>
      <w:bookmarkStart w:id="8" w:name="_Hlk88809752"/>
      <w:r w:rsidRPr="00D556DB">
        <w:rPr>
          <w:rFonts w:ascii="Arial" w:hAnsi="Arial" w:cs="Arial"/>
        </w:rPr>
        <w:t xml:space="preserve">In 2021 the median house price in Chichester was £415,000. This was an increase of just over £15,000 (3.9%) over the last year. As shown in the figure below house price growth has been almost continual since 2000 although there have been corrections in 2008/09 and 2018/19. </w:t>
      </w:r>
    </w:p>
    <w:p w14:paraId="79561909" w14:textId="77777777" w:rsidR="00360825" w:rsidRPr="00360825" w:rsidRDefault="00360825" w:rsidP="00472D63">
      <w:pPr>
        <w:pStyle w:val="Heading4"/>
        <w:ind w:firstLine="0"/>
      </w:pPr>
      <w:r w:rsidRPr="00360825">
        <w:t xml:space="preserve"> Median House Price - Chichester (2000-2021)</w:t>
      </w:r>
    </w:p>
    <w:p w14:paraId="770B74C3"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4743B624" wp14:editId="5FA07A6C">
            <wp:extent cx="5476875" cy="3004457"/>
            <wp:effectExtent l="0" t="0" r="9525" b="5715"/>
            <wp:docPr id="43" name="Chart 43" descr="As shown in the figure below house price growth has been almost continual since 2000 although there have been corrections in 2008/09 and 2018/19. ">
              <a:extLst xmlns:a="http://schemas.openxmlformats.org/drawingml/2006/main">
                <a:ext uri="{FF2B5EF4-FFF2-40B4-BE49-F238E27FC236}">
                  <a16:creationId xmlns:a16="http://schemas.microsoft.com/office/drawing/2014/main" id="{4DF93234-284F-4FE9-BF4E-0AE81E9B33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D556DB">
        <w:rPr>
          <w:rFonts w:ascii="Arial" w:hAnsi="Arial" w:cs="Arial"/>
        </w:rPr>
        <w:t>Source: HM Land Registry, 2021</w:t>
      </w:r>
    </w:p>
    <w:p w14:paraId="0D8B5ED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There is significant variation in house prices across the district. As illustrated in the map below there is a clear urban rural split in the district. The highest prices are found in the north of the district and rural areas immediately to the east and west of Chichester City, where the lowest prices can be found.</w:t>
      </w:r>
    </w:p>
    <w:p w14:paraId="36C23DA4"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In general, house prices are influenced by the mix of housing with those areas with a high percentage of detached homes likely to have higher overall values than those areas which are predominantly smaller homes such as flats are terraces.</w:t>
      </w:r>
    </w:p>
    <w:p w14:paraId="54C386C2" w14:textId="77777777" w:rsidR="00360825" w:rsidRPr="00D556DB" w:rsidRDefault="00360825" w:rsidP="00360825">
      <w:pPr>
        <w:pStyle w:val="BodyText"/>
        <w:numPr>
          <w:ilvl w:val="0"/>
          <w:numId w:val="0"/>
        </w:numPr>
        <w:rPr>
          <w:rFonts w:ascii="Arial" w:hAnsi="Arial" w:cs="Arial"/>
        </w:rPr>
      </w:pPr>
    </w:p>
    <w:p w14:paraId="6C159392" w14:textId="77777777" w:rsidR="00360825" w:rsidRPr="00A64B42" w:rsidRDefault="00360825" w:rsidP="00472D63">
      <w:pPr>
        <w:pStyle w:val="Heading4"/>
        <w:ind w:firstLine="0"/>
      </w:pPr>
      <w:r w:rsidRPr="00A64B42">
        <w:lastRenderedPageBreak/>
        <w:t>House Price Heatmap - Chichester (2000-2021)</w:t>
      </w:r>
    </w:p>
    <w:p w14:paraId="12CB32BD"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60FCBB82" wp14:editId="577EE132">
            <wp:extent cx="5379186" cy="6451600"/>
            <wp:effectExtent l="0" t="0" r="0" b="6350"/>
            <wp:docPr id="9" name="Picture 9" descr="there is a clear urban rural split in the district. The highest prices are found in the north of the district and rural areas immediately to the east and west of Chichester City, where the lowest prices can be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ere is a clear urban rural split in the district. The highest prices are found in the north of the district and rural areas immediately to the east and west of Chichester City, where the lowest prices can be found."/>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380303" cy="6452940"/>
                    </a:xfrm>
                    <a:prstGeom prst="rect">
                      <a:avLst/>
                    </a:prstGeom>
                    <a:ln>
                      <a:noFill/>
                    </a:ln>
                    <a:extLst>
                      <a:ext uri="{53640926-AAD7-44D8-BBD7-CCE9431645EC}">
                        <a14:shadowObscured xmlns:a14="http://schemas.microsoft.com/office/drawing/2010/main"/>
                      </a:ext>
                    </a:extLst>
                  </pic:spPr>
                </pic:pic>
              </a:graphicData>
            </a:graphic>
          </wp:inline>
        </w:drawing>
      </w:r>
      <w:r w:rsidRPr="00D556DB">
        <w:rPr>
          <w:rFonts w:ascii="Arial" w:hAnsi="Arial" w:cs="Arial"/>
        </w:rPr>
        <w:t>Source: HM Land Registry, 2021</w:t>
      </w:r>
    </w:p>
    <w:p w14:paraId="18664951"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As the table below shows with the exception of semi-detached the median house price across all other types of homes were higher in Chichester than the wider comparators in 2020. It is also notable that house prices for larger homes have grown at a slightly higher rate over the last two year than smaller homes.</w:t>
      </w:r>
    </w:p>
    <w:p w14:paraId="271754EF" w14:textId="77777777" w:rsidR="00360825" w:rsidRPr="00D556DB" w:rsidRDefault="00360825" w:rsidP="00360825">
      <w:pPr>
        <w:spacing w:after="0" w:line="240" w:lineRule="auto"/>
        <w:jc w:val="left"/>
        <w:rPr>
          <w:rFonts w:ascii="Arial" w:hAnsi="Arial" w:cs="Arial"/>
          <w:b/>
          <w:color w:val="646464" w:themeColor="background2"/>
        </w:rPr>
      </w:pPr>
      <w:r w:rsidRPr="00D556DB">
        <w:rPr>
          <w:rFonts w:ascii="Arial" w:hAnsi="Arial" w:cs="Arial"/>
        </w:rPr>
        <w:br w:type="page"/>
      </w:r>
    </w:p>
    <w:p w14:paraId="45222A9E" w14:textId="77777777" w:rsidR="00360825" w:rsidRPr="00D556DB" w:rsidRDefault="00360825" w:rsidP="001A7584">
      <w:pPr>
        <w:pStyle w:val="Heading4"/>
        <w:ind w:firstLine="0"/>
      </w:pPr>
      <w:r w:rsidRPr="00D556DB">
        <w:lastRenderedPageBreak/>
        <w:t>House Price By Type - Chichester (2019-2021)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1342"/>
        <w:gridCol w:w="1342"/>
        <w:gridCol w:w="1343"/>
        <w:gridCol w:w="1342"/>
        <w:gridCol w:w="1343"/>
      </w:tblGrid>
      <w:tr w:rsidR="00360825" w:rsidRPr="00DE1AA1" w14:paraId="4BD5FD81" w14:textId="77777777" w:rsidTr="00C04569">
        <w:trPr>
          <w:trHeight w:val="290"/>
        </w:trPr>
        <w:tc>
          <w:tcPr>
            <w:tcW w:w="2065" w:type="dxa"/>
            <w:shd w:val="clear" w:color="auto" w:fill="002060"/>
            <w:noWrap/>
            <w:vAlign w:val="bottom"/>
            <w:hideMark/>
          </w:tcPr>
          <w:p w14:paraId="4AC9C86A" w14:textId="77777777" w:rsidR="00360825" w:rsidRPr="00DE1AA1" w:rsidRDefault="00360825" w:rsidP="00C04569">
            <w:pPr>
              <w:spacing w:after="0" w:line="300" w:lineRule="auto"/>
              <w:jc w:val="left"/>
              <w:rPr>
                <w:rFonts w:ascii="Arial" w:hAnsi="Arial" w:cs="Arial"/>
                <w:color w:val="FFFFFF" w:themeColor="background1"/>
              </w:rPr>
            </w:pPr>
            <w:r w:rsidRPr="00DE1AA1">
              <w:rPr>
                <w:rFonts w:ascii="Arial" w:hAnsi="Arial" w:cs="Arial"/>
                <w:color w:val="FFFFFF" w:themeColor="background1"/>
              </w:rPr>
              <w:t>Year</w:t>
            </w:r>
          </w:p>
        </w:tc>
        <w:tc>
          <w:tcPr>
            <w:tcW w:w="1342" w:type="dxa"/>
            <w:shd w:val="clear" w:color="auto" w:fill="002060"/>
            <w:noWrap/>
            <w:vAlign w:val="bottom"/>
            <w:hideMark/>
          </w:tcPr>
          <w:p w14:paraId="3A1A5C41" w14:textId="77777777" w:rsidR="00360825" w:rsidRPr="00DE1AA1" w:rsidRDefault="00360825" w:rsidP="00C04569">
            <w:pPr>
              <w:spacing w:after="0" w:line="300" w:lineRule="auto"/>
              <w:jc w:val="center"/>
              <w:rPr>
                <w:rFonts w:ascii="Arial" w:hAnsi="Arial" w:cs="Arial"/>
                <w:color w:val="FFFFFF" w:themeColor="background1"/>
              </w:rPr>
            </w:pPr>
            <w:r w:rsidRPr="00DE1AA1">
              <w:rPr>
                <w:rFonts w:ascii="Arial" w:hAnsi="Arial" w:cs="Arial"/>
                <w:color w:val="FFFFFF" w:themeColor="background1"/>
              </w:rPr>
              <w:t>Detached</w:t>
            </w:r>
          </w:p>
        </w:tc>
        <w:tc>
          <w:tcPr>
            <w:tcW w:w="1342" w:type="dxa"/>
            <w:shd w:val="clear" w:color="auto" w:fill="002060"/>
            <w:noWrap/>
            <w:vAlign w:val="bottom"/>
            <w:hideMark/>
          </w:tcPr>
          <w:p w14:paraId="205209F9" w14:textId="77777777" w:rsidR="00360825" w:rsidRPr="00DE1AA1" w:rsidRDefault="00360825" w:rsidP="00C04569">
            <w:pPr>
              <w:spacing w:after="0" w:line="300" w:lineRule="auto"/>
              <w:jc w:val="center"/>
              <w:rPr>
                <w:rFonts w:ascii="Arial" w:hAnsi="Arial" w:cs="Arial"/>
                <w:color w:val="FFFFFF" w:themeColor="background1"/>
              </w:rPr>
            </w:pPr>
            <w:r w:rsidRPr="00DE1AA1">
              <w:rPr>
                <w:rFonts w:ascii="Arial" w:hAnsi="Arial" w:cs="Arial"/>
                <w:color w:val="FFFFFF" w:themeColor="background1"/>
              </w:rPr>
              <w:t>Semi-Detached</w:t>
            </w:r>
          </w:p>
        </w:tc>
        <w:tc>
          <w:tcPr>
            <w:tcW w:w="1343" w:type="dxa"/>
            <w:shd w:val="clear" w:color="auto" w:fill="002060"/>
            <w:noWrap/>
            <w:vAlign w:val="bottom"/>
            <w:hideMark/>
          </w:tcPr>
          <w:p w14:paraId="06555F91" w14:textId="77777777" w:rsidR="00360825" w:rsidRPr="00DE1AA1" w:rsidRDefault="00360825" w:rsidP="00C04569">
            <w:pPr>
              <w:spacing w:after="0" w:line="300" w:lineRule="auto"/>
              <w:jc w:val="center"/>
              <w:rPr>
                <w:rFonts w:ascii="Arial" w:hAnsi="Arial" w:cs="Arial"/>
                <w:color w:val="FFFFFF" w:themeColor="background1"/>
              </w:rPr>
            </w:pPr>
            <w:r w:rsidRPr="00DE1AA1">
              <w:rPr>
                <w:rFonts w:ascii="Arial" w:hAnsi="Arial" w:cs="Arial"/>
                <w:color w:val="FFFFFF" w:themeColor="background1"/>
              </w:rPr>
              <w:t>Terraced</w:t>
            </w:r>
          </w:p>
        </w:tc>
        <w:tc>
          <w:tcPr>
            <w:tcW w:w="1342" w:type="dxa"/>
            <w:shd w:val="clear" w:color="auto" w:fill="002060"/>
            <w:noWrap/>
            <w:vAlign w:val="bottom"/>
            <w:hideMark/>
          </w:tcPr>
          <w:p w14:paraId="143FE371" w14:textId="77777777" w:rsidR="00360825" w:rsidRPr="00DE1AA1" w:rsidRDefault="00360825" w:rsidP="00C04569">
            <w:pPr>
              <w:spacing w:after="0" w:line="300" w:lineRule="auto"/>
              <w:jc w:val="center"/>
              <w:rPr>
                <w:rFonts w:ascii="Arial" w:hAnsi="Arial" w:cs="Arial"/>
                <w:color w:val="FFFFFF" w:themeColor="background1"/>
              </w:rPr>
            </w:pPr>
            <w:r w:rsidRPr="00DE1AA1">
              <w:rPr>
                <w:rFonts w:ascii="Arial" w:hAnsi="Arial" w:cs="Arial"/>
                <w:color w:val="FFFFFF" w:themeColor="background1"/>
              </w:rPr>
              <w:t>Flat</w:t>
            </w:r>
          </w:p>
        </w:tc>
        <w:tc>
          <w:tcPr>
            <w:tcW w:w="1343" w:type="dxa"/>
            <w:shd w:val="clear" w:color="auto" w:fill="002060"/>
            <w:noWrap/>
            <w:vAlign w:val="bottom"/>
            <w:hideMark/>
          </w:tcPr>
          <w:p w14:paraId="72052E81" w14:textId="77777777" w:rsidR="00360825" w:rsidRPr="00DE1AA1" w:rsidRDefault="00360825" w:rsidP="00C04569">
            <w:pPr>
              <w:spacing w:after="0" w:line="300" w:lineRule="auto"/>
              <w:jc w:val="center"/>
              <w:rPr>
                <w:rFonts w:ascii="Arial" w:hAnsi="Arial" w:cs="Arial"/>
                <w:color w:val="FFFFFF" w:themeColor="background1"/>
              </w:rPr>
            </w:pPr>
            <w:r w:rsidRPr="00DE1AA1">
              <w:rPr>
                <w:rFonts w:ascii="Arial" w:hAnsi="Arial" w:cs="Arial"/>
                <w:color w:val="FFFFFF" w:themeColor="background1"/>
              </w:rPr>
              <w:t>Overall</w:t>
            </w:r>
          </w:p>
        </w:tc>
      </w:tr>
      <w:tr w:rsidR="00360825" w:rsidRPr="00DE1AA1" w14:paraId="2F4C2B8D" w14:textId="77777777" w:rsidTr="00C04569">
        <w:trPr>
          <w:trHeight w:val="290"/>
        </w:trPr>
        <w:tc>
          <w:tcPr>
            <w:tcW w:w="2065" w:type="dxa"/>
            <w:shd w:val="clear" w:color="auto" w:fill="auto"/>
            <w:noWrap/>
            <w:vAlign w:val="bottom"/>
            <w:hideMark/>
          </w:tcPr>
          <w:p w14:paraId="6B6B1467" w14:textId="77777777" w:rsidR="00360825" w:rsidRPr="00DE1AA1" w:rsidRDefault="00360825" w:rsidP="00C04569">
            <w:pPr>
              <w:spacing w:after="0" w:line="300" w:lineRule="auto"/>
              <w:jc w:val="left"/>
              <w:rPr>
                <w:rFonts w:ascii="Arial" w:hAnsi="Arial" w:cs="Arial"/>
                <w:color w:val="A6A6A6" w:themeColor="background1" w:themeShade="A6"/>
              </w:rPr>
            </w:pPr>
            <w:r w:rsidRPr="00821ADC">
              <w:rPr>
                <w:rFonts w:ascii="Arial" w:hAnsi="Arial" w:cs="Arial"/>
              </w:rPr>
              <w:t>Chichester 2019</w:t>
            </w:r>
          </w:p>
        </w:tc>
        <w:tc>
          <w:tcPr>
            <w:tcW w:w="1342" w:type="dxa"/>
            <w:shd w:val="clear" w:color="auto" w:fill="auto"/>
            <w:noWrap/>
            <w:vAlign w:val="bottom"/>
            <w:hideMark/>
          </w:tcPr>
          <w:p w14:paraId="05FAABC2" w14:textId="77777777" w:rsidR="00360825" w:rsidRPr="00821ADC" w:rsidRDefault="00360825" w:rsidP="00C04569">
            <w:pPr>
              <w:spacing w:after="0" w:line="300" w:lineRule="auto"/>
              <w:jc w:val="center"/>
              <w:rPr>
                <w:rFonts w:ascii="Arial" w:hAnsi="Arial" w:cs="Arial"/>
              </w:rPr>
            </w:pPr>
            <w:r w:rsidRPr="00821ADC">
              <w:rPr>
                <w:rFonts w:ascii="Arial" w:hAnsi="Arial" w:cs="Arial"/>
              </w:rPr>
              <w:t>£525,000</w:t>
            </w:r>
          </w:p>
        </w:tc>
        <w:tc>
          <w:tcPr>
            <w:tcW w:w="1342" w:type="dxa"/>
            <w:shd w:val="clear" w:color="auto" w:fill="auto"/>
            <w:noWrap/>
            <w:vAlign w:val="bottom"/>
            <w:hideMark/>
          </w:tcPr>
          <w:p w14:paraId="7C9BDA29" w14:textId="77777777" w:rsidR="00360825" w:rsidRPr="00821ADC" w:rsidRDefault="00360825" w:rsidP="00C04569">
            <w:pPr>
              <w:spacing w:after="0" w:line="300" w:lineRule="auto"/>
              <w:jc w:val="center"/>
              <w:rPr>
                <w:rFonts w:ascii="Arial" w:hAnsi="Arial" w:cs="Arial"/>
              </w:rPr>
            </w:pPr>
            <w:r w:rsidRPr="00821ADC">
              <w:rPr>
                <w:rFonts w:ascii="Arial" w:hAnsi="Arial" w:cs="Arial"/>
              </w:rPr>
              <w:t>£330,000</w:t>
            </w:r>
          </w:p>
        </w:tc>
        <w:tc>
          <w:tcPr>
            <w:tcW w:w="1343" w:type="dxa"/>
            <w:shd w:val="clear" w:color="auto" w:fill="auto"/>
            <w:noWrap/>
            <w:vAlign w:val="bottom"/>
            <w:hideMark/>
          </w:tcPr>
          <w:p w14:paraId="020D48F1" w14:textId="77777777" w:rsidR="00360825" w:rsidRPr="00821ADC" w:rsidRDefault="00360825" w:rsidP="00C04569">
            <w:pPr>
              <w:spacing w:after="0" w:line="300" w:lineRule="auto"/>
              <w:jc w:val="center"/>
              <w:rPr>
                <w:rFonts w:ascii="Arial" w:hAnsi="Arial" w:cs="Arial"/>
              </w:rPr>
            </w:pPr>
            <w:r w:rsidRPr="00821ADC">
              <w:rPr>
                <w:rFonts w:ascii="Arial" w:hAnsi="Arial" w:cs="Arial"/>
              </w:rPr>
              <w:t>£296,040</w:t>
            </w:r>
          </w:p>
        </w:tc>
        <w:tc>
          <w:tcPr>
            <w:tcW w:w="1342" w:type="dxa"/>
            <w:shd w:val="clear" w:color="auto" w:fill="auto"/>
            <w:noWrap/>
            <w:vAlign w:val="bottom"/>
            <w:hideMark/>
          </w:tcPr>
          <w:p w14:paraId="52B3E458" w14:textId="77777777" w:rsidR="00360825" w:rsidRPr="00821ADC" w:rsidRDefault="00360825" w:rsidP="00C04569">
            <w:pPr>
              <w:spacing w:after="0" w:line="300" w:lineRule="auto"/>
              <w:jc w:val="center"/>
              <w:rPr>
                <w:rFonts w:ascii="Arial" w:hAnsi="Arial" w:cs="Arial"/>
              </w:rPr>
            </w:pPr>
            <w:r w:rsidRPr="00821ADC">
              <w:rPr>
                <w:rFonts w:ascii="Arial" w:hAnsi="Arial" w:cs="Arial"/>
              </w:rPr>
              <w:t>£200,000</w:t>
            </w:r>
          </w:p>
        </w:tc>
        <w:tc>
          <w:tcPr>
            <w:tcW w:w="1343" w:type="dxa"/>
            <w:shd w:val="clear" w:color="auto" w:fill="auto"/>
            <w:noWrap/>
            <w:vAlign w:val="bottom"/>
            <w:hideMark/>
          </w:tcPr>
          <w:p w14:paraId="5A4BF6E9" w14:textId="77777777" w:rsidR="00360825" w:rsidRPr="00821ADC" w:rsidRDefault="00360825" w:rsidP="00C04569">
            <w:pPr>
              <w:spacing w:after="0" w:line="300" w:lineRule="auto"/>
              <w:jc w:val="center"/>
              <w:rPr>
                <w:rFonts w:ascii="Arial" w:hAnsi="Arial" w:cs="Arial"/>
              </w:rPr>
            </w:pPr>
            <w:r w:rsidRPr="00821ADC">
              <w:rPr>
                <w:rFonts w:ascii="Arial" w:hAnsi="Arial" w:cs="Arial"/>
              </w:rPr>
              <w:t>£359,975</w:t>
            </w:r>
          </w:p>
        </w:tc>
      </w:tr>
      <w:tr w:rsidR="00360825" w:rsidRPr="00DE1AA1" w14:paraId="5188517A" w14:textId="77777777" w:rsidTr="00C04569">
        <w:trPr>
          <w:trHeight w:val="290"/>
        </w:trPr>
        <w:tc>
          <w:tcPr>
            <w:tcW w:w="2065" w:type="dxa"/>
            <w:shd w:val="clear" w:color="auto" w:fill="auto"/>
            <w:noWrap/>
            <w:vAlign w:val="bottom"/>
            <w:hideMark/>
          </w:tcPr>
          <w:p w14:paraId="182F9113" w14:textId="77777777" w:rsidR="00360825" w:rsidRPr="00DE1AA1" w:rsidRDefault="00360825" w:rsidP="00C04569">
            <w:pPr>
              <w:spacing w:after="0" w:line="300" w:lineRule="auto"/>
              <w:jc w:val="left"/>
              <w:rPr>
                <w:rFonts w:ascii="Arial" w:hAnsi="Arial" w:cs="Arial"/>
                <w:color w:val="000000" w:themeColor="text1"/>
              </w:rPr>
            </w:pPr>
            <w:r w:rsidRPr="00DE1AA1">
              <w:rPr>
                <w:rFonts w:ascii="Arial" w:hAnsi="Arial" w:cs="Arial"/>
                <w:color w:val="000000" w:themeColor="text1"/>
              </w:rPr>
              <w:t>Chichester 2020</w:t>
            </w:r>
          </w:p>
        </w:tc>
        <w:tc>
          <w:tcPr>
            <w:tcW w:w="1342" w:type="dxa"/>
            <w:shd w:val="clear" w:color="auto" w:fill="auto"/>
            <w:noWrap/>
            <w:vAlign w:val="bottom"/>
            <w:hideMark/>
          </w:tcPr>
          <w:p w14:paraId="73DD3900" w14:textId="77777777" w:rsidR="00360825" w:rsidRPr="00DE1AA1" w:rsidRDefault="00360825" w:rsidP="00C04569">
            <w:pPr>
              <w:spacing w:after="0" w:line="300" w:lineRule="auto"/>
              <w:jc w:val="center"/>
              <w:rPr>
                <w:rFonts w:ascii="Arial" w:hAnsi="Arial" w:cs="Arial"/>
                <w:color w:val="000000" w:themeColor="text1"/>
              </w:rPr>
            </w:pPr>
            <w:r w:rsidRPr="00DE1AA1">
              <w:rPr>
                <w:rFonts w:ascii="Arial" w:hAnsi="Arial" w:cs="Arial"/>
                <w:color w:val="000000" w:themeColor="text1"/>
              </w:rPr>
              <w:t>£574,500</w:t>
            </w:r>
          </w:p>
        </w:tc>
        <w:tc>
          <w:tcPr>
            <w:tcW w:w="1342" w:type="dxa"/>
            <w:shd w:val="clear" w:color="auto" w:fill="auto"/>
            <w:noWrap/>
            <w:vAlign w:val="bottom"/>
            <w:hideMark/>
          </w:tcPr>
          <w:p w14:paraId="08E0B08F" w14:textId="77777777" w:rsidR="00360825" w:rsidRPr="00DE1AA1" w:rsidRDefault="00360825" w:rsidP="00C04569">
            <w:pPr>
              <w:spacing w:after="0" w:line="300" w:lineRule="auto"/>
              <w:jc w:val="center"/>
              <w:rPr>
                <w:rFonts w:ascii="Arial" w:hAnsi="Arial" w:cs="Arial"/>
                <w:color w:val="000000" w:themeColor="text1"/>
              </w:rPr>
            </w:pPr>
            <w:r w:rsidRPr="00DE1AA1">
              <w:rPr>
                <w:rFonts w:ascii="Arial" w:hAnsi="Arial" w:cs="Arial"/>
                <w:color w:val="000000" w:themeColor="text1"/>
              </w:rPr>
              <w:t>£355,000</w:t>
            </w:r>
          </w:p>
        </w:tc>
        <w:tc>
          <w:tcPr>
            <w:tcW w:w="1343" w:type="dxa"/>
            <w:shd w:val="clear" w:color="auto" w:fill="auto"/>
            <w:noWrap/>
            <w:vAlign w:val="bottom"/>
            <w:hideMark/>
          </w:tcPr>
          <w:p w14:paraId="2EE225A8" w14:textId="77777777" w:rsidR="00360825" w:rsidRPr="00DE1AA1" w:rsidRDefault="00360825" w:rsidP="00C04569">
            <w:pPr>
              <w:spacing w:after="0" w:line="300" w:lineRule="auto"/>
              <w:jc w:val="center"/>
              <w:rPr>
                <w:rFonts w:ascii="Arial" w:hAnsi="Arial" w:cs="Arial"/>
                <w:color w:val="000000" w:themeColor="text1"/>
              </w:rPr>
            </w:pPr>
            <w:r w:rsidRPr="00DE1AA1">
              <w:rPr>
                <w:rFonts w:ascii="Arial" w:hAnsi="Arial" w:cs="Arial"/>
                <w:color w:val="000000" w:themeColor="text1"/>
              </w:rPr>
              <w:t>£310,000</w:t>
            </w:r>
          </w:p>
        </w:tc>
        <w:tc>
          <w:tcPr>
            <w:tcW w:w="1342" w:type="dxa"/>
            <w:shd w:val="clear" w:color="auto" w:fill="auto"/>
            <w:noWrap/>
            <w:vAlign w:val="bottom"/>
            <w:hideMark/>
          </w:tcPr>
          <w:p w14:paraId="34CB715A" w14:textId="77777777" w:rsidR="00360825" w:rsidRPr="00DE1AA1" w:rsidRDefault="00360825" w:rsidP="00C04569">
            <w:pPr>
              <w:spacing w:after="0" w:line="300" w:lineRule="auto"/>
              <w:jc w:val="center"/>
              <w:rPr>
                <w:rFonts w:ascii="Arial" w:hAnsi="Arial" w:cs="Arial"/>
                <w:color w:val="000000" w:themeColor="text1"/>
              </w:rPr>
            </w:pPr>
            <w:r w:rsidRPr="00DE1AA1">
              <w:rPr>
                <w:rFonts w:ascii="Arial" w:hAnsi="Arial" w:cs="Arial"/>
                <w:color w:val="000000" w:themeColor="text1"/>
              </w:rPr>
              <w:t>£216,325</w:t>
            </w:r>
          </w:p>
        </w:tc>
        <w:tc>
          <w:tcPr>
            <w:tcW w:w="1343" w:type="dxa"/>
            <w:shd w:val="clear" w:color="auto" w:fill="auto"/>
            <w:noWrap/>
            <w:vAlign w:val="bottom"/>
            <w:hideMark/>
          </w:tcPr>
          <w:p w14:paraId="7BC862EE" w14:textId="77777777" w:rsidR="00360825" w:rsidRPr="00DE1AA1" w:rsidRDefault="00360825" w:rsidP="00C04569">
            <w:pPr>
              <w:spacing w:after="0" w:line="300" w:lineRule="auto"/>
              <w:jc w:val="center"/>
              <w:rPr>
                <w:rFonts w:ascii="Arial" w:hAnsi="Arial" w:cs="Arial"/>
                <w:color w:val="000000" w:themeColor="text1"/>
              </w:rPr>
            </w:pPr>
            <w:r w:rsidRPr="00DE1AA1">
              <w:rPr>
                <w:rFonts w:ascii="Arial" w:hAnsi="Arial" w:cs="Arial"/>
                <w:color w:val="000000" w:themeColor="text1"/>
              </w:rPr>
              <w:t>£399,500</w:t>
            </w:r>
          </w:p>
        </w:tc>
      </w:tr>
      <w:tr w:rsidR="00360825" w:rsidRPr="00DE1AA1" w14:paraId="4D31F640" w14:textId="77777777" w:rsidTr="00C04569">
        <w:trPr>
          <w:trHeight w:val="290"/>
        </w:trPr>
        <w:tc>
          <w:tcPr>
            <w:tcW w:w="2065" w:type="dxa"/>
            <w:shd w:val="clear" w:color="auto" w:fill="auto"/>
            <w:noWrap/>
            <w:vAlign w:val="bottom"/>
            <w:hideMark/>
          </w:tcPr>
          <w:p w14:paraId="75AA8976" w14:textId="77777777" w:rsidR="00360825" w:rsidRPr="00DE1AA1" w:rsidRDefault="00360825" w:rsidP="00C04569">
            <w:pPr>
              <w:spacing w:after="0" w:line="300" w:lineRule="auto"/>
              <w:jc w:val="left"/>
              <w:rPr>
                <w:rFonts w:ascii="Arial" w:hAnsi="Arial" w:cs="Arial"/>
                <w:color w:val="000000"/>
              </w:rPr>
            </w:pPr>
            <w:r w:rsidRPr="00DE1AA1">
              <w:rPr>
                <w:rFonts w:ascii="Arial" w:hAnsi="Arial" w:cs="Arial"/>
                <w:color w:val="000000"/>
              </w:rPr>
              <w:t>Chichester 2021*</w:t>
            </w:r>
          </w:p>
        </w:tc>
        <w:tc>
          <w:tcPr>
            <w:tcW w:w="1342" w:type="dxa"/>
            <w:shd w:val="clear" w:color="auto" w:fill="auto"/>
            <w:noWrap/>
            <w:vAlign w:val="bottom"/>
            <w:hideMark/>
          </w:tcPr>
          <w:p w14:paraId="2A687366"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£600,000</w:t>
            </w:r>
          </w:p>
        </w:tc>
        <w:tc>
          <w:tcPr>
            <w:tcW w:w="1342" w:type="dxa"/>
            <w:shd w:val="clear" w:color="auto" w:fill="auto"/>
            <w:noWrap/>
            <w:vAlign w:val="bottom"/>
            <w:hideMark/>
          </w:tcPr>
          <w:p w14:paraId="041FC987"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£381,000</w:t>
            </w:r>
          </w:p>
        </w:tc>
        <w:tc>
          <w:tcPr>
            <w:tcW w:w="1343" w:type="dxa"/>
            <w:shd w:val="clear" w:color="auto" w:fill="auto"/>
            <w:noWrap/>
            <w:vAlign w:val="bottom"/>
            <w:hideMark/>
          </w:tcPr>
          <w:p w14:paraId="5282FFBB"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£326,000</w:t>
            </w:r>
          </w:p>
        </w:tc>
        <w:tc>
          <w:tcPr>
            <w:tcW w:w="1342" w:type="dxa"/>
            <w:shd w:val="clear" w:color="auto" w:fill="auto"/>
            <w:noWrap/>
            <w:vAlign w:val="bottom"/>
            <w:hideMark/>
          </w:tcPr>
          <w:p w14:paraId="069991E9"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£217,500</w:t>
            </w:r>
          </w:p>
        </w:tc>
        <w:tc>
          <w:tcPr>
            <w:tcW w:w="1343" w:type="dxa"/>
            <w:shd w:val="clear" w:color="auto" w:fill="auto"/>
            <w:noWrap/>
            <w:vAlign w:val="bottom"/>
            <w:hideMark/>
          </w:tcPr>
          <w:p w14:paraId="4C7F5D7A"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£415,000</w:t>
            </w:r>
          </w:p>
        </w:tc>
      </w:tr>
      <w:tr w:rsidR="00360825" w:rsidRPr="00DE1AA1" w14:paraId="0F708148" w14:textId="77777777" w:rsidTr="00C04569">
        <w:trPr>
          <w:trHeight w:val="290"/>
        </w:trPr>
        <w:tc>
          <w:tcPr>
            <w:tcW w:w="2065" w:type="dxa"/>
            <w:shd w:val="clear" w:color="auto" w:fill="auto"/>
            <w:noWrap/>
            <w:vAlign w:val="bottom"/>
          </w:tcPr>
          <w:p w14:paraId="10C0C26E" w14:textId="77777777" w:rsidR="00360825" w:rsidRPr="00DE1AA1" w:rsidRDefault="00360825" w:rsidP="00C04569">
            <w:pPr>
              <w:spacing w:after="0" w:line="300" w:lineRule="auto"/>
              <w:jc w:val="left"/>
              <w:rPr>
                <w:rFonts w:ascii="Arial" w:hAnsi="Arial" w:cs="Arial"/>
                <w:color w:val="000000"/>
              </w:rPr>
            </w:pPr>
            <w:r w:rsidRPr="00DE1AA1">
              <w:rPr>
                <w:rFonts w:ascii="Arial" w:hAnsi="Arial" w:cs="Arial"/>
                <w:color w:val="000000"/>
              </w:rPr>
              <w:t>West Sussex 2020</w:t>
            </w:r>
          </w:p>
        </w:tc>
        <w:tc>
          <w:tcPr>
            <w:tcW w:w="1342" w:type="dxa"/>
            <w:shd w:val="clear" w:color="auto" w:fill="auto"/>
            <w:noWrap/>
            <w:vAlign w:val="bottom"/>
          </w:tcPr>
          <w:p w14:paraId="4DEFACE2"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£545,000</w:t>
            </w:r>
          </w:p>
        </w:tc>
        <w:tc>
          <w:tcPr>
            <w:tcW w:w="1342" w:type="dxa"/>
            <w:shd w:val="clear" w:color="auto" w:fill="auto"/>
            <w:noWrap/>
            <w:vAlign w:val="bottom"/>
          </w:tcPr>
          <w:p w14:paraId="7EC83968"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£360,000</w:t>
            </w:r>
          </w:p>
        </w:tc>
        <w:tc>
          <w:tcPr>
            <w:tcW w:w="1343" w:type="dxa"/>
            <w:shd w:val="clear" w:color="auto" w:fill="auto"/>
            <w:noWrap/>
            <w:vAlign w:val="bottom"/>
          </w:tcPr>
          <w:p w14:paraId="624F4CC8"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£300,000</w:t>
            </w:r>
          </w:p>
        </w:tc>
        <w:tc>
          <w:tcPr>
            <w:tcW w:w="1342" w:type="dxa"/>
            <w:shd w:val="clear" w:color="auto" w:fill="auto"/>
            <w:noWrap/>
            <w:vAlign w:val="bottom"/>
          </w:tcPr>
          <w:p w14:paraId="17417431"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£205,000</w:t>
            </w:r>
          </w:p>
        </w:tc>
        <w:tc>
          <w:tcPr>
            <w:tcW w:w="1343" w:type="dxa"/>
            <w:shd w:val="clear" w:color="auto" w:fill="auto"/>
            <w:noWrap/>
            <w:vAlign w:val="bottom"/>
          </w:tcPr>
          <w:p w14:paraId="451345FB"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£360,000</w:t>
            </w:r>
          </w:p>
        </w:tc>
      </w:tr>
      <w:tr w:rsidR="00360825" w:rsidRPr="00DE1AA1" w14:paraId="6DA264D1" w14:textId="77777777" w:rsidTr="00C04569">
        <w:trPr>
          <w:trHeight w:val="290"/>
        </w:trPr>
        <w:tc>
          <w:tcPr>
            <w:tcW w:w="2065" w:type="dxa"/>
            <w:shd w:val="clear" w:color="auto" w:fill="auto"/>
            <w:noWrap/>
            <w:vAlign w:val="bottom"/>
          </w:tcPr>
          <w:p w14:paraId="6A1C6B7D" w14:textId="77777777" w:rsidR="00360825" w:rsidRPr="00DE1AA1" w:rsidRDefault="00360825" w:rsidP="00C04569">
            <w:pPr>
              <w:spacing w:after="0" w:line="300" w:lineRule="auto"/>
              <w:jc w:val="left"/>
              <w:rPr>
                <w:rFonts w:ascii="Arial" w:hAnsi="Arial" w:cs="Arial"/>
                <w:color w:val="000000"/>
              </w:rPr>
            </w:pPr>
            <w:r w:rsidRPr="00DE1AA1">
              <w:rPr>
                <w:rFonts w:ascii="Arial" w:hAnsi="Arial" w:cs="Arial"/>
                <w:color w:val="000000"/>
              </w:rPr>
              <w:t>South East 2020</w:t>
            </w:r>
          </w:p>
        </w:tc>
        <w:tc>
          <w:tcPr>
            <w:tcW w:w="1342" w:type="dxa"/>
            <w:shd w:val="clear" w:color="auto" w:fill="auto"/>
            <w:noWrap/>
            <w:vAlign w:val="bottom"/>
          </w:tcPr>
          <w:p w14:paraId="5F548D6C"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£539,950</w:t>
            </w:r>
          </w:p>
        </w:tc>
        <w:tc>
          <w:tcPr>
            <w:tcW w:w="1342" w:type="dxa"/>
            <w:shd w:val="clear" w:color="auto" w:fill="auto"/>
            <w:noWrap/>
            <w:vAlign w:val="bottom"/>
          </w:tcPr>
          <w:p w14:paraId="49C26178"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£359,950</w:t>
            </w:r>
          </w:p>
        </w:tc>
        <w:tc>
          <w:tcPr>
            <w:tcW w:w="1343" w:type="dxa"/>
            <w:shd w:val="clear" w:color="auto" w:fill="auto"/>
            <w:noWrap/>
            <w:vAlign w:val="bottom"/>
          </w:tcPr>
          <w:p w14:paraId="41220E63"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£290,000</w:t>
            </w:r>
          </w:p>
        </w:tc>
        <w:tc>
          <w:tcPr>
            <w:tcW w:w="1342" w:type="dxa"/>
            <w:shd w:val="clear" w:color="auto" w:fill="auto"/>
            <w:noWrap/>
            <w:vAlign w:val="bottom"/>
          </w:tcPr>
          <w:p w14:paraId="528EC4FB"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£210,000</w:t>
            </w:r>
          </w:p>
        </w:tc>
        <w:tc>
          <w:tcPr>
            <w:tcW w:w="1343" w:type="dxa"/>
            <w:shd w:val="clear" w:color="auto" w:fill="auto"/>
            <w:noWrap/>
            <w:vAlign w:val="bottom"/>
          </w:tcPr>
          <w:p w14:paraId="4A27A2EE"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£360,000</w:t>
            </w:r>
          </w:p>
        </w:tc>
      </w:tr>
      <w:tr w:rsidR="00360825" w:rsidRPr="00DE1AA1" w14:paraId="3995B3F0" w14:textId="77777777" w:rsidTr="00C04569">
        <w:trPr>
          <w:trHeight w:val="290"/>
        </w:trPr>
        <w:tc>
          <w:tcPr>
            <w:tcW w:w="2065" w:type="dxa"/>
            <w:shd w:val="clear" w:color="auto" w:fill="auto"/>
            <w:noWrap/>
            <w:vAlign w:val="bottom"/>
          </w:tcPr>
          <w:p w14:paraId="0A029666" w14:textId="77777777" w:rsidR="00360825" w:rsidRPr="00DE1AA1" w:rsidRDefault="00360825" w:rsidP="00C04569">
            <w:pPr>
              <w:spacing w:after="0" w:line="300" w:lineRule="auto"/>
              <w:jc w:val="left"/>
              <w:rPr>
                <w:rFonts w:ascii="Arial" w:hAnsi="Arial" w:cs="Arial"/>
                <w:color w:val="000000"/>
              </w:rPr>
            </w:pPr>
            <w:r w:rsidRPr="00DE1AA1">
              <w:rPr>
                <w:rFonts w:ascii="Arial" w:hAnsi="Arial" w:cs="Arial"/>
                <w:color w:val="000000"/>
              </w:rPr>
              <w:t>England 2020</w:t>
            </w:r>
          </w:p>
        </w:tc>
        <w:tc>
          <w:tcPr>
            <w:tcW w:w="1342" w:type="dxa"/>
            <w:shd w:val="clear" w:color="auto" w:fill="auto"/>
            <w:noWrap/>
            <w:vAlign w:val="bottom"/>
          </w:tcPr>
          <w:p w14:paraId="20506CE5"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£385,000</w:t>
            </w:r>
          </w:p>
        </w:tc>
        <w:tc>
          <w:tcPr>
            <w:tcW w:w="1342" w:type="dxa"/>
            <w:shd w:val="clear" w:color="auto" w:fill="auto"/>
            <w:noWrap/>
            <w:vAlign w:val="bottom"/>
          </w:tcPr>
          <w:p w14:paraId="486E5C9D"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£243,500</w:t>
            </w:r>
          </w:p>
        </w:tc>
        <w:tc>
          <w:tcPr>
            <w:tcW w:w="1343" w:type="dxa"/>
            <w:shd w:val="clear" w:color="auto" w:fill="auto"/>
            <w:noWrap/>
            <w:vAlign w:val="bottom"/>
          </w:tcPr>
          <w:p w14:paraId="4CE3E18E"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£215,000</w:t>
            </w:r>
          </w:p>
        </w:tc>
        <w:tc>
          <w:tcPr>
            <w:tcW w:w="1342" w:type="dxa"/>
            <w:shd w:val="clear" w:color="auto" w:fill="auto"/>
            <w:noWrap/>
            <w:vAlign w:val="bottom"/>
          </w:tcPr>
          <w:p w14:paraId="5D50DB5A"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£230,000</w:t>
            </w:r>
          </w:p>
        </w:tc>
        <w:tc>
          <w:tcPr>
            <w:tcW w:w="1343" w:type="dxa"/>
            <w:shd w:val="clear" w:color="auto" w:fill="auto"/>
            <w:noWrap/>
            <w:vAlign w:val="bottom"/>
          </w:tcPr>
          <w:p w14:paraId="01FBF293"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£274,000</w:t>
            </w:r>
          </w:p>
        </w:tc>
      </w:tr>
    </w:tbl>
    <w:p w14:paraId="3F24E36B"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HM Land Registry, 2021 *Year to Sept 2021</w:t>
      </w:r>
    </w:p>
    <w:p w14:paraId="05355990"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This can in part be attributed to pandemic related trends with demand for larger homes with a garden and also a space which can be used for a home office increasing. There is also likely to be demand from more people moving out from London as they can work from home at a greater frequency.</w:t>
      </w:r>
    </w:p>
    <w:p w14:paraId="6AB9AD0C" w14:textId="77777777" w:rsidR="00360825" w:rsidRPr="00D556DB" w:rsidRDefault="00360825" w:rsidP="00360825">
      <w:pPr>
        <w:pStyle w:val="Heading3"/>
        <w:spacing w:after="120"/>
        <w:rPr>
          <w:rFonts w:ascii="Arial" w:hAnsi="Arial" w:cs="Arial"/>
        </w:rPr>
      </w:pPr>
      <w:r w:rsidRPr="00D556DB">
        <w:rPr>
          <w:rFonts w:ascii="Arial" w:hAnsi="Arial" w:cs="Arial"/>
        </w:rPr>
        <w:t>Affordability</w:t>
      </w:r>
    </w:p>
    <w:p w14:paraId="703086FD"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bookmarkStart w:id="9" w:name="_Hlk88809998"/>
      <w:r w:rsidRPr="00D556DB">
        <w:rPr>
          <w:rFonts w:ascii="Arial" w:hAnsi="Arial" w:cs="Arial"/>
        </w:rPr>
        <w:t xml:space="preserve">Median house prices in the district are now 14 times the median earnings of those working in the district and 12.5 times the median earnings of those living in the district. </w:t>
      </w:r>
      <w:bookmarkEnd w:id="9"/>
      <w:r w:rsidRPr="00D556DB">
        <w:rPr>
          <w:rFonts w:ascii="Arial" w:hAnsi="Arial" w:cs="Arial"/>
        </w:rPr>
        <w:t>This reflects the lower wages economy in the district and the extent and impact of those living in the district but commuting out to higher paid employment.</w:t>
      </w:r>
    </w:p>
    <w:p w14:paraId="10B78BC1"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In both cases the affordability is significantly higher than the 4.5 times average provided by mortgage lenders. This means that without considerable equity there is likely to significant constraints on people being able to access the sales market.</w:t>
      </w:r>
    </w:p>
    <w:p w14:paraId="6C7917B1" w14:textId="77777777" w:rsidR="00360825" w:rsidRPr="00D556DB" w:rsidRDefault="00360825" w:rsidP="001A7584">
      <w:pPr>
        <w:pStyle w:val="Heading4"/>
        <w:ind w:firstLine="0"/>
      </w:pPr>
      <w:r w:rsidRPr="00D556DB">
        <w:t>Median Affordability Ratio - Chichester (2002 – 2020)</w:t>
      </w:r>
    </w:p>
    <w:p w14:paraId="7C8EE46C"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05FAFA0E" wp14:editId="7561EC2D">
            <wp:extent cx="5429250" cy="2908300"/>
            <wp:effectExtent l="0" t="0" r="0" b="6350"/>
            <wp:docPr id="4" name="Chart 4" descr="We can see a significant upturn in the ratio for residence based earnings which is not seen to the same extent in workplace based earnings.">
              <a:extLst xmlns:a="http://schemas.openxmlformats.org/drawingml/2006/main">
                <a:ext uri="{FF2B5EF4-FFF2-40B4-BE49-F238E27FC236}">
                  <a16:creationId xmlns:a16="http://schemas.microsoft.com/office/drawing/2014/main" id="{126027E2-391F-4A41-B9E6-8C2CDBC7EE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D556DB">
        <w:rPr>
          <w:rFonts w:ascii="Arial" w:hAnsi="Arial" w:cs="Arial"/>
        </w:rPr>
        <w:t>Source: ONS, 2021</w:t>
      </w:r>
    </w:p>
    <w:p w14:paraId="10DDFEA5" w14:textId="342498A3"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lastRenderedPageBreak/>
        <w:t xml:space="preserve">We can also see a significant upturn in the ratio for </w:t>
      </w:r>
      <w:r w:rsidR="003274B9">
        <w:rPr>
          <w:rFonts w:ascii="Arial" w:hAnsi="Arial" w:cs="Arial"/>
        </w:rPr>
        <w:t>residence based</w:t>
      </w:r>
      <w:r w:rsidRPr="00D556DB">
        <w:rPr>
          <w:rFonts w:ascii="Arial" w:hAnsi="Arial" w:cs="Arial"/>
        </w:rPr>
        <w:t xml:space="preserve"> earnings which is not seen to the same extent in workplace based earnings. This potentially reflects higher wages being offered to workers in the local tourism and horticultural sectors to help with recruitment and retention.</w:t>
      </w:r>
    </w:p>
    <w:p w14:paraId="2F7EB9B6"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The workplace-based affordability ratio of 14.09 is the most important of these ratios as it directly feeds into the calculation of housing need using the standard method.</w:t>
      </w:r>
    </w:p>
    <w:p w14:paraId="2BA756AE" w14:textId="77777777" w:rsidR="00360825" w:rsidRPr="00D556DB" w:rsidRDefault="00360825" w:rsidP="00360825">
      <w:pPr>
        <w:pStyle w:val="Heading3"/>
        <w:rPr>
          <w:rFonts w:ascii="Arial" w:hAnsi="Arial" w:cs="Arial"/>
        </w:rPr>
      </w:pPr>
      <w:r w:rsidRPr="00D556DB">
        <w:rPr>
          <w:rFonts w:ascii="Arial" w:hAnsi="Arial" w:cs="Arial"/>
        </w:rPr>
        <w:t>Transactions</w:t>
      </w:r>
    </w:p>
    <w:p w14:paraId="4DB529B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There were around 1,700 homes sold in Chichester in 2020 and to the end of August this year sales have numbered 1,100. As illustrated in the figure below this is well below the pre-2008 recession peak. It is also clear that the numbers of homes being sold has been falling since 2014. </w:t>
      </w:r>
    </w:p>
    <w:p w14:paraId="3A0DA5B9" w14:textId="77777777" w:rsidR="00360825" w:rsidRPr="00D556DB" w:rsidRDefault="00360825" w:rsidP="001A7584">
      <w:pPr>
        <w:pStyle w:val="Heading4"/>
        <w:ind w:firstLine="0"/>
      </w:pPr>
      <w:r w:rsidRPr="00D556DB">
        <w:t>Indexed Transactions in Chichester (2000-2020)</w:t>
      </w:r>
    </w:p>
    <w:p w14:paraId="389B810D"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25B27D3E" wp14:editId="770090E3">
            <wp:extent cx="5467350" cy="2800350"/>
            <wp:effectExtent l="0" t="0" r="0" b="0"/>
            <wp:docPr id="51" name="Chart 51" descr="The figure shows the number of transactions is well below the pre-2008 recession peak. It is also clear that the numbers of homes being sold has been falling since 2014. ">
              <a:extLst xmlns:a="http://schemas.openxmlformats.org/drawingml/2006/main">
                <a:ext uri="{FF2B5EF4-FFF2-40B4-BE49-F238E27FC236}">
                  <a16:creationId xmlns:a16="http://schemas.microsoft.com/office/drawing/2014/main" id="{4CBCFB27-16A2-43DE-8E77-E92EAE4848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D556DB">
        <w:rPr>
          <w:rFonts w:ascii="Arial" w:hAnsi="Arial" w:cs="Arial"/>
        </w:rPr>
        <w:t>Source: HM Land Registry, 2021</w:t>
      </w:r>
    </w:p>
    <w:p w14:paraId="40B29734"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Local agents have reported, as they have elsewhere in the South East that in 2020 and 2021 there has been a lack of supply as people have been unable and unwilling to move. This includes a period in 2020 when lockdown stopped homes being viewed. The availability of homes has also slowed since the stamp duty holiday has ended.</w:t>
      </w:r>
    </w:p>
    <w:p w14:paraId="1E5F8AAC" w14:textId="77777777" w:rsidR="00360825" w:rsidRPr="00D556DB" w:rsidRDefault="00360825" w:rsidP="00360825">
      <w:pPr>
        <w:pStyle w:val="Heading3"/>
        <w:rPr>
          <w:rFonts w:ascii="Arial" w:hAnsi="Arial" w:cs="Arial"/>
        </w:rPr>
      </w:pPr>
      <w:r w:rsidRPr="00D556DB">
        <w:rPr>
          <w:rFonts w:ascii="Arial" w:hAnsi="Arial" w:cs="Arial"/>
        </w:rPr>
        <w:t>Completions</w:t>
      </w:r>
    </w:p>
    <w:p w14:paraId="5257A7B9" w14:textId="689C4471"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Net additional dwellings which is a proxy for completions have over the last 20 years in </w:t>
      </w:r>
      <w:proofErr w:type="spellStart"/>
      <w:r w:rsidRPr="00D556DB">
        <w:rPr>
          <w:rFonts w:ascii="Arial" w:hAnsi="Arial" w:cs="Arial"/>
        </w:rPr>
        <w:t>Chichehave</w:t>
      </w:r>
      <w:proofErr w:type="spellEnd"/>
      <w:r w:rsidRPr="00D556DB">
        <w:rPr>
          <w:rFonts w:ascii="Arial" w:hAnsi="Arial" w:cs="Arial"/>
        </w:rPr>
        <w:t xml:space="preserve"> averaged just under 500 dwellings. However, in the last six years this has increased to around 590 dwellings per annum. In the most recent year completions in the district have totalled 530.</w:t>
      </w:r>
      <w:r>
        <w:rPr>
          <w:rFonts w:ascii="Arial" w:hAnsi="Arial" w:cs="Arial"/>
        </w:rPr>
        <w:t xml:space="preserve"> </w:t>
      </w:r>
      <w:r w:rsidRPr="00D556DB">
        <w:rPr>
          <w:rFonts w:ascii="Arial" w:hAnsi="Arial" w:cs="Arial"/>
        </w:rPr>
        <w:t>Of these the Plan Area has accounted for an average of 462 dwellings per annum since 2013-14 or approximately 93% of all net additional dwellings.</w:t>
      </w:r>
    </w:p>
    <w:p w14:paraId="07CA49BD" w14:textId="77777777" w:rsidR="00360825" w:rsidRPr="00D556DB" w:rsidRDefault="00360825" w:rsidP="001A7584">
      <w:pPr>
        <w:pStyle w:val="Heading4"/>
        <w:ind w:firstLine="0"/>
      </w:pPr>
      <w:r w:rsidRPr="00D556DB">
        <w:lastRenderedPageBreak/>
        <w:t>New Additional Dwellings (2001-2021)</w:t>
      </w:r>
    </w:p>
    <w:p w14:paraId="767B8FDA"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5C6F8B87" wp14:editId="12B2ACD7">
            <wp:extent cx="5524500" cy="2997200"/>
            <wp:effectExtent l="0" t="0" r="0" b="12700"/>
            <wp:docPr id="72" name="Chart 72" descr="Net additional dwellings which is a proxy for completions have over the last 20 years in Chichester have averaged just under 500 dwellings. However, in the last six years this has increased to around 590 dwellings per annum. In the most recent year completions in the district have totalled 530. Of these the Plan Area has accounted for an average of 462 dwellings per annum since 2013-14 or approximately 93% of all net additional dwellings.">
              <a:extLst xmlns:a="http://schemas.openxmlformats.org/drawingml/2006/main">
                <a:ext uri="{FF2B5EF4-FFF2-40B4-BE49-F238E27FC236}">
                  <a16:creationId xmlns:a16="http://schemas.microsoft.com/office/drawing/2014/main" id="{40D9F3C2-2517-4EE1-8392-ABAA25C968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D556DB">
        <w:rPr>
          <w:rFonts w:ascii="Arial" w:hAnsi="Arial" w:cs="Arial"/>
        </w:rPr>
        <w:t>Source: DLUHC and CDC Data, 2021</w:t>
      </w:r>
    </w:p>
    <w:p w14:paraId="7D4AA73C"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Using data from Energy Performance Certificates issued to new build homes it is possible to examine the exact location of completions in the district. As illustrated in the map below, over the last six years deliver of new builds in the district has been focused in the south of the district. </w:t>
      </w:r>
    </w:p>
    <w:p w14:paraId="33FEB18B"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There is also a notable gap in the middle and north of the district where the South Downs National Park is located. This is due to restrictions placed on the delivery of housing and all other forms of development. There has however been some development including a cluster in Midhurst.</w:t>
      </w:r>
    </w:p>
    <w:p w14:paraId="4CEDE801"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The majority of completions have been in the City and along the A27 including a large cluster in Southbourne. There have also been clusters of development on the south coast in East and West Wittering and Selsey. </w:t>
      </w:r>
    </w:p>
    <w:p w14:paraId="5DEA4547"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In the north of the district outside of the National Park there been clusters of development in Loxwood and </w:t>
      </w:r>
      <w:proofErr w:type="spellStart"/>
      <w:r w:rsidRPr="00D556DB">
        <w:rPr>
          <w:rFonts w:ascii="Arial" w:hAnsi="Arial" w:cs="Arial"/>
        </w:rPr>
        <w:t>Ifold</w:t>
      </w:r>
      <w:proofErr w:type="spellEnd"/>
      <w:r w:rsidRPr="00D556DB">
        <w:rPr>
          <w:rFonts w:ascii="Arial" w:hAnsi="Arial" w:cs="Arial"/>
        </w:rPr>
        <w:t>. As shown in previous analysis examining housing market areas these villages typically operate in a slightly different market which relates to Horsham and to a lesser degree Guildford.</w:t>
      </w:r>
    </w:p>
    <w:p w14:paraId="7F70A99A" w14:textId="7C6B8823" w:rsidR="00360825" w:rsidRPr="00D556DB" w:rsidRDefault="00360825" w:rsidP="001A7584">
      <w:pPr>
        <w:pStyle w:val="Heading4"/>
        <w:ind w:firstLine="0"/>
      </w:pPr>
      <w:r w:rsidRPr="00D556DB">
        <w:lastRenderedPageBreak/>
        <w:t>New Build Sales (2015-2021)</w:t>
      </w:r>
    </w:p>
    <w:p w14:paraId="20277FF8"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02554BA8" wp14:editId="40A64593">
            <wp:extent cx="4863472" cy="6877050"/>
            <wp:effectExtent l="0" t="0" r="0" b="0"/>
            <wp:docPr id="6" name="Picture 6" descr="As illustrated in the map below, over the last six years deliver of new builds in the district has been focused in the south of the district. &#10;2.14 There is also a notable gap in the middle and north of the district where the South Downs National Park is located. This is due to restrictions placed on the delivery of housing and all other forms of development. There has however been some development including a cluster in Midhurst.&#10;2.15 The majority of completions have been in the City and along the A27 including a large cluster in Southbourne. There have also been clusters of development on the south coast in East and West Wittering and Selsey. &#10;2.16 In the north of the district outside of the National Park there been clusters of development in Loxwood and Ifold. As shown in previous analysis examining housing market areas these villages typically operate in a slightly different market which relates to Horsham and to a lesser degree Guildfo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s illustrated in the map below, over the last six years deliver of new builds in the district has been focused in the south of the district. &#10;2.14 There is also a notable gap in the middle and north of the district where the South Downs National Park is located. This is due to restrictions placed on the delivery of housing and all other forms of development. There has however been some development including a cluster in Midhurst.&#10;2.15 The majority of completions have been in the City and along the A27 including a large cluster in Southbourne. There have also been clusters of development on the south coast in East and West Wittering and Selsey. &#10;2.16 In the north of the district outside of the National Park there been clusters of development in Loxwood and Ifold. As shown in previous analysis examining housing market areas these villages typically operate in a slightly different market which relates to Horsham and to a lesser degree Guildford.&#10;"/>
                    <pic:cNvPicPr/>
                  </pic:nvPicPr>
                  <pic:blipFill>
                    <a:blip r:embed="rId16" cstate="email">
                      <a:extLst>
                        <a:ext uri="{28A0092B-C50C-407E-A947-70E740481C1C}">
                          <a14:useLocalDpi xmlns:a14="http://schemas.microsoft.com/office/drawing/2010/main"/>
                        </a:ext>
                      </a:extLst>
                    </a:blip>
                    <a:stretch>
                      <a:fillRect/>
                    </a:stretch>
                  </pic:blipFill>
                  <pic:spPr>
                    <a:xfrm>
                      <a:off x="0" y="0"/>
                      <a:ext cx="4863479" cy="6877060"/>
                    </a:xfrm>
                    <a:prstGeom prst="rect">
                      <a:avLst/>
                    </a:prstGeom>
                  </pic:spPr>
                </pic:pic>
              </a:graphicData>
            </a:graphic>
          </wp:inline>
        </w:drawing>
      </w:r>
    </w:p>
    <w:p w14:paraId="26650CDC"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MLUHC, 2021</w:t>
      </w:r>
    </w:p>
    <w:p w14:paraId="0DAB1D81" w14:textId="77777777" w:rsidR="00360825" w:rsidRPr="00D556DB" w:rsidRDefault="00360825" w:rsidP="00360825">
      <w:pPr>
        <w:pStyle w:val="Heading2"/>
        <w:rPr>
          <w:rFonts w:ascii="Arial" w:hAnsi="Arial" w:cs="Arial"/>
        </w:rPr>
      </w:pPr>
      <w:r w:rsidRPr="00D556DB">
        <w:rPr>
          <w:rFonts w:ascii="Arial" w:hAnsi="Arial" w:cs="Arial"/>
        </w:rPr>
        <w:t>Rental Market</w:t>
      </w:r>
    </w:p>
    <w:p w14:paraId="78979F9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In the year to March 2021 median monthly rents in Chichester were £900. This is the same as the South East and £170 per month higher than the national equivalent (£730). As illustrated in the figure </w:t>
      </w:r>
      <w:r w:rsidRPr="00D556DB">
        <w:rPr>
          <w:rFonts w:ascii="Arial" w:hAnsi="Arial" w:cs="Arial"/>
        </w:rPr>
        <w:lastRenderedPageBreak/>
        <w:t>below there is relative parity between the district and regional figures for all sizes of rental units and generally these are above the national average.</w:t>
      </w:r>
    </w:p>
    <w:p w14:paraId="6BD1AFB4" w14:textId="77777777" w:rsidR="00360825" w:rsidRPr="00D556DB" w:rsidRDefault="00360825" w:rsidP="001A7584">
      <w:pPr>
        <w:pStyle w:val="Heading4"/>
        <w:ind w:firstLine="0"/>
      </w:pPr>
      <w:r w:rsidRPr="00D556DB">
        <w:t>Median Monthly Rents (Year to March 2021)</w:t>
      </w:r>
    </w:p>
    <w:p w14:paraId="664E7C68" w14:textId="77777777" w:rsidR="00360825" w:rsidRPr="00D556DB" w:rsidRDefault="00360825" w:rsidP="00360825">
      <w:pPr>
        <w:pStyle w:val="BodyText"/>
        <w:numPr>
          <w:ilvl w:val="0"/>
          <w:numId w:val="0"/>
        </w:numPr>
        <w:spacing w:after="0" w:line="240" w:lineRule="auto"/>
        <w:rPr>
          <w:rFonts w:ascii="Arial" w:hAnsi="Arial" w:cs="Arial"/>
        </w:rPr>
      </w:pPr>
      <w:r w:rsidRPr="00D556DB">
        <w:rPr>
          <w:rFonts w:ascii="Arial" w:hAnsi="Arial" w:cs="Arial"/>
          <w:noProof/>
        </w:rPr>
        <w:drawing>
          <wp:inline distT="0" distB="0" distL="0" distR="0" wp14:anchorId="5809A074" wp14:editId="02EEF481">
            <wp:extent cx="5594350" cy="3390900"/>
            <wp:effectExtent l="0" t="0" r="6350" b="0"/>
            <wp:docPr id="44" name="Chart 44" descr="2.17 In the year to March 2021 median monthly rents in Chichester were £900. This is the same as the South East and £170 per month higher than the national equivalent (£730). As illustrated in the figure below there is relative parity between the district and regional figures for all sizes of rental units and generally these are above the national average.">
              <a:extLst xmlns:a="http://schemas.openxmlformats.org/drawingml/2006/main">
                <a:ext uri="{FF2B5EF4-FFF2-40B4-BE49-F238E27FC236}">
                  <a16:creationId xmlns:a16="http://schemas.microsoft.com/office/drawing/2014/main" id="{013A6B7B-FFB3-4464-8F91-21E62D71D0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C0790E6"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ONS, Private Rental Market Summary Statistics, 2021</w:t>
      </w:r>
    </w:p>
    <w:p w14:paraId="794EAFB4"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Lower Quartile Median Rents in Chichester, which are the benchmark typically used for calculating affordable housing need, were around £775 per month in the year to March 2021. This was slightly higher than the South East equivalent of £750 and above the national figure of £565.</w:t>
      </w:r>
    </w:p>
    <w:p w14:paraId="5AB778D0"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As illustrated in the table below, the district is slightly above the regional equivalent for most size of rental units. There is a particularly large gap in the cost of renting larger homes in comparison to the national figure. This may be driven by some demand in the student housing market.</w:t>
      </w:r>
    </w:p>
    <w:p w14:paraId="4BA2971B" w14:textId="77777777" w:rsidR="00360825" w:rsidRPr="00D556DB" w:rsidRDefault="00360825" w:rsidP="001A7584">
      <w:pPr>
        <w:pStyle w:val="Heading4"/>
        <w:ind w:firstLine="0"/>
      </w:pPr>
      <w:r w:rsidRPr="00D556DB">
        <w:lastRenderedPageBreak/>
        <w:t>Lower Quartile Monthly Rents (Year to March 2021)</w:t>
      </w:r>
    </w:p>
    <w:p w14:paraId="378BD4F4" w14:textId="77777777" w:rsidR="00360825" w:rsidRPr="00D556DB" w:rsidRDefault="00360825" w:rsidP="00360825">
      <w:pPr>
        <w:pStyle w:val="BodyText"/>
        <w:numPr>
          <w:ilvl w:val="0"/>
          <w:numId w:val="0"/>
        </w:numPr>
        <w:spacing w:after="0" w:line="240" w:lineRule="auto"/>
        <w:rPr>
          <w:rFonts w:ascii="Arial" w:hAnsi="Arial" w:cs="Arial"/>
        </w:rPr>
      </w:pPr>
      <w:r w:rsidRPr="00D556DB">
        <w:rPr>
          <w:rFonts w:ascii="Arial" w:hAnsi="Arial" w:cs="Arial"/>
          <w:noProof/>
        </w:rPr>
        <w:drawing>
          <wp:inline distT="0" distB="0" distL="0" distR="0" wp14:anchorId="0E8FC77C" wp14:editId="509CE9A3">
            <wp:extent cx="5378450" cy="3270250"/>
            <wp:effectExtent l="0" t="0" r="12700" b="6350"/>
            <wp:docPr id="7" name="Chart 7" descr="As illustrated in the table , the district is slightly above the regional equivalent for most size of rental units. There is a particularly large gap in the cost of renting larger homes in comparison to the national figure. This may be driven by some demand in the student housing market.">
              <a:extLst xmlns:a="http://schemas.openxmlformats.org/drawingml/2006/main">
                <a:ext uri="{FF2B5EF4-FFF2-40B4-BE49-F238E27FC236}">
                  <a16:creationId xmlns:a16="http://schemas.microsoft.com/office/drawing/2014/main" id="{33217052-D702-4341-8290-4336D985A4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A756EEF"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ONS, Private Rental Market Summary Statistics, 2021</w:t>
      </w:r>
    </w:p>
    <w:p w14:paraId="562D7594"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Although the district has above average rental prices, the rate of increase has been much lower than in the wider south east and nationally. Since 2015 overall median rents have increased by around 5%. This compares to around 16% in the South East and 22% nationally.</w:t>
      </w:r>
    </w:p>
    <w:p w14:paraId="290495CB" w14:textId="77777777" w:rsidR="00360825" w:rsidRPr="00D556DB" w:rsidRDefault="00360825" w:rsidP="001A7584">
      <w:pPr>
        <w:pStyle w:val="Heading4"/>
        <w:ind w:firstLine="0"/>
      </w:pPr>
      <w:r w:rsidRPr="00D556DB">
        <w:t>Indexed Median Rental Growth (2011-2021)</w:t>
      </w:r>
    </w:p>
    <w:p w14:paraId="2FF35D38" w14:textId="77777777" w:rsidR="00360825" w:rsidRDefault="00360825" w:rsidP="00360825">
      <w:pPr>
        <w:pStyle w:val="BodyText"/>
        <w:numPr>
          <w:ilvl w:val="0"/>
          <w:numId w:val="0"/>
        </w:numPr>
        <w:spacing w:after="0" w:line="240" w:lineRule="auto"/>
        <w:rPr>
          <w:rFonts w:ascii="Arial" w:hAnsi="Arial" w:cs="Arial"/>
        </w:rPr>
      </w:pPr>
      <w:r w:rsidRPr="00D556DB">
        <w:rPr>
          <w:rFonts w:ascii="Arial" w:hAnsi="Arial" w:cs="Arial"/>
          <w:noProof/>
        </w:rPr>
        <w:drawing>
          <wp:inline distT="0" distB="0" distL="0" distR="0" wp14:anchorId="2A4F5295" wp14:editId="3127B2BA">
            <wp:extent cx="5494655" cy="3115994"/>
            <wp:effectExtent l="0" t="0" r="10795" b="8255"/>
            <wp:docPr id="33" name="Chart 33" descr="2.20 Although the district has above average rental prices, the rate of increase has been much lower than in the wider south east and nationally. Since 2015 overall median rents have increased by around 5%. This compares to around 16% in the South East and 22% nationally.">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64C0A55"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ONS, Private Rental Market Summary Statistics, 2021 and HM Treasury</w:t>
      </w:r>
    </w:p>
    <w:p w14:paraId="4E352250"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lastRenderedPageBreak/>
        <w:t>It is also clear from the figure above that for much of the last six years rental costs in the district have been below the rate of inflation. This means that in real terms rents have become cheaper. There has however been a fall in housing inflation in the last year although this is likely to be reversed when newer data is published.</w:t>
      </w:r>
    </w:p>
    <w:bookmarkEnd w:id="8"/>
    <w:p w14:paraId="6772432F" w14:textId="77777777" w:rsidR="00360825" w:rsidRPr="00D556DB" w:rsidRDefault="00360825" w:rsidP="00360825">
      <w:pPr>
        <w:pStyle w:val="Heading2"/>
        <w:rPr>
          <w:rFonts w:ascii="Arial" w:hAnsi="Arial" w:cs="Arial"/>
        </w:rPr>
      </w:pPr>
      <w:r w:rsidRPr="00D556DB">
        <w:rPr>
          <w:rFonts w:ascii="Arial" w:hAnsi="Arial" w:cs="Arial"/>
        </w:rPr>
        <w:t>Summary</w:t>
      </w:r>
    </w:p>
    <w:p w14:paraId="25884009" w14:textId="0C9697EB" w:rsidR="00360825" w:rsidRPr="00D556DB" w:rsidRDefault="00360825" w:rsidP="001A7584">
      <w:pPr>
        <w:pStyle w:val="BodyText"/>
        <w:numPr>
          <w:ilvl w:val="1"/>
          <w:numId w:val="6"/>
        </w:numPr>
        <w:tabs>
          <w:tab w:val="clear" w:pos="1134"/>
          <w:tab w:val="num" w:pos="0"/>
        </w:tabs>
        <w:ind w:left="0" w:hanging="709"/>
        <w:rPr>
          <w:rFonts w:ascii="Arial" w:hAnsi="Arial" w:cs="Arial"/>
        </w:rPr>
      </w:pPr>
      <w:bookmarkStart w:id="10" w:name="_Hlk89082345"/>
      <w:r w:rsidRPr="00D556DB">
        <w:rPr>
          <w:rFonts w:ascii="Arial" w:hAnsi="Arial" w:cs="Arial"/>
        </w:rPr>
        <w:t xml:space="preserve">The median house price in Chichester </w:t>
      </w:r>
      <w:r w:rsidR="00217488">
        <w:rPr>
          <w:rFonts w:ascii="Arial" w:hAnsi="Arial" w:cs="Arial"/>
        </w:rPr>
        <w:t xml:space="preserve">District </w:t>
      </w:r>
      <w:r w:rsidRPr="00D556DB">
        <w:rPr>
          <w:rFonts w:ascii="Arial" w:hAnsi="Arial" w:cs="Arial"/>
        </w:rPr>
        <w:t xml:space="preserve">so far in 2021 has been £415,000. Typically, prices are in line with the regional and above the national average. </w:t>
      </w:r>
    </w:p>
    <w:p w14:paraId="770D6A90"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There is significant variation in house prices across the district with the highest prices are found in the north of the district. The lowest prices can be found in the City.</w:t>
      </w:r>
    </w:p>
    <w:p w14:paraId="58BE1996"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With the exception of semi-detached the median house price across all other types of homes were higher in Chichester than the South East in 2020. </w:t>
      </w:r>
    </w:p>
    <w:p w14:paraId="0FE8725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Median house prices in the district are now 14 times the median earnings of those working in the district and 12.5 times the median earnings of those living in the district. This means that without considerable equity there is likely to significant constraints on people being able to access the sales market.</w:t>
      </w:r>
    </w:p>
    <w:p w14:paraId="6376A40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Transactions in the district are still well below the pre-2008 recession peak. It is also clear that the numbers of homes being sold has been falling since 2014. </w:t>
      </w:r>
    </w:p>
    <w:p w14:paraId="597FA47E"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Local agents have reported that there has been a lack of supply as people have been unable and unwilling to move. This includes a period in 2020 when lockdown stopped homes being viewed.</w:t>
      </w:r>
    </w:p>
    <w:p w14:paraId="10D64A9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In the last six years completions have averaged around 590 dwellings per annum. In the most recent year they totalled 530 dwellings</w:t>
      </w:r>
    </w:p>
    <w:p w14:paraId="07F87460" w14:textId="62368CC8"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In the year to March 2021 median monthly rents in Chichester</w:t>
      </w:r>
      <w:r w:rsidR="00217488">
        <w:rPr>
          <w:rFonts w:ascii="Arial" w:hAnsi="Arial" w:cs="Arial"/>
        </w:rPr>
        <w:t xml:space="preserve"> District</w:t>
      </w:r>
      <w:r w:rsidRPr="00D556DB">
        <w:rPr>
          <w:rFonts w:ascii="Arial" w:hAnsi="Arial" w:cs="Arial"/>
        </w:rPr>
        <w:t xml:space="preserve"> were £900. There is relative parity between the district and regional figures for all sizes of rental units and these are above the national average.</w:t>
      </w:r>
    </w:p>
    <w:p w14:paraId="6195417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Since 2015 median rents have increased by around 5%. This compares to around 16% in the South East and 22% nationally.</w:t>
      </w:r>
    </w:p>
    <w:bookmarkEnd w:id="10"/>
    <w:p w14:paraId="35FD7415" w14:textId="77777777" w:rsidR="00360825" w:rsidRPr="00D556DB" w:rsidRDefault="00360825" w:rsidP="00360825">
      <w:pPr>
        <w:pStyle w:val="BodyText"/>
        <w:numPr>
          <w:ilvl w:val="0"/>
          <w:numId w:val="0"/>
        </w:numPr>
        <w:rPr>
          <w:rFonts w:ascii="Arial" w:hAnsi="Arial" w:cs="Arial"/>
        </w:rPr>
      </w:pPr>
    </w:p>
    <w:p w14:paraId="575B1B26" w14:textId="77777777" w:rsidR="00360825" w:rsidRPr="00D556DB" w:rsidRDefault="00360825" w:rsidP="00360825">
      <w:pPr>
        <w:pStyle w:val="Heading1"/>
        <w:rPr>
          <w:rFonts w:ascii="Arial" w:hAnsi="Arial" w:cs="Arial"/>
        </w:rPr>
      </w:pPr>
      <w:bookmarkStart w:id="11" w:name="_Toc96358134"/>
      <w:bookmarkStart w:id="12" w:name="_Toc97716032"/>
      <w:r w:rsidRPr="00D556DB">
        <w:rPr>
          <w:rFonts w:ascii="Arial" w:hAnsi="Arial" w:cs="Arial"/>
        </w:rPr>
        <w:lastRenderedPageBreak/>
        <w:t>Demographics</w:t>
      </w:r>
      <w:bookmarkEnd w:id="11"/>
      <w:bookmarkEnd w:id="12"/>
    </w:p>
    <w:p w14:paraId="5D2D729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bookmarkStart w:id="13" w:name="_Hlk68779379"/>
      <w:r w:rsidRPr="00D556DB">
        <w:rPr>
          <w:rFonts w:ascii="Arial" w:hAnsi="Arial" w:cs="Arial"/>
        </w:rPr>
        <w:t>This section of the report considers demographic trends, in particular looking at past trends in population growth and future projections. The analysis draws on the 2018-based subnational population projections (SNPP) and the 2018-based household projections (SNHP) – both ONS data releases. The analysis also looks at the most recent population estimates (again from ONS) which date to mid-2020.</w:t>
      </w:r>
    </w:p>
    <w:bookmarkEnd w:id="13"/>
    <w:p w14:paraId="3393143B"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Demographic Trends</w:t>
      </w:r>
    </w:p>
    <w:p w14:paraId="2C7BE67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analysis below looks at some key statistics about demographic trends in Chichester; particularly focussing on past population growth and the reasons for changes (components of change). This information is provided to help give some context for analysis to follow. The data presented is mainly for Chichester District as a whole, although key demographic data for sub-areas is also provided.</w:t>
      </w:r>
    </w:p>
    <w:p w14:paraId="284429B6" w14:textId="77777777" w:rsidR="00360825" w:rsidRPr="00D556DB" w:rsidRDefault="00360825" w:rsidP="00360825">
      <w:pPr>
        <w:pStyle w:val="Heading3"/>
        <w:spacing w:after="120"/>
        <w:rPr>
          <w:rFonts w:ascii="Arial" w:hAnsi="Arial" w:cs="Arial"/>
        </w:rPr>
      </w:pPr>
      <w:r w:rsidRPr="00D556DB">
        <w:rPr>
          <w:rStyle w:val="Strong"/>
          <w:rFonts w:ascii="Arial" w:hAnsi="Arial" w:cs="Arial"/>
          <w:b/>
        </w:rPr>
        <w:t>Population</w:t>
      </w:r>
    </w:p>
    <w:p w14:paraId="5A00E87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As an initial background analysis, the table below shows the estimated population in each sub-area (as of 2020) and the proportion of the Chichester District total this amounts to. This analysis shows a total population of around 121,500 and that around a quarter of the population </w:t>
      </w:r>
      <w:r w:rsidRPr="00DE1AA1">
        <w:rPr>
          <w:rFonts w:ascii="Arial" w:eastAsia="MS PGothic" w:hAnsi="Arial" w:cs="Arial"/>
          <w:bCs/>
          <w:lang w:eastAsia="ja-JP"/>
        </w:rPr>
        <w:t>lives in each of Chichester City, the Manhood Peninsula and the SDNP sub-areas; Plan Area North is the smallest of the sub-areas, with just 7% of the population.</w:t>
      </w:r>
    </w:p>
    <w:p w14:paraId="6FE3ADD1" w14:textId="77777777" w:rsidR="00360825" w:rsidRPr="00D556DB" w:rsidRDefault="00360825" w:rsidP="001A7584">
      <w:pPr>
        <w:pStyle w:val="Heading4"/>
        <w:ind w:firstLine="0"/>
        <w:rPr>
          <w:rFonts w:eastAsiaTheme="majorEastAsia"/>
        </w:rPr>
      </w:pPr>
      <w:r w:rsidRPr="00D556DB">
        <w:t>Estimated population by sub-area (2020)</w:t>
      </w:r>
    </w:p>
    <w:tbl>
      <w:tblPr>
        <w:tblStyle w:val="TableGridLight1"/>
        <w:tblW w:w="5000" w:type="pct"/>
        <w:tblInd w:w="-5" w:type="dxa"/>
        <w:tblLayout w:type="fixed"/>
        <w:tblLook w:val="04A0" w:firstRow="1" w:lastRow="0" w:firstColumn="1" w:lastColumn="0" w:noHBand="0" w:noVBand="1"/>
      </w:tblPr>
      <w:tblGrid>
        <w:gridCol w:w="3182"/>
        <w:gridCol w:w="2797"/>
        <w:gridCol w:w="2798"/>
      </w:tblGrid>
      <w:tr w:rsidR="00360825" w:rsidRPr="00DE1AA1" w14:paraId="79F29143" w14:textId="77777777" w:rsidTr="00C04569">
        <w:tc>
          <w:tcPr>
            <w:tcW w:w="2972" w:type="dxa"/>
            <w:tcBorders>
              <w:top w:val="single" w:sz="4" w:space="0" w:color="auto"/>
              <w:left w:val="single" w:sz="4" w:space="0" w:color="auto"/>
              <w:bottom w:val="single" w:sz="4" w:space="0" w:color="auto"/>
              <w:right w:val="single" w:sz="4" w:space="0" w:color="auto"/>
            </w:tcBorders>
            <w:shd w:val="clear" w:color="auto" w:fill="002060"/>
          </w:tcPr>
          <w:p w14:paraId="0C9023CA" w14:textId="77777777" w:rsidR="00360825" w:rsidRPr="00DE1AA1" w:rsidRDefault="00360825" w:rsidP="00C04569">
            <w:pPr>
              <w:keepNext/>
              <w:spacing w:before="60" w:after="60" w:line="300" w:lineRule="auto"/>
              <w:jc w:val="left"/>
              <w:rPr>
                <w:rFonts w:ascii="Arial" w:hAnsi="Arial" w:cs="Arial"/>
              </w:rPr>
            </w:pPr>
          </w:p>
        </w:tc>
        <w:tc>
          <w:tcPr>
            <w:tcW w:w="2613" w:type="dxa"/>
            <w:tcBorders>
              <w:top w:val="single" w:sz="4" w:space="0" w:color="auto"/>
              <w:left w:val="single" w:sz="4" w:space="0" w:color="auto"/>
              <w:bottom w:val="single" w:sz="4" w:space="0" w:color="auto"/>
              <w:right w:val="single" w:sz="4" w:space="0" w:color="auto"/>
            </w:tcBorders>
            <w:shd w:val="clear" w:color="auto" w:fill="002060"/>
            <w:hideMark/>
          </w:tcPr>
          <w:p w14:paraId="10B9AF6A"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Estimated population</w:t>
            </w:r>
          </w:p>
        </w:tc>
        <w:tc>
          <w:tcPr>
            <w:tcW w:w="2614" w:type="dxa"/>
            <w:tcBorders>
              <w:top w:val="single" w:sz="4" w:space="0" w:color="auto"/>
              <w:left w:val="single" w:sz="4" w:space="0" w:color="auto"/>
              <w:bottom w:val="single" w:sz="4" w:space="0" w:color="auto"/>
              <w:right w:val="single" w:sz="4" w:space="0" w:color="auto"/>
            </w:tcBorders>
            <w:shd w:val="clear" w:color="auto" w:fill="002060"/>
            <w:hideMark/>
          </w:tcPr>
          <w:p w14:paraId="3E8B1D5F"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 of population</w:t>
            </w:r>
          </w:p>
        </w:tc>
      </w:tr>
      <w:tr w:rsidR="00360825" w:rsidRPr="00DE1AA1" w14:paraId="54344795"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69BBA9A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Chichester City</w:t>
            </w:r>
          </w:p>
        </w:tc>
        <w:tc>
          <w:tcPr>
            <w:tcW w:w="2613" w:type="dxa"/>
            <w:tcBorders>
              <w:top w:val="single" w:sz="4" w:space="0" w:color="auto"/>
              <w:left w:val="single" w:sz="4" w:space="0" w:color="auto"/>
              <w:bottom w:val="single" w:sz="4" w:space="0" w:color="auto"/>
              <w:right w:val="single" w:sz="4" w:space="0" w:color="auto"/>
            </w:tcBorders>
            <w:hideMark/>
          </w:tcPr>
          <w:p w14:paraId="5F69593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29,193</w:t>
            </w:r>
          </w:p>
        </w:tc>
        <w:tc>
          <w:tcPr>
            <w:tcW w:w="2614" w:type="dxa"/>
            <w:tcBorders>
              <w:top w:val="single" w:sz="4" w:space="0" w:color="auto"/>
              <w:left w:val="single" w:sz="4" w:space="0" w:color="auto"/>
              <w:bottom w:val="single" w:sz="4" w:space="0" w:color="auto"/>
              <w:right w:val="single" w:sz="4" w:space="0" w:color="auto"/>
            </w:tcBorders>
            <w:hideMark/>
          </w:tcPr>
          <w:p w14:paraId="679181F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24.0%</w:t>
            </w:r>
          </w:p>
        </w:tc>
      </w:tr>
      <w:tr w:rsidR="00360825" w:rsidRPr="00DE1AA1" w14:paraId="34528A37"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74AB1151"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EW Corridor</w:t>
            </w:r>
          </w:p>
        </w:tc>
        <w:tc>
          <w:tcPr>
            <w:tcW w:w="2613" w:type="dxa"/>
            <w:tcBorders>
              <w:top w:val="single" w:sz="4" w:space="0" w:color="auto"/>
              <w:left w:val="single" w:sz="4" w:space="0" w:color="auto"/>
              <w:bottom w:val="single" w:sz="4" w:space="0" w:color="auto"/>
              <w:right w:val="single" w:sz="4" w:space="0" w:color="auto"/>
            </w:tcBorders>
            <w:hideMark/>
          </w:tcPr>
          <w:p w14:paraId="61C449B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24,458</w:t>
            </w:r>
          </w:p>
        </w:tc>
        <w:tc>
          <w:tcPr>
            <w:tcW w:w="2614" w:type="dxa"/>
            <w:tcBorders>
              <w:top w:val="single" w:sz="4" w:space="0" w:color="auto"/>
              <w:left w:val="single" w:sz="4" w:space="0" w:color="auto"/>
              <w:bottom w:val="single" w:sz="4" w:space="0" w:color="auto"/>
              <w:right w:val="single" w:sz="4" w:space="0" w:color="auto"/>
            </w:tcBorders>
            <w:hideMark/>
          </w:tcPr>
          <w:p w14:paraId="424D8E2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20.1%</w:t>
            </w:r>
          </w:p>
        </w:tc>
      </w:tr>
      <w:tr w:rsidR="00360825" w:rsidRPr="00DE1AA1" w14:paraId="7617ECA9"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5D8D2DFB"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Manhood</w:t>
            </w:r>
          </w:p>
        </w:tc>
        <w:tc>
          <w:tcPr>
            <w:tcW w:w="2613" w:type="dxa"/>
            <w:tcBorders>
              <w:top w:val="single" w:sz="4" w:space="0" w:color="auto"/>
              <w:left w:val="single" w:sz="4" w:space="0" w:color="auto"/>
              <w:bottom w:val="single" w:sz="4" w:space="0" w:color="auto"/>
              <w:right w:val="single" w:sz="4" w:space="0" w:color="auto"/>
            </w:tcBorders>
            <w:hideMark/>
          </w:tcPr>
          <w:p w14:paraId="0C29D36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27,935</w:t>
            </w:r>
          </w:p>
        </w:tc>
        <w:tc>
          <w:tcPr>
            <w:tcW w:w="2614" w:type="dxa"/>
            <w:tcBorders>
              <w:top w:val="single" w:sz="4" w:space="0" w:color="auto"/>
              <w:left w:val="single" w:sz="4" w:space="0" w:color="auto"/>
              <w:bottom w:val="single" w:sz="4" w:space="0" w:color="auto"/>
              <w:right w:val="single" w:sz="4" w:space="0" w:color="auto"/>
            </w:tcBorders>
            <w:hideMark/>
          </w:tcPr>
          <w:p w14:paraId="3B9FA20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23.0%</w:t>
            </w:r>
          </w:p>
        </w:tc>
      </w:tr>
      <w:tr w:rsidR="00360825" w:rsidRPr="00DE1AA1" w14:paraId="40F769AC"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0EDF14D8"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Plan Area North</w:t>
            </w:r>
          </w:p>
        </w:tc>
        <w:tc>
          <w:tcPr>
            <w:tcW w:w="2613" w:type="dxa"/>
            <w:tcBorders>
              <w:top w:val="single" w:sz="4" w:space="0" w:color="auto"/>
              <w:left w:val="single" w:sz="4" w:space="0" w:color="auto"/>
              <w:bottom w:val="single" w:sz="4" w:space="0" w:color="auto"/>
              <w:right w:val="single" w:sz="4" w:space="0" w:color="auto"/>
            </w:tcBorders>
            <w:hideMark/>
          </w:tcPr>
          <w:p w14:paraId="1F2F694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8,396</w:t>
            </w:r>
          </w:p>
        </w:tc>
        <w:tc>
          <w:tcPr>
            <w:tcW w:w="2614" w:type="dxa"/>
            <w:tcBorders>
              <w:top w:val="single" w:sz="4" w:space="0" w:color="auto"/>
              <w:left w:val="single" w:sz="4" w:space="0" w:color="auto"/>
              <w:bottom w:val="single" w:sz="4" w:space="0" w:color="auto"/>
              <w:right w:val="single" w:sz="4" w:space="0" w:color="auto"/>
            </w:tcBorders>
            <w:hideMark/>
          </w:tcPr>
          <w:p w14:paraId="78E6953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6.9%</w:t>
            </w:r>
          </w:p>
        </w:tc>
      </w:tr>
      <w:tr w:rsidR="00360825" w:rsidRPr="00DE1AA1" w14:paraId="3A3CC4AC"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6E9DCDB6"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SDNP</w:t>
            </w:r>
          </w:p>
        </w:tc>
        <w:tc>
          <w:tcPr>
            <w:tcW w:w="2613" w:type="dxa"/>
            <w:tcBorders>
              <w:top w:val="single" w:sz="4" w:space="0" w:color="auto"/>
              <w:left w:val="single" w:sz="4" w:space="0" w:color="auto"/>
              <w:bottom w:val="single" w:sz="4" w:space="0" w:color="auto"/>
              <w:right w:val="single" w:sz="4" w:space="0" w:color="auto"/>
            </w:tcBorders>
            <w:hideMark/>
          </w:tcPr>
          <w:p w14:paraId="36E9C45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31,526</w:t>
            </w:r>
          </w:p>
        </w:tc>
        <w:tc>
          <w:tcPr>
            <w:tcW w:w="2614" w:type="dxa"/>
            <w:tcBorders>
              <w:top w:val="single" w:sz="4" w:space="0" w:color="auto"/>
              <w:left w:val="single" w:sz="4" w:space="0" w:color="auto"/>
              <w:bottom w:val="single" w:sz="4" w:space="0" w:color="auto"/>
              <w:right w:val="single" w:sz="4" w:space="0" w:color="auto"/>
            </w:tcBorders>
            <w:hideMark/>
          </w:tcPr>
          <w:p w14:paraId="411E15F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25.9%</w:t>
            </w:r>
          </w:p>
        </w:tc>
      </w:tr>
      <w:tr w:rsidR="00360825" w:rsidRPr="00DE1AA1" w14:paraId="78EE2769"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4851D991" w14:textId="77777777" w:rsidR="00360825" w:rsidRPr="00DE1AA1" w:rsidRDefault="00360825" w:rsidP="00C04569">
            <w:pPr>
              <w:keepNext/>
              <w:spacing w:after="0" w:line="300" w:lineRule="auto"/>
              <w:rPr>
                <w:rFonts w:ascii="Arial" w:hAnsi="Arial" w:cs="Arial"/>
                <w:color w:val="000000"/>
              </w:rPr>
            </w:pPr>
            <w:r w:rsidRPr="00DE1AA1">
              <w:rPr>
                <w:rFonts w:ascii="Arial" w:hAnsi="Arial" w:cs="Arial"/>
                <w:color w:val="000000"/>
              </w:rPr>
              <w:t>TOTAL</w:t>
            </w:r>
          </w:p>
        </w:tc>
        <w:tc>
          <w:tcPr>
            <w:tcW w:w="2613" w:type="dxa"/>
            <w:tcBorders>
              <w:top w:val="single" w:sz="4" w:space="0" w:color="auto"/>
              <w:left w:val="single" w:sz="4" w:space="0" w:color="auto"/>
              <w:bottom w:val="single" w:sz="4" w:space="0" w:color="auto"/>
              <w:right w:val="single" w:sz="4" w:space="0" w:color="auto"/>
            </w:tcBorders>
            <w:hideMark/>
          </w:tcPr>
          <w:p w14:paraId="07147CC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121,508</w:t>
            </w:r>
          </w:p>
        </w:tc>
        <w:tc>
          <w:tcPr>
            <w:tcW w:w="2614" w:type="dxa"/>
            <w:tcBorders>
              <w:top w:val="single" w:sz="4" w:space="0" w:color="auto"/>
              <w:left w:val="single" w:sz="4" w:space="0" w:color="auto"/>
              <w:bottom w:val="single" w:sz="4" w:space="0" w:color="auto"/>
              <w:right w:val="single" w:sz="4" w:space="0" w:color="auto"/>
            </w:tcBorders>
            <w:hideMark/>
          </w:tcPr>
          <w:p w14:paraId="38037D6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r>
    </w:tbl>
    <w:p w14:paraId="636AEF4A"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ONS</w:t>
      </w:r>
    </w:p>
    <w:p w14:paraId="186AC55F" w14:textId="77777777" w:rsidR="00360825" w:rsidRPr="00D556DB" w:rsidRDefault="00360825" w:rsidP="00360825">
      <w:pPr>
        <w:pStyle w:val="Heading3"/>
        <w:spacing w:after="120"/>
        <w:rPr>
          <w:rFonts w:ascii="Arial" w:hAnsi="Arial" w:cs="Arial"/>
        </w:rPr>
      </w:pPr>
      <w:r w:rsidRPr="00D556DB">
        <w:rPr>
          <w:rStyle w:val="Strong"/>
          <w:rFonts w:ascii="Arial" w:hAnsi="Arial" w:cs="Arial"/>
          <w:b/>
        </w:rPr>
        <w:t>Age Structure</w:t>
      </w:r>
    </w:p>
    <w:p w14:paraId="53229F08"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 xml:space="preserve">The figure below shows the population profile of Chichester compared with a range of other </w:t>
      </w:r>
      <w:r w:rsidRPr="00D556DB">
        <w:rPr>
          <w:rFonts w:ascii="Arial" w:hAnsi="Arial" w:cs="Arial"/>
        </w:rPr>
        <w:t>areas</w:t>
      </w:r>
      <w:r w:rsidRPr="00DE1AA1">
        <w:rPr>
          <w:rFonts w:ascii="Arial" w:eastAsia="MS PGothic" w:hAnsi="Arial" w:cs="Arial"/>
          <w:bCs/>
          <w:lang w:eastAsia="ja-JP"/>
        </w:rPr>
        <w:t>. One key difference is the relatively high proportion of the population aged over about 50 in Chichester when compared with the South East and England (and also above equivalent data for West Sussex).</w:t>
      </w:r>
    </w:p>
    <w:p w14:paraId="723BE7B8" w14:textId="77777777" w:rsidR="00360825" w:rsidRPr="00D556DB" w:rsidRDefault="00360825" w:rsidP="001A7584">
      <w:pPr>
        <w:pStyle w:val="Heading4"/>
        <w:ind w:firstLine="0"/>
        <w:rPr>
          <w:rFonts w:eastAsiaTheme="majorEastAsia"/>
        </w:rPr>
      </w:pPr>
      <w:r w:rsidRPr="00472D63">
        <w:lastRenderedPageBreak/>
        <w:t>Population</w:t>
      </w:r>
      <w:r w:rsidRPr="00D556DB">
        <w:rPr>
          <w:rFonts w:eastAsia="MS PGothic"/>
        </w:rPr>
        <w:t xml:space="preserve"> profile (2020)</w:t>
      </w:r>
    </w:p>
    <w:p w14:paraId="7F357AAC" w14:textId="77777777" w:rsidR="00360825" w:rsidRPr="00DE1AA1" w:rsidRDefault="00360825" w:rsidP="00360825">
      <w:pPr>
        <w:pStyle w:val="BodyText"/>
        <w:numPr>
          <w:ilvl w:val="0"/>
          <w:numId w:val="0"/>
        </w:numPr>
        <w:rPr>
          <w:rFonts w:ascii="Arial" w:eastAsia="MS PGothic" w:hAnsi="Arial" w:cs="Arial"/>
          <w:bCs/>
          <w:lang w:eastAsia="ja-JP"/>
        </w:rPr>
      </w:pPr>
      <w:r w:rsidRPr="00DE1AA1">
        <w:rPr>
          <w:rFonts w:ascii="Arial" w:eastAsia="MS PGothic" w:hAnsi="Arial" w:cs="Arial"/>
          <w:bCs/>
          <w:noProof/>
          <w:lang w:eastAsia="ja-JP"/>
        </w:rPr>
        <w:drawing>
          <wp:inline distT="0" distB="0" distL="0" distR="0" wp14:anchorId="240BA731" wp14:editId="3E100B49">
            <wp:extent cx="5626100" cy="2889250"/>
            <wp:effectExtent l="0" t="0" r="12700" b="6350"/>
            <wp:docPr id="27" name="Chart 27" descr="Chichester below other areas until 51. There is also a higher than West Sussex number of student age population. Large spike in the those aged 90 and more"/>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DE1AA1">
        <w:rPr>
          <w:rFonts w:ascii="Arial" w:eastAsia="MS PGothic" w:hAnsi="Arial" w:cs="Arial"/>
          <w:bCs/>
          <w:lang w:eastAsia="ja-JP"/>
        </w:rPr>
        <w:t>Source: ONS mid-year population estimates</w:t>
      </w:r>
    </w:p>
    <w:p w14:paraId="41B00A0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The analysis below summarises</w:t>
      </w:r>
      <w:r w:rsidRPr="009A2131">
        <w:rPr>
          <w:rFonts w:ascii="Arial" w:eastAsia="MS PGothic" w:hAnsi="Arial" w:cs="Arial"/>
          <w:bCs/>
          <w:lang w:eastAsia="ja-JP"/>
        </w:rPr>
        <w:t xml:space="preserve"> </w:t>
      </w:r>
      <w:r w:rsidRPr="003274B9">
        <w:rPr>
          <w:rFonts w:ascii="Arial" w:eastAsia="MS PGothic" w:hAnsi="Arial" w:cs="Arial"/>
          <w:bCs/>
        </w:rPr>
        <w:t>the</w:t>
      </w:r>
      <w:r w:rsidRPr="009A2131">
        <w:rPr>
          <w:rFonts w:ascii="Arial" w:eastAsia="MS PGothic" w:hAnsi="Arial" w:cs="Arial"/>
          <w:bCs/>
          <w:lang w:eastAsia="ja-JP"/>
        </w:rPr>
        <w:t xml:space="preserve"> </w:t>
      </w:r>
      <w:r w:rsidRPr="00DE1AA1">
        <w:rPr>
          <w:rFonts w:ascii="Arial" w:eastAsia="MS PGothic" w:hAnsi="Arial" w:cs="Arial"/>
          <w:bCs/>
          <w:lang w:eastAsia="ja-JP"/>
        </w:rPr>
        <w:t>above information by assigning population to three broad age groups (which can generally be described as a) children, b) working-age and c) pensionable age). This analysis shows that, compared with the regional and national position, Chichester has a higher proportion of people aged 65+ and slightly fewer children – this is also true (but to a lesser extent) when compared with data for West Sussex.</w:t>
      </w:r>
    </w:p>
    <w:p w14:paraId="197C8309" w14:textId="77777777" w:rsidR="00360825" w:rsidRPr="00D556DB" w:rsidRDefault="00360825" w:rsidP="001A7584">
      <w:pPr>
        <w:pStyle w:val="Heading4"/>
        <w:ind w:firstLine="0"/>
        <w:rPr>
          <w:rFonts w:eastAsiaTheme="majorEastAsia"/>
        </w:rPr>
      </w:pPr>
      <w:r w:rsidRPr="00472D63">
        <w:t>Population</w:t>
      </w:r>
      <w:r w:rsidRPr="00D556DB">
        <w:rPr>
          <w:rFonts w:eastAsia="MS PGothic"/>
        </w:rPr>
        <w:t xml:space="preserve"> profile (2020) – summary age bands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3"/>
        <w:gridCol w:w="1453"/>
        <w:gridCol w:w="1430"/>
        <w:gridCol w:w="1460"/>
        <w:gridCol w:w="1460"/>
        <w:gridCol w:w="1461"/>
      </w:tblGrid>
      <w:tr w:rsidR="00360825" w:rsidRPr="00DE1AA1" w14:paraId="2017BEF1" w14:textId="77777777" w:rsidTr="00C04569">
        <w:tc>
          <w:tcPr>
            <w:tcW w:w="1413" w:type="dxa"/>
            <w:vMerge w:val="restart"/>
            <w:tcBorders>
              <w:top w:val="single" w:sz="4" w:space="0" w:color="auto"/>
              <w:left w:val="single" w:sz="4" w:space="0" w:color="auto"/>
              <w:bottom w:val="single" w:sz="4" w:space="0" w:color="auto"/>
              <w:right w:val="single" w:sz="4" w:space="0" w:color="auto"/>
            </w:tcBorders>
            <w:shd w:val="clear" w:color="auto" w:fill="002060"/>
            <w:vAlign w:val="center"/>
          </w:tcPr>
          <w:p w14:paraId="58BBAC5C" w14:textId="77777777" w:rsidR="00360825" w:rsidRPr="00DE1AA1" w:rsidRDefault="00360825" w:rsidP="00C04569">
            <w:pPr>
              <w:keepNext/>
              <w:spacing w:after="0" w:line="300" w:lineRule="auto"/>
              <w:jc w:val="left"/>
              <w:rPr>
                <w:rFonts w:ascii="Arial" w:eastAsia="MS PGothic" w:hAnsi="Arial" w:cs="Arial"/>
                <w:bCs/>
                <w:color w:val="FFFFFF" w:themeColor="background1"/>
                <w:lang w:eastAsia="ja-JP"/>
              </w:rPr>
            </w:pPr>
          </w:p>
        </w:tc>
        <w:tc>
          <w:tcPr>
            <w:tcW w:w="2693"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32D03930"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Chichester</w:t>
            </w:r>
          </w:p>
        </w:tc>
        <w:tc>
          <w:tcPr>
            <w:tcW w:w="13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92EB243"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West Sussex</w:t>
            </w:r>
          </w:p>
        </w:tc>
        <w:tc>
          <w:tcPr>
            <w:tcW w:w="13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79ADA7"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South East</w:t>
            </w:r>
          </w:p>
        </w:tc>
        <w:tc>
          <w:tcPr>
            <w:tcW w:w="1365" w:type="dxa"/>
            <w:tcBorders>
              <w:top w:val="single" w:sz="4" w:space="0" w:color="auto"/>
              <w:left w:val="single" w:sz="4" w:space="0" w:color="auto"/>
              <w:bottom w:val="single" w:sz="4" w:space="0" w:color="auto"/>
              <w:right w:val="single" w:sz="4" w:space="0" w:color="auto"/>
            </w:tcBorders>
            <w:shd w:val="clear" w:color="auto" w:fill="002060"/>
            <w:hideMark/>
          </w:tcPr>
          <w:p w14:paraId="4A079624"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England</w:t>
            </w:r>
          </w:p>
        </w:tc>
      </w:tr>
      <w:tr w:rsidR="00360825" w:rsidRPr="00DE1AA1" w14:paraId="52566E9B" w14:textId="77777777" w:rsidTr="00C04569">
        <w:tc>
          <w:tcPr>
            <w:tcW w:w="1413" w:type="dxa"/>
            <w:vMerge/>
            <w:tcBorders>
              <w:top w:val="single" w:sz="4" w:space="0" w:color="auto"/>
              <w:left w:val="single" w:sz="4" w:space="0" w:color="auto"/>
              <w:bottom w:val="single" w:sz="4" w:space="0" w:color="auto"/>
              <w:right w:val="single" w:sz="4" w:space="0" w:color="auto"/>
            </w:tcBorders>
            <w:vAlign w:val="center"/>
            <w:hideMark/>
          </w:tcPr>
          <w:p w14:paraId="4A04F18D" w14:textId="77777777" w:rsidR="00360825" w:rsidRPr="00DE1AA1" w:rsidRDefault="00360825" w:rsidP="00C04569">
            <w:pPr>
              <w:spacing w:after="0" w:line="240" w:lineRule="auto"/>
              <w:jc w:val="left"/>
              <w:rPr>
                <w:rFonts w:ascii="Arial" w:eastAsia="MS PGothic" w:hAnsi="Arial" w:cs="Arial"/>
                <w:bCs/>
                <w:color w:val="FFFFFF" w:themeColor="background1"/>
                <w:lang w:eastAsia="ja-JP"/>
              </w:rPr>
            </w:pPr>
          </w:p>
        </w:tc>
        <w:tc>
          <w:tcPr>
            <w:tcW w:w="135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B38B6F"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Population</w:t>
            </w:r>
          </w:p>
        </w:tc>
        <w:tc>
          <w:tcPr>
            <w:tcW w:w="133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4F8F9AB"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 of population</w:t>
            </w:r>
          </w:p>
        </w:tc>
        <w:tc>
          <w:tcPr>
            <w:tcW w:w="13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8ECE84"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 of population</w:t>
            </w:r>
          </w:p>
        </w:tc>
        <w:tc>
          <w:tcPr>
            <w:tcW w:w="13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957D0A"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 of population</w:t>
            </w:r>
          </w:p>
        </w:tc>
        <w:tc>
          <w:tcPr>
            <w:tcW w:w="136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CEAAF5D"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 of population</w:t>
            </w:r>
          </w:p>
        </w:tc>
      </w:tr>
      <w:tr w:rsidR="00360825" w:rsidRPr="00DE1AA1" w14:paraId="0B620462" w14:textId="77777777" w:rsidTr="00C04569">
        <w:tc>
          <w:tcPr>
            <w:tcW w:w="1413" w:type="dxa"/>
            <w:tcBorders>
              <w:top w:val="single" w:sz="4" w:space="0" w:color="auto"/>
              <w:left w:val="single" w:sz="4" w:space="0" w:color="auto"/>
              <w:bottom w:val="single" w:sz="4" w:space="0" w:color="auto"/>
              <w:right w:val="single" w:sz="4" w:space="0" w:color="auto"/>
            </w:tcBorders>
            <w:vAlign w:val="center"/>
            <w:hideMark/>
          </w:tcPr>
          <w:p w14:paraId="58DE18D5" w14:textId="77777777" w:rsidR="00360825" w:rsidRPr="00DE1AA1" w:rsidRDefault="00360825" w:rsidP="00C04569">
            <w:pPr>
              <w:keepNext/>
              <w:widowControl w:val="0"/>
              <w:spacing w:after="0" w:line="300" w:lineRule="auto"/>
              <w:rPr>
                <w:rFonts w:ascii="Arial" w:eastAsia="MS PGothic" w:hAnsi="Arial" w:cs="Arial"/>
                <w:bCs/>
                <w:color w:val="000000"/>
                <w:lang w:eastAsia="ja-JP"/>
              </w:rPr>
            </w:pPr>
            <w:r w:rsidRPr="00DE1AA1">
              <w:rPr>
                <w:rFonts w:ascii="Arial" w:hAnsi="Arial" w:cs="Arial"/>
              </w:rPr>
              <w:t>Under 16</w:t>
            </w:r>
          </w:p>
        </w:tc>
        <w:tc>
          <w:tcPr>
            <w:tcW w:w="1357" w:type="dxa"/>
            <w:tcBorders>
              <w:top w:val="single" w:sz="4" w:space="0" w:color="auto"/>
              <w:left w:val="single" w:sz="4" w:space="0" w:color="auto"/>
              <w:bottom w:val="single" w:sz="4" w:space="0" w:color="auto"/>
              <w:right w:val="single" w:sz="4" w:space="0" w:color="auto"/>
            </w:tcBorders>
            <w:vAlign w:val="bottom"/>
            <w:hideMark/>
          </w:tcPr>
          <w:p w14:paraId="5B6B8C2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20,117</w:t>
            </w:r>
          </w:p>
        </w:tc>
        <w:tc>
          <w:tcPr>
            <w:tcW w:w="1336" w:type="dxa"/>
            <w:tcBorders>
              <w:top w:val="single" w:sz="4" w:space="0" w:color="auto"/>
              <w:left w:val="single" w:sz="4" w:space="0" w:color="auto"/>
              <w:bottom w:val="single" w:sz="4" w:space="0" w:color="auto"/>
              <w:right w:val="single" w:sz="4" w:space="0" w:color="auto"/>
            </w:tcBorders>
            <w:vAlign w:val="bottom"/>
            <w:hideMark/>
          </w:tcPr>
          <w:p w14:paraId="47EBA54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16.6%</w:t>
            </w:r>
          </w:p>
        </w:tc>
        <w:tc>
          <w:tcPr>
            <w:tcW w:w="1364" w:type="dxa"/>
            <w:tcBorders>
              <w:top w:val="single" w:sz="4" w:space="0" w:color="auto"/>
              <w:left w:val="single" w:sz="4" w:space="0" w:color="auto"/>
              <w:bottom w:val="single" w:sz="4" w:space="0" w:color="auto"/>
              <w:right w:val="single" w:sz="4" w:space="0" w:color="auto"/>
            </w:tcBorders>
            <w:vAlign w:val="bottom"/>
            <w:hideMark/>
          </w:tcPr>
          <w:p w14:paraId="3630861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18.3%</w:t>
            </w:r>
          </w:p>
        </w:tc>
        <w:tc>
          <w:tcPr>
            <w:tcW w:w="1364" w:type="dxa"/>
            <w:tcBorders>
              <w:top w:val="single" w:sz="4" w:space="0" w:color="auto"/>
              <w:left w:val="single" w:sz="4" w:space="0" w:color="auto"/>
              <w:bottom w:val="single" w:sz="4" w:space="0" w:color="auto"/>
              <w:right w:val="single" w:sz="4" w:space="0" w:color="auto"/>
            </w:tcBorders>
            <w:vAlign w:val="bottom"/>
            <w:hideMark/>
          </w:tcPr>
          <w:p w14:paraId="7E94C60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19.3%</w:t>
            </w:r>
          </w:p>
        </w:tc>
        <w:tc>
          <w:tcPr>
            <w:tcW w:w="1365" w:type="dxa"/>
            <w:tcBorders>
              <w:top w:val="single" w:sz="4" w:space="0" w:color="auto"/>
              <w:left w:val="single" w:sz="4" w:space="0" w:color="auto"/>
              <w:bottom w:val="single" w:sz="4" w:space="0" w:color="auto"/>
              <w:right w:val="single" w:sz="4" w:space="0" w:color="auto"/>
            </w:tcBorders>
            <w:vAlign w:val="bottom"/>
            <w:hideMark/>
          </w:tcPr>
          <w:p w14:paraId="2C7E7BD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19.2%</w:t>
            </w:r>
          </w:p>
        </w:tc>
      </w:tr>
      <w:tr w:rsidR="00360825" w:rsidRPr="00DE1AA1" w14:paraId="119B9E0E" w14:textId="77777777" w:rsidTr="00C04569">
        <w:tc>
          <w:tcPr>
            <w:tcW w:w="1413" w:type="dxa"/>
            <w:tcBorders>
              <w:top w:val="single" w:sz="4" w:space="0" w:color="auto"/>
              <w:left w:val="single" w:sz="4" w:space="0" w:color="auto"/>
              <w:bottom w:val="single" w:sz="4" w:space="0" w:color="auto"/>
              <w:right w:val="single" w:sz="4" w:space="0" w:color="auto"/>
            </w:tcBorders>
            <w:vAlign w:val="center"/>
            <w:hideMark/>
          </w:tcPr>
          <w:p w14:paraId="4A4EE131" w14:textId="77777777" w:rsidR="00360825" w:rsidRPr="00DE1AA1" w:rsidRDefault="00360825" w:rsidP="00C04569">
            <w:pPr>
              <w:keepNext/>
              <w:widowControl w:val="0"/>
              <w:spacing w:after="0" w:line="300" w:lineRule="auto"/>
              <w:rPr>
                <w:rFonts w:ascii="Arial" w:eastAsia="MS PGothic" w:hAnsi="Arial" w:cs="Arial"/>
                <w:bCs/>
                <w:color w:val="000000"/>
                <w:lang w:eastAsia="ja-JP"/>
              </w:rPr>
            </w:pPr>
            <w:r w:rsidRPr="00DE1AA1">
              <w:rPr>
                <w:rFonts w:ascii="Arial" w:hAnsi="Arial" w:cs="Arial"/>
              </w:rPr>
              <w:t>16-64</w:t>
            </w:r>
          </w:p>
        </w:tc>
        <w:tc>
          <w:tcPr>
            <w:tcW w:w="1357" w:type="dxa"/>
            <w:tcBorders>
              <w:top w:val="single" w:sz="4" w:space="0" w:color="auto"/>
              <w:left w:val="single" w:sz="4" w:space="0" w:color="auto"/>
              <w:bottom w:val="single" w:sz="4" w:space="0" w:color="auto"/>
              <w:right w:val="single" w:sz="4" w:space="0" w:color="auto"/>
            </w:tcBorders>
            <w:vAlign w:val="bottom"/>
            <w:hideMark/>
          </w:tcPr>
          <w:p w14:paraId="4F21FA7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67,757</w:t>
            </w:r>
          </w:p>
        </w:tc>
        <w:tc>
          <w:tcPr>
            <w:tcW w:w="1336" w:type="dxa"/>
            <w:tcBorders>
              <w:top w:val="single" w:sz="4" w:space="0" w:color="auto"/>
              <w:left w:val="single" w:sz="4" w:space="0" w:color="auto"/>
              <w:bottom w:val="single" w:sz="4" w:space="0" w:color="auto"/>
              <w:right w:val="single" w:sz="4" w:space="0" w:color="auto"/>
            </w:tcBorders>
            <w:vAlign w:val="bottom"/>
            <w:hideMark/>
          </w:tcPr>
          <w:p w14:paraId="659306D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55.8%</w:t>
            </w:r>
          </w:p>
        </w:tc>
        <w:tc>
          <w:tcPr>
            <w:tcW w:w="1364" w:type="dxa"/>
            <w:tcBorders>
              <w:top w:val="single" w:sz="4" w:space="0" w:color="auto"/>
              <w:left w:val="single" w:sz="4" w:space="0" w:color="auto"/>
              <w:bottom w:val="single" w:sz="4" w:space="0" w:color="auto"/>
              <w:right w:val="single" w:sz="4" w:space="0" w:color="auto"/>
            </w:tcBorders>
            <w:vAlign w:val="bottom"/>
            <w:hideMark/>
          </w:tcPr>
          <w:p w14:paraId="54795A5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58.5%</w:t>
            </w:r>
          </w:p>
        </w:tc>
        <w:tc>
          <w:tcPr>
            <w:tcW w:w="1364" w:type="dxa"/>
            <w:tcBorders>
              <w:top w:val="single" w:sz="4" w:space="0" w:color="auto"/>
              <w:left w:val="single" w:sz="4" w:space="0" w:color="auto"/>
              <w:bottom w:val="single" w:sz="4" w:space="0" w:color="auto"/>
              <w:right w:val="single" w:sz="4" w:space="0" w:color="auto"/>
            </w:tcBorders>
            <w:vAlign w:val="bottom"/>
            <w:hideMark/>
          </w:tcPr>
          <w:p w14:paraId="4E8C84D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61.1%</w:t>
            </w:r>
          </w:p>
        </w:tc>
        <w:tc>
          <w:tcPr>
            <w:tcW w:w="1365" w:type="dxa"/>
            <w:tcBorders>
              <w:top w:val="single" w:sz="4" w:space="0" w:color="auto"/>
              <w:left w:val="single" w:sz="4" w:space="0" w:color="auto"/>
              <w:bottom w:val="single" w:sz="4" w:space="0" w:color="auto"/>
              <w:right w:val="single" w:sz="4" w:space="0" w:color="auto"/>
            </w:tcBorders>
            <w:vAlign w:val="bottom"/>
            <w:hideMark/>
          </w:tcPr>
          <w:p w14:paraId="7FD10AE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62.3%</w:t>
            </w:r>
          </w:p>
        </w:tc>
      </w:tr>
      <w:tr w:rsidR="00360825" w:rsidRPr="00DE1AA1" w14:paraId="5498F046" w14:textId="77777777" w:rsidTr="00C04569">
        <w:tc>
          <w:tcPr>
            <w:tcW w:w="1413" w:type="dxa"/>
            <w:tcBorders>
              <w:top w:val="single" w:sz="4" w:space="0" w:color="auto"/>
              <w:left w:val="single" w:sz="4" w:space="0" w:color="auto"/>
              <w:bottom w:val="single" w:sz="4" w:space="0" w:color="auto"/>
              <w:right w:val="single" w:sz="4" w:space="0" w:color="auto"/>
            </w:tcBorders>
            <w:vAlign w:val="center"/>
            <w:hideMark/>
          </w:tcPr>
          <w:p w14:paraId="1A0B2EAB" w14:textId="77777777" w:rsidR="00360825" w:rsidRPr="00DE1AA1" w:rsidRDefault="00360825" w:rsidP="00C04569">
            <w:pPr>
              <w:keepNext/>
              <w:widowControl w:val="0"/>
              <w:spacing w:after="0" w:line="300" w:lineRule="auto"/>
              <w:rPr>
                <w:rFonts w:ascii="Arial" w:eastAsia="MS PGothic" w:hAnsi="Arial" w:cs="Arial"/>
                <w:bCs/>
                <w:color w:val="000000"/>
                <w:lang w:eastAsia="ja-JP"/>
              </w:rPr>
            </w:pPr>
            <w:r w:rsidRPr="00DE1AA1">
              <w:rPr>
                <w:rFonts w:ascii="Arial" w:hAnsi="Arial" w:cs="Arial"/>
              </w:rPr>
              <w:t>65+</w:t>
            </w:r>
          </w:p>
        </w:tc>
        <w:tc>
          <w:tcPr>
            <w:tcW w:w="1357" w:type="dxa"/>
            <w:tcBorders>
              <w:top w:val="single" w:sz="4" w:space="0" w:color="auto"/>
              <w:left w:val="single" w:sz="4" w:space="0" w:color="auto"/>
              <w:bottom w:val="single" w:sz="4" w:space="0" w:color="auto"/>
              <w:right w:val="single" w:sz="4" w:space="0" w:color="auto"/>
            </w:tcBorders>
            <w:vAlign w:val="bottom"/>
            <w:hideMark/>
          </w:tcPr>
          <w:p w14:paraId="3A0A16B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33,634</w:t>
            </w:r>
          </w:p>
        </w:tc>
        <w:tc>
          <w:tcPr>
            <w:tcW w:w="1336" w:type="dxa"/>
            <w:tcBorders>
              <w:top w:val="single" w:sz="4" w:space="0" w:color="auto"/>
              <w:left w:val="single" w:sz="4" w:space="0" w:color="auto"/>
              <w:bottom w:val="single" w:sz="4" w:space="0" w:color="auto"/>
              <w:right w:val="single" w:sz="4" w:space="0" w:color="auto"/>
            </w:tcBorders>
            <w:vAlign w:val="bottom"/>
            <w:hideMark/>
          </w:tcPr>
          <w:p w14:paraId="30160DA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27.7%</w:t>
            </w:r>
          </w:p>
        </w:tc>
        <w:tc>
          <w:tcPr>
            <w:tcW w:w="1364" w:type="dxa"/>
            <w:tcBorders>
              <w:top w:val="single" w:sz="4" w:space="0" w:color="auto"/>
              <w:left w:val="single" w:sz="4" w:space="0" w:color="auto"/>
              <w:bottom w:val="single" w:sz="4" w:space="0" w:color="auto"/>
              <w:right w:val="single" w:sz="4" w:space="0" w:color="auto"/>
            </w:tcBorders>
            <w:vAlign w:val="bottom"/>
            <w:hideMark/>
          </w:tcPr>
          <w:p w14:paraId="59156DD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23.2%</w:t>
            </w:r>
          </w:p>
        </w:tc>
        <w:tc>
          <w:tcPr>
            <w:tcW w:w="1364" w:type="dxa"/>
            <w:tcBorders>
              <w:top w:val="single" w:sz="4" w:space="0" w:color="auto"/>
              <w:left w:val="single" w:sz="4" w:space="0" w:color="auto"/>
              <w:bottom w:val="single" w:sz="4" w:space="0" w:color="auto"/>
              <w:right w:val="single" w:sz="4" w:space="0" w:color="auto"/>
            </w:tcBorders>
            <w:vAlign w:val="bottom"/>
            <w:hideMark/>
          </w:tcPr>
          <w:p w14:paraId="2624C71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19.7%</w:t>
            </w:r>
          </w:p>
        </w:tc>
        <w:tc>
          <w:tcPr>
            <w:tcW w:w="1365" w:type="dxa"/>
            <w:tcBorders>
              <w:top w:val="single" w:sz="4" w:space="0" w:color="auto"/>
              <w:left w:val="single" w:sz="4" w:space="0" w:color="auto"/>
              <w:bottom w:val="single" w:sz="4" w:space="0" w:color="auto"/>
              <w:right w:val="single" w:sz="4" w:space="0" w:color="auto"/>
            </w:tcBorders>
            <w:vAlign w:val="bottom"/>
            <w:hideMark/>
          </w:tcPr>
          <w:p w14:paraId="6BF5ED2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18.5%</w:t>
            </w:r>
          </w:p>
        </w:tc>
      </w:tr>
      <w:tr w:rsidR="00360825" w:rsidRPr="00DE1AA1" w14:paraId="0DC807C1" w14:textId="77777777" w:rsidTr="00C04569">
        <w:tc>
          <w:tcPr>
            <w:tcW w:w="1413" w:type="dxa"/>
            <w:tcBorders>
              <w:top w:val="single" w:sz="4" w:space="0" w:color="auto"/>
              <w:left w:val="single" w:sz="4" w:space="0" w:color="auto"/>
              <w:bottom w:val="single" w:sz="4" w:space="0" w:color="auto"/>
              <w:right w:val="single" w:sz="4" w:space="0" w:color="auto"/>
            </w:tcBorders>
            <w:vAlign w:val="center"/>
            <w:hideMark/>
          </w:tcPr>
          <w:p w14:paraId="0A46A34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All Ages</w:t>
            </w:r>
          </w:p>
        </w:tc>
        <w:tc>
          <w:tcPr>
            <w:tcW w:w="1357" w:type="dxa"/>
            <w:tcBorders>
              <w:top w:val="single" w:sz="4" w:space="0" w:color="auto"/>
              <w:left w:val="single" w:sz="4" w:space="0" w:color="auto"/>
              <w:bottom w:val="single" w:sz="4" w:space="0" w:color="auto"/>
              <w:right w:val="single" w:sz="4" w:space="0" w:color="auto"/>
            </w:tcBorders>
            <w:vAlign w:val="bottom"/>
            <w:hideMark/>
          </w:tcPr>
          <w:p w14:paraId="52F3435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121,508</w:t>
            </w:r>
          </w:p>
        </w:tc>
        <w:tc>
          <w:tcPr>
            <w:tcW w:w="1336" w:type="dxa"/>
            <w:tcBorders>
              <w:top w:val="single" w:sz="4" w:space="0" w:color="auto"/>
              <w:left w:val="single" w:sz="4" w:space="0" w:color="auto"/>
              <w:bottom w:val="single" w:sz="4" w:space="0" w:color="auto"/>
              <w:right w:val="single" w:sz="4" w:space="0" w:color="auto"/>
            </w:tcBorders>
            <w:vAlign w:val="bottom"/>
            <w:hideMark/>
          </w:tcPr>
          <w:p w14:paraId="596C662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364" w:type="dxa"/>
            <w:tcBorders>
              <w:top w:val="single" w:sz="4" w:space="0" w:color="auto"/>
              <w:left w:val="single" w:sz="4" w:space="0" w:color="auto"/>
              <w:bottom w:val="single" w:sz="4" w:space="0" w:color="auto"/>
              <w:right w:val="single" w:sz="4" w:space="0" w:color="auto"/>
            </w:tcBorders>
            <w:vAlign w:val="bottom"/>
            <w:hideMark/>
          </w:tcPr>
          <w:p w14:paraId="2E97F3C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364" w:type="dxa"/>
            <w:tcBorders>
              <w:top w:val="single" w:sz="4" w:space="0" w:color="auto"/>
              <w:left w:val="single" w:sz="4" w:space="0" w:color="auto"/>
              <w:bottom w:val="single" w:sz="4" w:space="0" w:color="auto"/>
              <w:right w:val="single" w:sz="4" w:space="0" w:color="auto"/>
            </w:tcBorders>
            <w:vAlign w:val="bottom"/>
            <w:hideMark/>
          </w:tcPr>
          <w:p w14:paraId="1670250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365" w:type="dxa"/>
            <w:tcBorders>
              <w:top w:val="single" w:sz="4" w:space="0" w:color="auto"/>
              <w:left w:val="single" w:sz="4" w:space="0" w:color="auto"/>
              <w:bottom w:val="single" w:sz="4" w:space="0" w:color="auto"/>
              <w:right w:val="single" w:sz="4" w:space="0" w:color="auto"/>
            </w:tcBorders>
            <w:vAlign w:val="bottom"/>
            <w:hideMark/>
          </w:tcPr>
          <w:p w14:paraId="67499AE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r>
    </w:tbl>
    <w:p w14:paraId="4DDE324E" w14:textId="77777777" w:rsidR="00360825" w:rsidRPr="00DE1AA1" w:rsidRDefault="00360825" w:rsidP="00360825">
      <w:pPr>
        <w:widowControl w:val="0"/>
        <w:spacing w:line="300" w:lineRule="auto"/>
        <w:rPr>
          <w:rFonts w:ascii="Arial" w:eastAsia="MS PGothic" w:hAnsi="Arial" w:cs="Arial"/>
          <w:bCs/>
          <w:i/>
          <w:iCs/>
          <w:sz w:val="16"/>
          <w:szCs w:val="16"/>
          <w:lang w:eastAsia="ja-JP"/>
        </w:rPr>
      </w:pPr>
      <w:r w:rsidRPr="00DE1AA1">
        <w:rPr>
          <w:rFonts w:ascii="Arial" w:eastAsia="MS PGothic" w:hAnsi="Arial" w:cs="Arial"/>
          <w:bCs/>
          <w:i/>
          <w:iCs/>
          <w:sz w:val="16"/>
          <w:szCs w:val="16"/>
          <w:lang w:eastAsia="ja-JP"/>
        </w:rPr>
        <w:t>Source: ONS mid-year population estimates</w:t>
      </w:r>
    </w:p>
    <w:p w14:paraId="603CC73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 xml:space="preserve">The figure below takes this data forward to look at some differences by sub-area. The analysis shows a notably older age structure in the Manhood Peninsula, where a third of all residents are aged 65 and over. The Plan Area North has the highest proportion of </w:t>
      </w:r>
      <w:r w:rsidRPr="00D556DB">
        <w:rPr>
          <w:rFonts w:ascii="Arial" w:hAnsi="Arial" w:cs="Arial"/>
        </w:rPr>
        <w:t>children</w:t>
      </w:r>
      <w:r w:rsidRPr="00DE1AA1">
        <w:rPr>
          <w:rFonts w:ascii="Arial" w:eastAsia="MS PGothic" w:hAnsi="Arial" w:cs="Arial"/>
          <w:bCs/>
          <w:lang w:eastAsia="ja-JP"/>
        </w:rPr>
        <w:t xml:space="preserve"> and generally the youngest age structure (although the proportion of people aged 65+ is still well in excess of regional and national averages).</w:t>
      </w:r>
    </w:p>
    <w:p w14:paraId="16B3132C" w14:textId="77777777" w:rsidR="00360825" w:rsidRPr="00D556DB" w:rsidRDefault="00360825" w:rsidP="001A7584">
      <w:pPr>
        <w:pStyle w:val="Heading4"/>
        <w:ind w:firstLine="0"/>
        <w:rPr>
          <w:rFonts w:eastAsiaTheme="majorEastAsia"/>
        </w:rPr>
      </w:pPr>
      <w:r w:rsidRPr="00D556DB">
        <w:lastRenderedPageBreak/>
        <w:tab/>
      </w:r>
      <w:r w:rsidRPr="00472D63">
        <w:t>Population</w:t>
      </w:r>
      <w:r w:rsidRPr="00D556DB">
        <w:rPr>
          <w:rFonts w:eastAsia="MS PGothic"/>
        </w:rPr>
        <w:t xml:space="preserve"> profile by sub-area (2020)</w:t>
      </w:r>
    </w:p>
    <w:p w14:paraId="6EF34D6F" w14:textId="77777777" w:rsidR="00360825" w:rsidRPr="00DE1AA1" w:rsidRDefault="00360825" w:rsidP="00360825">
      <w:pPr>
        <w:widowControl w:val="0"/>
        <w:spacing w:after="0" w:line="240" w:lineRule="auto"/>
        <w:rPr>
          <w:rFonts w:ascii="Arial" w:eastAsia="MS PGothic" w:hAnsi="Arial" w:cs="Arial"/>
          <w:bCs/>
          <w:lang w:eastAsia="ja-JP"/>
        </w:rPr>
      </w:pPr>
      <w:r w:rsidRPr="00DE1AA1">
        <w:rPr>
          <w:rFonts w:ascii="Arial" w:eastAsia="MS PGothic" w:hAnsi="Arial" w:cs="Arial"/>
          <w:noProof/>
          <w:color w:val="000000"/>
        </w:rPr>
        <w:drawing>
          <wp:inline distT="0" distB="0" distL="0" distR="0" wp14:anchorId="6F1309B1" wp14:editId="051D15ED">
            <wp:extent cx="5626100" cy="2889250"/>
            <wp:effectExtent l="0" t="0" r="12700" b="6350"/>
            <wp:docPr id="26" name="Chart 26" descr="The figure takes this data forward to look at some differences by sub-area. The analysis shows a notably older age structure in the Manhood Peninsula, where a third of all residents are aged 65 and over. The Plan Area North has the highest proportion of children and generally the youngest age structure (although the proportion of people aged 65+ is still well in excess of regional and national averages)."/>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6EE7BFC" w14:textId="77777777" w:rsidR="00360825" w:rsidRPr="00DE1AA1" w:rsidRDefault="00360825" w:rsidP="00360825">
      <w:pPr>
        <w:widowControl w:val="0"/>
        <w:spacing w:line="300" w:lineRule="auto"/>
        <w:rPr>
          <w:rFonts w:ascii="Arial" w:eastAsia="MS PGothic" w:hAnsi="Arial" w:cs="Arial"/>
          <w:bCs/>
          <w:i/>
          <w:iCs/>
          <w:sz w:val="16"/>
          <w:szCs w:val="16"/>
          <w:lang w:eastAsia="ja-JP"/>
        </w:rPr>
      </w:pPr>
      <w:r w:rsidRPr="00DE1AA1">
        <w:rPr>
          <w:rFonts w:ascii="Arial" w:eastAsia="MS PGothic" w:hAnsi="Arial" w:cs="Arial"/>
          <w:bCs/>
          <w:i/>
          <w:iCs/>
          <w:sz w:val="16"/>
          <w:szCs w:val="16"/>
          <w:lang w:eastAsia="ja-JP"/>
        </w:rPr>
        <w:t>Source: ONS mid-year population estimates</w:t>
      </w:r>
    </w:p>
    <w:p w14:paraId="06173251" w14:textId="77777777" w:rsidR="00360825" w:rsidRPr="00D556DB" w:rsidRDefault="00360825" w:rsidP="00360825">
      <w:pPr>
        <w:pStyle w:val="Heading3"/>
        <w:spacing w:after="120"/>
        <w:rPr>
          <w:rFonts w:ascii="Arial" w:hAnsi="Arial" w:cs="Arial"/>
        </w:rPr>
      </w:pPr>
      <w:r w:rsidRPr="00D556DB">
        <w:rPr>
          <w:rStyle w:val="Strong"/>
          <w:rFonts w:ascii="Arial" w:hAnsi="Arial" w:cs="Arial"/>
          <w:b/>
        </w:rPr>
        <w:t>Past Population change</w:t>
      </w:r>
    </w:p>
    <w:p w14:paraId="42F1F0A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figure below considers population growth in the period from 2001 to 2020 (indexed to 2011). The analysis shows over this period that the population of Chichester has risen at a similar rate to that observed in other areas. In 2020, it is estimated that the population of the District had risen by 14% from 2001 levels; from 2011 to 2020 the population increased by about 7% (from 2011 levels).</w:t>
      </w:r>
    </w:p>
    <w:p w14:paraId="56A9ABA7" w14:textId="77777777" w:rsidR="00360825" w:rsidRPr="00D556DB" w:rsidRDefault="00360825" w:rsidP="001A7584">
      <w:pPr>
        <w:pStyle w:val="Heading4"/>
        <w:ind w:firstLine="0"/>
        <w:rPr>
          <w:rFonts w:eastAsiaTheme="majorEastAsia"/>
        </w:rPr>
      </w:pPr>
      <w:r w:rsidRPr="00D556DB">
        <w:t>Indexed population growth (2001-2020)</w:t>
      </w:r>
    </w:p>
    <w:p w14:paraId="462B0AF9" w14:textId="77777777" w:rsidR="00360825" w:rsidRPr="00DE1AA1" w:rsidRDefault="00360825" w:rsidP="00360825">
      <w:pPr>
        <w:keepNext/>
        <w:spacing w:after="0" w:line="240" w:lineRule="auto"/>
        <w:jc w:val="left"/>
        <w:rPr>
          <w:rFonts w:ascii="Arial" w:hAnsi="Arial" w:cs="Arial"/>
        </w:rPr>
      </w:pPr>
      <w:r w:rsidRPr="00D556DB">
        <w:rPr>
          <w:rFonts w:ascii="Arial" w:hAnsi="Arial" w:cs="Arial"/>
          <w:noProof/>
        </w:rPr>
        <w:drawing>
          <wp:inline distT="0" distB="0" distL="0" distR="0" wp14:anchorId="4CE6546D" wp14:editId="78293705">
            <wp:extent cx="5626100" cy="2889250"/>
            <wp:effectExtent l="0" t="0" r="12700" b="6350"/>
            <wp:docPr id="29" name="Chart 29" descr="No Significant difference in the Areas indexed population growth but all showing strong and consistent growth"/>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C50BC1C"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ONS (mid-year population estimates)</w:t>
      </w:r>
    </w:p>
    <w:p w14:paraId="404D6D3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 xml:space="preserve">The table below considers population change over the 9-year period to 2020 (a 9-year period being chosen as the start point of 2011 has data at a smaller area level and is likely to be fairly accurate </w:t>
      </w:r>
      <w:r w:rsidRPr="00DE1AA1">
        <w:rPr>
          <w:rFonts w:ascii="Arial" w:eastAsia="MS PGothic" w:hAnsi="Arial" w:cs="Arial"/>
          <w:bCs/>
          <w:lang w:eastAsia="ja-JP"/>
        </w:rPr>
        <w:lastRenderedPageBreak/>
        <w:t>as it draws on information in the Census). The analysis shows over the period that the population of Chichester increased by 6.6%; this is a fairly average level of population change and compares with increases of 7.3% in West Sussex and 6.5% for both the South East and England.</w:t>
      </w:r>
    </w:p>
    <w:p w14:paraId="7563B84F" w14:textId="77777777" w:rsidR="00360825" w:rsidRPr="00D556DB" w:rsidRDefault="00360825" w:rsidP="001A7584">
      <w:pPr>
        <w:pStyle w:val="Heading4"/>
        <w:ind w:firstLine="0"/>
        <w:rPr>
          <w:rFonts w:eastAsiaTheme="majorEastAsia"/>
        </w:rPr>
      </w:pPr>
      <w:r w:rsidRPr="00D556DB">
        <w:t xml:space="preserve">Population </w:t>
      </w:r>
      <w:r w:rsidRPr="00D556DB">
        <w:rPr>
          <w:rFonts w:eastAsia="MS PGothic"/>
        </w:rPr>
        <w:t>change</w:t>
      </w:r>
      <w:r w:rsidRPr="00D556DB">
        <w:t xml:space="preserve"> (2011-20)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530"/>
        <w:gridCol w:w="1756"/>
        <w:gridCol w:w="1755"/>
        <w:gridCol w:w="1756"/>
      </w:tblGrid>
      <w:tr w:rsidR="00360825" w:rsidRPr="00DE1AA1" w14:paraId="78B0AAEF" w14:textId="77777777" w:rsidTr="00C04569">
        <w:tc>
          <w:tcPr>
            <w:tcW w:w="1980" w:type="dxa"/>
            <w:tcBorders>
              <w:top w:val="single" w:sz="4" w:space="0" w:color="auto"/>
              <w:left w:val="single" w:sz="4" w:space="0" w:color="auto"/>
              <w:bottom w:val="single" w:sz="4" w:space="0" w:color="auto"/>
              <w:right w:val="single" w:sz="4" w:space="0" w:color="auto"/>
            </w:tcBorders>
            <w:shd w:val="clear" w:color="auto" w:fill="002060"/>
            <w:vAlign w:val="center"/>
          </w:tcPr>
          <w:p w14:paraId="0DA2AD08" w14:textId="77777777" w:rsidR="00360825" w:rsidRPr="00DE1AA1" w:rsidRDefault="00360825" w:rsidP="00C04569">
            <w:pPr>
              <w:spacing w:after="0" w:line="300" w:lineRule="auto"/>
              <w:jc w:val="left"/>
              <w:rPr>
                <w:rFonts w:ascii="Arial" w:hAnsi="Arial" w:cs="Arial"/>
              </w:rPr>
            </w:pPr>
          </w:p>
        </w:tc>
        <w:tc>
          <w:tcPr>
            <w:tcW w:w="153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4D4C8F9" w14:textId="77777777" w:rsidR="00360825" w:rsidRPr="00DE1AA1" w:rsidRDefault="00360825" w:rsidP="00C04569">
            <w:pPr>
              <w:keepNext/>
              <w:widowControl w:val="0"/>
              <w:spacing w:after="0" w:line="300" w:lineRule="auto"/>
              <w:jc w:val="center"/>
              <w:rPr>
                <w:rFonts w:ascii="Arial" w:hAnsi="Arial" w:cs="Arial"/>
              </w:rPr>
            </w:pPr>
            <w:r w:rsidRPr="00DE1AA1">
              <w:rPr>
                <w:rFonts w:ascii="Arial" w:hAnsi="Arial" w:cs="Arial"/>
              </w:rPr>
              <w:t>Population (2011)</w:t>
            </w:r>
          </w:p>
        </w:tc>
        <w:tc>
          <w:tcPr>
            <w:tcW w:w="17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22ED3B8" w14:textId="77777777" w:rsidR="00360825" w:rsidRPr="00DE1AA1" w:rsidRDefault="00360825" w:rsidP="00C04569">
            <w:pPr>
              <w:keepNext/>
              <w:widowControl w:val="0"/>
              <w:spacing w:after="0" w:line="300" w:lineRule="auto"/>
              <w:jc w:val="center"/>
              <w:rPr>
                <w:rFonts w:ascii="Arial" w:hAnsi="Arial" w:cs="Arial"/>
              </w:rPr>
            </w:pPr>
            <w:r w:rsidRPr="00DE1AA1">
              <w:rPr>
                <w:rFonts w:ascii="Arial" w:hAnsi="Arial" w:cs="Arial"/>
              </w:rPr>
              <w:t>Population (2020)</w:t>
            </w:r>
          </w:p>
        </w:tc>
        <w:tc>
          <w:tcPr>
            <w:tcW w:w="175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7D1CD3" w14:textId="77777777" w:rsidR="00360825" w:rsidRPr="00DE1AA1" w:rsidRDefault="00360825" w:rsidP="00C04569">
            <w:pPr>
              <w:keepNext/>
              <w:widowControl w:val="0"/>
              <w:spacing w:after="0" w:line="300" w:lineRule="auto"/>
              <w:jc w:val="center"/>
              <w:rPr>
                <w:rFonts w:ascii="Arial" w:hAnsi="Arial" w:cs="Arial"/>
              </w:rPr>
            </w:pPr>
            <w:r w:rsidRPr="00DE1AA1">
              <w:rPr>
                <w:rFonts w:ascii="Arial" w:hAnsi="Arial" w:cs="Arial"/>
              </w:rPr>
              <w:t>Change</w:t>
            </w:r>
          </w:p>
        </w:tc>
        <w:tc>
          <w:tcPr>
            <w:tcW w:w="17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FC7A279" w14:textId="77777777" w:rsidR="00360825" w:rsidRPr="00DE1AA1" w:rsidRDefault="00360825" w:rsidP="00C04569">
            <w:pPr>
              <w:keepNext/>
              <w:widowControl w:val="0"/>
              <w:spacing w:after="0" w:line="300" w:lineRule="auto"/>
              <w:jc w:val="center"/>
              <w:rPr>
                <w:rFonts w:ascii="Arial" w:hAnsi="Arial" w:cs="Arial"/>
              </w:rPr>
            </w:pPr>
            <w:r w:rsidRPr="00DE1AA1">
              <w:rPr>
                <w:rFonts w:ascii="Arial" w:hAnsi="Arial" w:cs="Arial"/>
              </w:rPr>
              <w:t>% change</w:t>
            </w:r>
          </w:p>
        </w:tc>
      </w:tr>
      <w:tr w:rsidR="00360825" w:rsidRPr="00DE1AA1" w14:paraId="50ADFF8E" w14:textId="77777777" w:rsidTr="00C04569">
        <w:tc>
          <w:tcPr>
            <w:tcW w:w="1980" w:type="dxa"/>
            <w:tcBorders>
              <w:top w:val="single" w:sz="4" w:space="0" w:color="auto"/>
              <w:left w:val="single" w:sz="4" w:space="0" w:color="auto"/>
              <w:bottom w:val="single" w:sz="4" w:space="0" w:color="auto"/>
              <w:right w:val="single" w:sz="4" w:space="0" w:color="auto"/>
            </w:tcBorders>
            <w:vAlign w:val="center"/>
            <w:hideMark/>
          </w:tcPr>
          <w:p w14:paraId="2C9A8EC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Chichester District</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40636CBD" w14:textId="77777777" w:rsidR="00360825" w:rsidRPr="00DE1AA1" w:rsidRDefault="00360825" w:rsidP="00C04569">
            <w:pPr>
              <w:spacing w:after="0" w:line="300" w:lineRule="auto"/>
              <w:jc w:val="center"/>
              <w:rPr>
                <w:rFonts w:ascii="Arial" w:hAnsi="Arial" w:cs="Arial"/>
              </w:rPr>
            </w:pPr>
            <w:r w:rsidRPr="00DE1AA1">
              <w:rPr>
                <w:rFonts w:ascii="Arial" w:hAnsi="Arial" w:cs="Arial"/>
                <w:color w:val="000000"/>
              </w:rPr>
              <w:t>113,995</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414F5458" w14:textId="77777777" w:rsidR="00360825" w:rsidRPr="00DE1AA1" w:rsidRDefault="00360825" w:rsidP="00C04569">
            <w:pPr>
              <w:spacing w:after="0" w:line="300" w:lineRule="auto"/>
              <w:jc w:val="center"/>
              <w:rPr>
                <w:rFonts w:ascii="Arial" w:hAnsi="Arial" w:cs="Arial"/>
              </w:rPr>
            </w:pPr>
            <w:r w:rsidRPr="00DE1AA1">
              <w:rPr>
                <w:rFonts w:ascii="Arial" w:hAnsi="Arial" w:cs="Arial"/>
                <w:color w:val="000000"/>
              </w:rPr>
              <w:t>121,508</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1B638AF7"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7,513</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54D6D4C9"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6.6%</w:t>
            </w:r>
          </w:p>
        </w:tc>
      </w:tr>
      <w:tr w:rsidR="00360825" w:rsidRPr="00DE1AA1" w14:paraId="677A7F4A" w14:textId="77777777" w:rsidTr="00C04569">
        <w:tc>
          <w:tcPr>
            <w:tcW w:w="1980" w:type="dxa"/>
            <w:tcBorders>
              <w:top w:val="single" w:sz="4" w:space="0" w:color="auto"/>
              <w:left w:val="single" w:sz="4" w:space="0" w:color="auto"/>
              <w:bottom w:val="single" w:sz="4" w:space="0" w:color="auto"/>
              <w:right w:val="single" w:sz="4" w:space="0" w:color="auto"/>
            </w:tcBorders>
            <w:vAlign w:val="center"/>
            <w:hideMark/>
          </w:tcPr>
          <w:p w14:paraId="3E31D0F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West Sussex</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182965AD"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808,919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072E5333"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867,635</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173A8B98"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58,716</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3C0A054F"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7.3%</w:t>
            </w:r>
          </w:p>
        </w:tc>
      </w:tr>
      <w:tr w:rsidR="00360825" w:rsidRPr="00DE1AA1" w14:paraId="04DA1DE0" w14:textId="77777777" w:rsidTr="00C04569">
        <w:tc>
          <w:tcPr>
            <w:tcW w:w="1980" w:type="dxa"/>
            <w:tcBorders>
              <w:top w:val="single" w:sz="4" w:space="0" w:color="auto"/>
              <w:left w:val="single" w:sz="4" w:space="0" w:color="auto"/>
              <w:bottom w:val="single" w:sz="4" w:space="0" w:color="auto"/>
              <w:right w:val="single" w:sz="4" w:space="0" w:color="auto"/>
            </w:tcBorders>
            <w:vAlign w:val="center"/>
            <w:hideMark/>
          </w:tcPr>
          <w:p w14:paraId="617220A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South East</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725CBB81"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8,652,784</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6A922D36"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9,217,265</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04DD5972"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564,481</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3ABD2250"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6.5%</w:t>
            </w:r>
          </w:p>
        </w:tc>
      </w:tr>
      <w:tr w:rsidR="00360825" w:rsidRPr="00DE1AA1" w14:paraId="4A49D792" w14:textId="77777777" w:rsidTr="00C04569">
        <w:tc>
          <w:tcPr>
            <w:tcW w:w="1980" w:type="dxa"/>
            <w:tcBorders>
              <w:top w:val="single" w:sz="4" w:space="0" w:color="auto"/>
              <w:left w:val="single" w:sz="4" w:space="0" w:color="auto"/>
              <w:bottom w:val="single" w:sz="4" w:space="0" w:color="auto"/>
              <w:right w:val="single" w:sz="4" w:space="0" w:color="auto"/>
            </w:tcBorders>
            <w:vAlign w:val="center"/>
            <w:hideMark/>
          </w:tcPr>
          <w:p w14:paraId="3EB8C07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England</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50BB6D04"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53,107,169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4152149C"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56,550,138</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04ED7C91"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3,442,969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25D07CA0"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6.5%</w:t>
            </w:r>
          </w:p>
        </w:tc>
      </w:tr>
    </w:tbl>
    <w:p w14:paraId="0DDFE6E4" w14:textId="77777777" w:rsidR="00360825" w:rsidRPr="00DE1AA1" w:rsidRDefault="00360825" w:rsidP="00360825">
      <w:pPr>
        <w:widowControl w:val="0"/>
        <w:spacing w:line="300" w:lineRule="auto"/>
        <w:rPr>
          <w:rFonts w:ascii="Arial" w:eastAsia="MS PGothic" w:hAnsi="Arial" w:cs="Arial"/>
          <w:bCs/>
          <w:i/>
          <w:iCs/>
          <w:sz w:val="16"/>
          <w:szCs w:val="16"/>
          <w:lang w:eastAsia="ja-JP"/>
        </w:rPr>
      </w:pPr>
      <w:r w:rsidRPr="00DE1AA1">
        <w:rPr>
          <w:rFonts w:ascii="Arial" w:eastAsia="MS PGothic" w:hAnsi="Arial" w:cs="Arial"/>
          <w:bCs/>
          <w:i/>
          <w:iCs/>
          <w:sz w:val="16"/>
          <w:szCs w:val="16"/>
          <w:lang w:eastAsia="ja-JP"/>
        </w:rPr>
        <w:t>Source: ONS mid-year population estimates</w:t>
      </w:r>
    </w:p>
    <w:p w14:paraId="61A96D0D"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The table below shows population change by age (again for the 2011-20 period). This shows an increase in the number of children living in the District (increasing by about 8%) along with a modest increase in the ‘working-age’ population. The key driver of population growth has been the 65 and over age group, which between 2011 and 2020 saw a population increase of about 5,600 people. This age group increased in size by 20% over the 9-year period.</w:t>
      </w:r>
    </w:p>
    <w:p w14:paraId="3BC97CB7" w14:textId="77777777" w:rsidR="00360825" w:rsidRPr="00D556DB" w:rsidRDefault="00360825" w:rsidP="001A7584">
      <w:pPr>
        <w:pStyle w:val="Heading4"/>
        <w:ind w:firstLine="0"/>
        <w:rPr>
          <w:rFonts w:eastAsiaTheme="majorEastAsia"/>
        </w:rPr>
      </w:pPr>
      <w:r w:rsidRPr="00D556DB">
        <w:t xml:space="preserve">Change in </w:t>
      </w:r>
      <w:r w:rsidRPr="00D556DB">
        <w:rPr>
          <w:rFonts w:eastAsia="MS PGothic"/>
        </w:rPr>
        <w:t>population</w:t>
      </w:r>
      <w:r w:rsidRPr="00D556DB">
        <w:t xml:space="preserve"> by broad age group (2011-20) – Chichester District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5"/>
        <w:gridCol w:w="1755"/>
        <w:gridCol w:w="1756"/>
        <w:gridCol w:w="1755"/>
        <w:gridCol w:w="1756"/>
      </w:tblGrid>
      <w:tr w:rsidR="00360825" w:rsidRPr="00DE1AA1" w14:paraId="38DEE31C"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3BC24F06" w14:textId="77777777" w:rsidR="00360825" w:rsidRPr="00DE1AA1" w:rsidRDefault="00360825" w:rsidP="00C04569">
            <w:pPr>
              <w:keepNext/>
              <w:spacing w:before="60" w:after="6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85E6B27"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2011</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9418611"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2020</w:t>
            </w: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1C11E47"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Change</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8B37D69"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 change</w:t>
            </w:r>
          </w:p>
        </w:tc>
      </w:tr>
      <w:tr w:rsidR="00360825" w:rsidRPr="00DE1AA1" w14:paraId="578B7565"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9BB8B54"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ADCED6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18,630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88C8B1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20,117</w:t>
            </w:r>
          </w:p>
        </w:tc>
        <w:tc>
          <w:tcPr>
            <w:tcW w:w="1755" w:type="dxa"/>
            <w:tcBorders>
              <w:top w:val="single" w:sz="4" w:space="0" w:color="auto"/>
              <w:left w:val="single" w:sz="4" w:space="0" w:color="auto"/>
              <w:bottom w:val="single" w:sz="4" w:space="0" w:color="auto"/>
              <w:right w:val="single" w:sz="4" w:space="0" w:color="auto"/>
            </w:tcBorders>
            <w:vAlign w:val="bottom"/>
            <w:hideMark/>
          </w:tcPr>
          <w:p w14:paraId="22C0E92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1,487</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DBDDB1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8.0%</w:t>
            </w:r>
          </w:p>
        </w:tc>
      </w:tr>
      <w:tr w:rsidR="00360825" w:rsidRPr="00DE1AA1" w14:paraId="3845CE00"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1C2394B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C0BD41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67,308</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CD554E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67,757</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F25BDE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449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5F377C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0.7%</w:t>
            </w:r>
          </w:p>
        </w:tc>
      </w:tr>
      <w:tr w:rsidR="00360825" w:rsidRPr="00DE1AA1" w14:paraId="0B14F70C"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68FCBA4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65+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2822AC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28,057</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6B0D67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33,634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9212EF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5,577</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9144E8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19.9%</w:t>
            </w:r>
          </w:p>
        </w:tc>
      </w:tr>
      <w:tr w:rsidR="00360825" w:rsidRPr="00DE1AA1" w14:paraId="7BDBA986"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3E5639B6"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CF0D75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113,995</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E82888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121,508</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0BCDEB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7,513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8B9D2E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6.6%</w:t>
            </w:r>
          </w:p>
        </w:tc>
      </w:tr>
    </w:tbl>
    <w:p w14:paraId="350364D4" w14:textId="77777777" w:rsidR="00360825" w:rsidRPr="00DE1AA1" w:rsidRDefault="00360825" w:rsidP="00360825">
      <w:pPr>
        <w:widowControl w:val="0"/>
        <w:spacing w:line="300" w:lineRule="auto"/>
        <w:rPr>
          <w:rFonts w:ascii="Arial" w:hAnsi="Arial" w:cs="Arial"/>
          <w:i/>
          <w:iCs/>
          <w:sz w:val="16"/>
          <w:szCs w:val="16"/>
        </w:rPr>
      </w:pPr>
      <w:r w:rsidRPr="00DE1AA1">
        <w:rPr>
          <w:rFonts w:ascii="Arial" w:hAnsi="Arial" w:cs="Arial"/>
          <w:i/>
          <w:iCs/>
          <w:sz w:val="16"/>
          <w:szCs w:val="16"/>
        </w:rPr>
        <w:t>Source: ONS</w:t>
      </w:r>
    </w:p>
    <w:p w14:paraId="5E3FE943"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Additional analysis is provided below to look at the sub-areas. The analysis shows an increasing population in all areas, with the highest increase being seen in the East-West Corridor (an increase in population of 2,600 people). The Plan Area North and SDNP saw only modest increases over the period studied.</w:t>
      </w:r>
    </w:p>
    <w:p w14:paraId="54E49DC8" w14:textId="77777777" w:rsidR="00360825" w:rsidRPr="00D556DB" w:rsidRDefault="00360825" w:rsidP="001A7584">
      <w:pPr>
        <w:pStyle w:val="Heading4"/>
        <w:ind w:firstLine="0"/>
        <w:rPr>
          <w:rFonts w:eastAsiaTheme="majorEastAsia"/>
        </w:rPr>
      </w:pPr>
      <w:r w:rsidRPr="00D556DB">
        <w:t xml:space="preserve">Change in </w:t>
      </w:r>
      <w:r w:rsidRPr="00D556DB">
        <w:rPr>
          <w:rFonts w:eastAsia="MS PGothic"/>
        </w:rPr>
        <w:t>population</w:t>
      </w:r>
      <w:r w:rsidRPr="00D556DB">
        <w:t xml:space="preserve"> (2011-20) by sub-area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530"/>
        <w:gridCol w:w="1756"/>
        <w:gridCol w:w="1755"/>
        <w:gridCol w:w="1756"/>
      </w:tblGrid>
      <w:tr w:rsidR="00360825" w:rsidRPr="00DE1AA1" w14:paraId="3810A21B" w14:textId="77777777" w:rsidTr="00C04569">
        <w:tc>
          <w:tcPr>
            <w:tcW w:w="1980" w:type="dxa"/>
            <w:tcBorders>
              <w:top w:val="single" w:sz="4" w:space="0" w:color="auto"/>
              <w:left w:val="single" w:sz="4" w:space="0" w:color="auto"/>
              <w:bottom w:val="single" w:sz="4" w:space="0" w:color="auto"/>
              <w:right w:val="single" w:sz="4" w:space="0" w:color="auto"/>
            </w:tcBorders>
            <w:shd w:val="clear" w:color="auto" w:fill="002060"/>
            <w:vAlign w:val="center"/>
          </w:tcPr>
          <w:p w14:paraId="6185F7D1" w14:textId="77777777" w:rsidR="00360825" w:rsidRPr="00DE1AA1" w:rsidRDefault="00360825" w:rsidP="00C04569">
            <w:pPr>
              <w:keepNext/>
              <w:spacing w:before="60" w:after="60" w:line="300" w:lineRule="auto"/>
              <w:jc w:val="left"/>
              <w:rPr>
                <w:rFonts w:ascii="Arial" w:hAnsi="Arial" w:cs="Arial"/>
              </w:rPr>
            </w:pPr>
          </w:p>
        </w:tc>
        <w:tc>
          <w:tcPr>
            <w:tcW w:w="153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80F7EC"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2011</w:t>
            </w:r>
          </w:p>
        </w:tc>
        <w:tc>
          <w:tcPr>
            <w:tcW w:w="17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DB40142"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2020</w:t>
            </w:r>
          </w:p>
        </w:tc>
        <w:tc>
          <w:tcPr>
            <w:tcW w:w="175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DA129CE"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Change</w:t>
            </w:r>
          </w:p>
        </w:tc>
        <w:tc>
          <w:tcPr>
            <w:tcW w:w="17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ACD7BBB"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 change</w:t>
            </w:r>
          </w:p>
        </w:tc>
      </w:tr>
      <w:tr w:rsidR="00360825" w:rsidRPr="00DE1AA1" w14:paraId="619FC456"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7127B24F"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Chichester City</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1AF06C0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26,799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146BF3A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29,193</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0C6FE5C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2,394</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3BCDCF8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8.9%</w:t>
            </w:r>
          </w:p>
        </w:tc>
      </w:tr>
      <w:tr w:rsidR="00360825" w:rsidRPr="00DE1AA1" w14:paraId="24D56DDF"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493C03F7"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EW Corridor</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1E70E3B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21,844</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6BDC93C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24,458</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081F4C1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2,614</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33B794D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12.0%</w:t>
            </w:r>
          </w:p>
        </w:tc>
      </w:tr>
      <w:tr w:rsidR="00360825" w:rsidRPr="00DE1AA1" w14:paraId="31ACF657"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2AE4CA39"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Manhood</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262EA7C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26,164</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66E64FA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27,935</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2C8BCBB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1,771</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0A13B90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6.8%</w:t>
            </w:r>
          </w:p>
        </w:tc>
      </w:tr>
      <w:tr w:rsidR="00360825" w:rsidRPr="00DE1AA1" w14:paraId="73F9B8BB"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53732A11"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Plan Area North</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0421AC7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8,269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1AE10B7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8,396</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4682D39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127</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23FB1FA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w:t>
            </w:r>
          </w:p>
        </w:tc>
      </w:tr>
      <w:tr w:rsidR="00360825" w:rsidRPr="00DE1AA1" w14:paraId="2EC35B36"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4E30DC30"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SDNP</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437BF9D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30,919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062BEC1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31,526</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5E0C2EE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607</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14702EE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w:t>
            </w:r>
          </w:p>
        </w:tc>
      </w:tr>
      <w:tr w:rsidR="00360825" w:rsidRPr="00DE1AA1" w14:paraId="7E2DEE2A"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178EE88F" w14:textId="77777777" w:rsidR="00360825" w:rsidRPr="00DE1AA1" w:rsidRDefault="00360825" w:rsidP="00C04569">
            <w:pPr>
              <w:keepNext/>
              <w:spacing w:after="0" w:line="300" w:lineRule="auto"/>
              <w:rPr>
                <w:rFonts w:ascii="Arial" w:hAnsi="Arial" w:cs="Arial"/>
                <w:color w:val="000000"/>
              </w:rPr>
            </w:pPr>
            <w:r w:rsidRPr="00DE1AA1">
              <w:rPr>
                <w:rFonts w:ascii="Arial" w:hAnsi="Arial" w:cs="Arial"/>
                <w:color w:val="000000"/>
              </w:rPr>
              <w:t>District Total</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607C636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113,995</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1EFF569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121,508</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44AAB53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7,513</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63F6628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6.6%</w:t>
            </w:r>
          </w:p>
        </w:tc>
      </w:tr>
    </w:tbl>
    <w:p w14:paraId="4316B266" w14:textId="77777777" w:rsidR="00360825" w:rsidRPr="00DE1AA1" w:rsidRDefault="00360825" w:rsidP="00360825">
      <w:pPr>
        <w:widowControl w:val="0"/>
        <w:spacing w:line="300" w:lineRule="auto"/>
        <w:rPr>
          <w:rFonts w:ascii="Arial" w:eastAsia="MS PGothic" w:hAnsi="Arial" w:cs="Arial"/>
          <w:bCs/>
          <w:i/>
          <w:iCs/>
          <w:sz w:val="16"/>
          <w:szCs w:val="16"/>
          <w:lang w:eastAsia="ja-JP"/>
        </w:rPr>
      </w:pPr>
      <w:r w:rsidRPr="00DE1AA1">
        <w:rPr>
          <w:rFonts w:ascii="Arial" w:eastAsia="MS PGothic" w:hAnsi="Arial" w:cs="Arial"/>
          <w:bCs/>
          <w:i/>
          <w:iCs/>
          <w:sz w:val="16"/>
          <w:szCs w:val="16"/>
          <w:lang w:eastAsia="ja-JP"/>
        </w:rPr>
        <w:t>Source: ONS</w:t>
      </w:r>
    </w:p>
    <w:p w14:paraId="58C6D7AF" w14:textId="77777777" w:rsidR="00360825" w:rsidRPr="00D556DB" w:rsidRDefault="00360825" w:rsidP="00360825">
      <w:pPr>
        <w:pStyle w:val="Heading2"/>
        <w:rPr>
          <w:rFonts w:ascii="Arial" w:eastAsia="MS PGothic" w:hAnsi="Arial" w:cs="Arial"/>
        </w:rPr>
      </w:pPr>
      <w:r w:rsidRPr="00D556DB">
        <w:rPr>
          <w:rFonts w:ascii="Arial" w:eastAsiaTheme="majorEastAsia" w:hAnsi="Arial" w:cs="Arial"/>
        </w:rPr>
        <w:lastRenderedPageBreak/>
        <w:t>Components of Population Change</w:t>
      </w:r>
    </w:p>
    <w:p w14:paraId="5F4D2C3D"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table and figure below consider the drivers of population change 2001 to 2020. The main components of change are natural change (births minus deaths) and net migration (internal/</w:t>
      </w:r>
      <w:r w:rsidRPr="00DE1AA1">
        <w:rPr>
          <w:rFonts w:ascii="Arial" w:eastAsia="MS PGothic" w:hAnsi="Arial" w:cs="Arial"/>
          <w:bCs/>
          <w:lang w:eastAsia="ja-JP"/>
        </w:rPr>
        <w:t>domestic</w:t>
      </w:r>
      <w:r w:rsidRPr="00D556DB">
        <w:rPr>
          <w:rFonts w:ascii="Arial" w:hAnsi="Arial" w:cs="Arial"/>
        </w:rPr>
        <w:t xml:space="preserve"> and international). There is also an Unattributable Population Change (UPC) which is a correction made by ONS upon publication of Census data if population has been under- or over-estimated (this is only calculated for the 2001-11 period). There are also ‘other changes,’ which are generally small and often related to armed forces personnel or boarding school pupils.</w:t>
      </w:r>
    </w:p>
    <w:p w14:paraId="2EA70DEE"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data shows a negative level of natural change for all of the period (i.e. more deaths than births) and the difference between deaths and births does look to have been increasing over the past decade or so. Over the last 5-years, natural change has averaged a net loss of around 500 per annum. Internal migration has been quite variable –but positive in all years; the last five years for which data is available shows an average of 930 people (net) moving to the District from other parts of the United Kingdom. International migration is also variable, although the data does suggest a positive net level for most years (including all years over the past decade or more); over the past five years international migration has averaged about 270 people per annum (net).</w:t>
      </w:r>
    </w:p>
    <w:p w14:paraId="59CE414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data also shows a small negative level of UPC. This suggests that between 2001 and 2011, ONS may have initially overestimated population growth within population estimates (and this was corrected once Census data had been published) – the level of UPC is fairly modest in comparison to that seen in many other locations.</w:t>
      </w:r>
    </w:p>
    <w:p w14:paraId="58AADDCA" w14:textId="77777777" w:rsidR="00360825" w:rsidRPr="00D556DB" w:rsidRDefault="00360825" w:rsidP="001A7584">
      <w:pPr>
        <w:pStyle w:val="Heading4"/>
        <w:ind w:firstLine="0"/>
        <w:rPr>
          <w:rFonts w:eastAsiaTheme="majorEastAsia"/>
        </w:rPr>
      </w:pPr>
      <w:r w:rsidRPr="00D556DB">
        <w:lastRenderedPageBreak/>
        <w:t xml:space="preserve">Components of </w:t>
      </w:r>
      <w:r w:rsidRPr="00D556DB">
        <w:rPr>
          <w:rFonts w:eastAsia="MS PGothic"/>
        </w:rPr>
        <w:t>population</w:t>
      </w:r>
      <w:r w:rsidRPr="00D556DB">
        <w:t xml:space="preserve"> change, mid-2001 to mid-2020 – Chichester District</w:t>
      </w:r>
    </w:p>
    <w:tbl>
      <w:tblPr>
        <w:tblStyle w:val="TableGridLight1"/>
        <w:tblW w:w="5000" w:type="pct"/>
        <w:tblInd w:w="-5" w:type="dxa"/>
        <w:tblLayout w:type="fixed"/>
        <w:tblLook w:val="04A0" w:firstRow="1" w:lastRow="0" w:firstColumn="1" w:lastColumn="0" w:noHBand="0" w:noVBand="1"/>
      </w:tblPr>
      <w:tblGrid>
        <w:gridCol w:w="1253"/>
        <w:gridCol w:w="1254"/>
        <w:gridCol w:w="1254"/>
        <w:gridCol w:w="1254"/>
        <w:gridCol w:w="1254"/>
        <w:gridCol w:w="1254"/>
        <w:gridCol w:w="1254"/>
      </w:tblGrid>
      <w:tr w:rsidR="00360825" w:rsidRPr="00DE1AA1" w14:paraId="29C85079" w14:textId="77777777" w:rsidTr="00C04569">
        <w:tc>
          <w:tcPr>
            <w:tcW w:w="1253" w:type="dxa"/>
            <w:tcBorders>
              <w:top w:val="single" w:sz="4" w:space="0" w:color="auto"/>
              <w:left w:val="single" w:sz="4" w:space="0" w:color="auto"/>
              <w:bottom w:val="single" w:sz="4" w:space="0" w:color="auto"/>
              <w:right w:val="single" w:sz="4" w:space="0" w:color="auto"/>
            </w:tcBorders>
            <w:shd w:val="clear" w:color="auto" w:fill="002060"/>
          </w:tcPr>
          <w:p w14:paraId="2E0B738A" w14:textId="77777777" w:rsidR="00360825" w:rsidRPr="00DE1AA1" w:rsidRDefault="00360825" w:rsidP="00C04569">
            <w:pPr>
              <w:keepNext/>
              <w:spacing w:after="0" w:line="300" w:lineRule="auto"/>
              <w:jc w:val="left"/>
              <w:rPr>
                <w:rFonts w:ascii="Arial" w:hAnsi="Arial" w:cs="Arial"/>
              </w:rPr>
            </w:pP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085C30DB" w14:textId="77777777" w:rsidR="00360825" w:rsidRPr="00DE1AA1" w:rsidRDefault="00360825" w:rsidP="00C04569">
            <w:pPr>
              <w:keepNext/>
              <w:spacing w:line="300" w:lineRule="auto"/>
              <w:jc w:val="center"/>
              <w:rPr>
                <w:rFonts w:ascii="Arial" w:hAnsi="Arial" w:cs="Arial"/>
              </w:rPr>
            </w:pPr>
            <w:r w:rsidRPr="00DE1AA1">
              <w:rPr>
                <w:rFonts w:ascii="Arial" w:hAnsi="Arial" w:cs="Arial"/>
              </w:rPr>
              <w:t>Natural change</w:t>
            </w: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53CAEC1E" w14:textId="77777777" w:rsidR="00360825" w:rsidRPr="00DE1AA1" w:rsidRDefault="00360825" w:rsidP="00C04569">
            <w:pPr>
              <w:keepNext/>
              <w:spacing w:line="300" w:lineRule="auto"/>
              <w:jc w:val="center"/>
              <w:rPr>
                <w:rFonts w:ascii="Arial" w:hAnsi="Arial" w:cs="Arial"/>
              </w:rPr>
            </w:pPr>
            <w:r w:rsidRPr="00DE1AA1">
              <w:rPr>
                <w:rFonts w:ascii="Arial" w:hAnsi="Arial" w:cs="Arial"/>
              </w:rPr>
              <w:t>Net internal migration</w:t>
            </w: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2AD11B55" w14:textId="77777777" w:rsidR="00360825" w:rsidRPr="00DE1AA1" w:rsidRDefault="00360825" w:rsidP="00C04569">
            <w:pPr>
              <w:keepNext/>
              <w:spacing w:line="300" w:lineRule="auto"/>
              <w:jc w:val="center"/>
              <w:rPr>
                <w:rFonts w:ascii="Arial" w:hAnsi="Arial" w:cs="Arial"/>
              </w:rPr>
            </w:pPr>
            <w:r w:rsidRPr="00DE1AA1">
              <w:rPr>
                <w:rFonts w:ascii="Arial" w:hAnsi="Arial" w:cs="Arial"/>
              </w:rPr>
              <w:t>Net intern-</w:t>
            </w:r>
            <w:proofErr w:type="spellStart"/>
            <w:r w:rsidRPr="00DE1AA1">
              <w:rPr>
                <w:rFonts w:ascii="Arial" w:hAnsi="Arial" w:cs="Arial"/>
              </w:rPr>
              <w:t>ational</w:t>
            </w:r>
            <w:proofErr w:type="spellEnd"/>
            <w:r w:rsidRPr="00DE1AA1">
              <w:rPr>
                <w:rFonts w:ascii="Arial" w:hAnsi="Arial" w:cs="Arial"/>
              </w:rPr>
              <w:t xml:space="preserve"> migration</w:t>
            </w: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33125CF4" w14:textId="77777777" w:rsidR="00360825" w:rsidRPr="00DE1AA1" w:rsidRDefault="00360825" w:rsidP="00C04569">
            <w:pPr>
              <w:keepNext/>
              <w:spacing w:line="300" w:lineRule="auto"/>
              <w:jc w:val="center"/>
              <w:rPr>
                <w:rFonts w:ascii="Arial" w:hAnsi="Arial" w:cs="Arial"/>
              </w:rPr>
            </w:pPr>
            <w:r w:rsidRPr="00DE1AA1">
              <w:rPr>
                <w:rFonts w:ascii="Arial" w:hAnsi="Arial" w:cs="Arial"/>
              </w:rPr>
              <w:t>Other changes</w:t>
            </w: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6284C4A5" w14:textId="77777777" w:rsidR="00360825" w:rsidRPr="00DE1AA1" w:rsidRDefault="00360825" w:rsidP="00C04569">
            <w:pPr>
              <w:keepNext/>
              <w:spacing w:line="300" w:lineRule="auto"/>
              <w:jc w:val="center"/>
              <w:rPr>
                <w:rFonts w:ascii="Arial" w:hAnsi="Arial" w:cs="Arial"/>
              </w:rPr>
            </w:pPr>
            <w:r w:rsidRPr="00DE1AA1">
              <w:rPr>
                <w:rFonts w:ascii="Arial" w:hAnsi="Arial" w:cs="Arial"/>
              </w:rPr>
              <w:t>Other (</w:t>
            </w:r>
            <w:proofErr w:type="spellStart"/>
            <w:r w:rsidRPr="00DE1AA1">
              <w:rPr>
                <w:rFonts w:ascii="Arial" w:hAnsi="Arial" w:cs="Arial"/>
              </w:rPr>
              <w:t>unattri-butable</w:t>
            </w:r>
            <w:proofErr w:type="spellEnd"/>
            <w:r w:rsidRPr="00DE1AA1">
              <w:rPr>
                <w:rFonts w:ascii="Arial" w:hAnsi="Arial" w:cs="Arial"/>
              </w:rPr>
              <w:t>)</w:t>
            </w: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1A78DD23" w14:textId="77777777" w:rsidR="00360825" w:rsidRPr="00DE1AA1" w:rsidRDefault="00360825" w:rsidP="00C04569">
            <w:pPr>
              <w:keepNext/>
              <w:spacing w:line="300" w:lineRule="auto"/>
              <w:jc w:val="center"/>
              <w:rPr>
                <w:rFonts w:ascii="Arial" w:hAnsi="Arial" w:cs="Arial"/>
              </w:rPr>
            </w:pPr>
            <w:r w:rsidRPr="00DE1AA1">
              <w:rPr>
                <w:rFonts w:ascii="Arial" w:hAnsi="Arial" w:cs="Arial"/>
              </w:rPr>
              <w:t>Total change</w:t>
            </w:r>
          </w:p>
        </w:tc>
      </w:tr>
      <w:tr w:rsidR="00360825" w:rsidRPr="00DE1AA1" w14:paraId="310144D3"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04C3F3B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2001/2</w:t>
            </w:r>
          </w:p>
        </w:tc>
        <w:tc>
          <w:tcPr>
            <w:tcW w:w="1254" w:type="dxa"/>
            <w:tcBorders>
              <w:top w:val="single" w:sz="4" w:space="0" w:color="auto"/>
              <w:left w:val="single" w:sz="4" w:space="0" w:color="auto"/>
              <w:bottom w:val="single" w:sz="4" w:space="0" w:color="auto"/>
              <w:right w:val="single" w:sz="4" w:space="0" w:color="auto"/>
            </w:tcBorders>
            <w:hideMark/>
          </w:tcPr>
          <w:p w14:paraId="6C6AAC4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-545</w:t>
            </w:r>
          </w:p>
        </w:tc>
        <w:tc>
          <w:tcPr>
            <w:tcW w:w="1254" w:type="dxa"/>
            <w:tcBorders>
              <w:top w:val="single" w:sz="4" w:space="0" w:color="auto"/>
              <w:left w:val="single" w:sz="4" w:space="0" w:color="auto"/>
              <w:bottom w:val="single" w:sz="4" w:space="0" w:color="auto"/>
              <w:right w:val="single" w:sz="4" w:space="0" w:color="auto"/>
            </w:tcBorders>
            <w:hideMark/>
          </w:tcPr>
          <w:p w14:paraId="5360A52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1,126</w:t>
            </w:r>
          </w:p>
        </w:tc>
        <w:tc>
          <w:tcPr>
            <w:tcW w:w="1254" w:type="dxa"/>
            <w:tcBorders>
              <w:top w:val="single" w:sz="4" w:space="0" w:color="auto"/>
              <w:left w:val="single" w:sz="4" w:space="0" w:color="auto"/>
              <w:bottom w:val="single" w:sz="4" w:space="0" w:color="auto"/>
              <w:right w:val="single" w:sz="4" w:space="0" w:color="auto"/>
            </w:tcBorders>
            <w:hideMark/>
          </w:tcPr>
          <w:p w14:paraId="3DAC457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-66</w:t>
            </w:r>
          </w:p>
        </w:tc>
        <w:tc>
          <w:tcPr>
            <w:tcW w:w="1254" w:type="dxa"/>
            <w:tcBorders>
              <w:top w:val="single" w:sz="4" w:space="0" w:color="auto"/>
              <w:left w:val="single" w:sz="4" w:space="0" w:color="auto"/>
              <w:bottom w:val="single" w:sz="4" w:space="0" w:color="auto"/>
              <w:right w:val="single" w:sz="4" w:space="0" w:color="auto"/>
            </w:tcBorders>
            <w:hideMark/>
          </w:tcPr>
          <w:p w14:paraId="14F2F6C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w:t>
            </w:r>
          </w:p>
        </w:tc>
        <w:tc>
          <w:tcPr>
            <w:tcW w:w="1254" w:type="dxa"/>
            <w:tcBorders>
              <w:top w:val="single" w:sz="4" w:space="0" w:color="auto"/>
              <w:left w:val="single" w:sz="4" w:space="0" w:color="auto"/>
              <w:bottom w:val="single" w:sz="4" w:space="0" w:color="auto"/>
              <w:right w:val="single" w:sz="4" w:space="0" w:color="auto"/>
            </w:tcBorders>
            <w:hideMark/>
          </w:tcPr>
          <w:p w14:paraId="47F2CBE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w:t>
            </w:r>
          </w:p>
        </w:tc>
        <w:tc>
          <w:tcPr>
            <w:tcW w:w="1254" w:type="dxa"/>
            <w:tcBorders>
              <w:top w:val="single" w:sz="4" w:space="0" w:color="auto"/>
              <w:left w:val="single" w:sz="4" w:space="0" w:color="auto"/>
              <w:bottom w:val="single" w:sz="4" w:space="0" w:color="auto"/>
              <w:right w:val="single" w:sz="4" w:space="0" w:color="auto"/>
            </w:tcBorders>
            <w:hideMark/>
          </w:tcPr>
          <w:p w14:paraId="4884FD9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496</w:t>
            </w:r>
          </w:p>
        </w:tc>
      </w:tr>
      <w:tr w:rsidR="00360825" w:rsidRPr="00DE1AA1" w14:paraId="6D68D2A9"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18BA2A9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2002/3</w:t>
            </w:r>
          </w:p>
        </w:tc>
        <w:tc>
          <w:tcPr>
            <w:tcW w:w="1254" w:type="dxa"/>
            <w:tcBorders>
              <w:top w:val="single" w:sz="4" w:space="0" w:color="auto"/>
              <w:left w:val="single" w:sz="4" w:space="0" w:color="auto"/>
              <w:bottom w:val="single" w:sz="4" w:space="0" w:color="auto"/>
              <w:right w:val="single" w:sz="4" w:space="0" w:color="auto"/>
            </w:tcBorders>
            <w:hideMark/>
          </w:tcPr>
          <w:p w14:paraId="3901D2A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-405</w:t>
            </w:r>
          </w:p>
        </w:tc>
        <w:tc>
          <w:tcPr>
            <w:tcW w:w="1254" w:type="dxa"/>
            <w:tcBorders>
              <w:top w:val="single" w:sz="4" w:space="0" w:color="auto"/>
              <w:left w:val="single" w:sz="4" w:space="0" w:color="auto"/>
              <w:bottom w:val="single" w:sz="4" w:space="0" w:color="auto"/>
              <w:right w:val="single" w:sz="4" w:space="0" w:color="auto"/>
            </w:tcBorders>
            <w:hideMark/>
          </w:tcPr>
          <w:p w14:paraId="15FC2A8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922</w:t>
            </w:r>
          </w:p>
        </w:tc>
        <w:tc>
          <w:tcPr>
            <w:tcW w:w="1254" w:type="dxa"/>
            <w:tcBorders>
              <w:top w:val="single" w:sz="4" w:space="0" w:color="auto"/>
              <w:left w:val="single" w:sz="4" w:space="0" w:color="auto"/>
              <w:bottom w:val="single" w:sz="4" w:space="0" w:color="auto"/>
              <w:right w:val="single" w:sz="4" w:space="0" w:color="auto"/>
            </w:tcBorders>
            <w:hideMark/>
          </w:tcPr>
          <w:p w14:paraId="05F8B4F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w:t>
            </w:r>
          </w:p>
        </w:tc>
        <w:tc>
          <w:tcPr>
            <w:tcW w:w="1254" w:type="dxa"/>
            <w:tcBorders>
              <w:top w:val="single" w:sz="4" w:space="0" w:color="auto"/>
              <w:left w:val="single" w:sz="4" w:space="0" w:color="auto"/>
              <w:bottom w:val="single" w:sz="4" w:space="0" w:color="auto"/>
              <w:right w:val="single" w:sz="4" w:space="0" w:color="auto"/>
            </w:tcBorders>
            <w:hideMark/>
          </w:tcPr>
          <w:p w14:paraId="31444B5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w:t>
            </w:r>
          </w:p>
        </w:tc>
        <w:tc>
          <w:tcPr>
            <w:tcW w:w="1254" w:type="dxa"/>
            <w:tcBorders>
              <w:top w:val="single" w:sz="4" w:space="0" w:color="auto"/>
              <w:left w:val="single" w:sz="4" w:space="0" w:color="auto"/>
              <w:bottom w:val="single" w:sz="4" w:space="0" w:color="auto"/>
              <w:right w:val="single" w:sz="4" w:space="0" w:color="auto"/>
            </w:tcBorders>
            <w:hideMark/>
          </w:tcPr>
          <w:p w14:paraId="240B24F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w:t>
            </w:r>
          </w:p>
        </w:tc>
        <w:tc>
          <w:tcPr>
            <w:tcW w:w="1254" w:type="dxa"/>
            <w:tcBorders>
              <w:top w:val="single" w:sz="4" w:space="0" w:color="auto"/>
              <w:left w:val="single" w:sz="4" w:space="0" w:color="auto"/>
              <w:bottom w:val="single" w:sz="4" w:space="0" w:color="auto"/>
              <w:right w:val="single" w:sz="4" w:space="0" w:color="auto"/>
            </w:tcBorders>
            <w:hideMark/>
          </w:tcPr>
          <w:p w14:paraId="5A96FCB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522</w:t>
            </w:r>
          </w:p>
        </w:tc>
      </w:tr>
      <w:tr w:rsidR="00360825" w:rsidRPr="00DE1AA1" w14:paraId="5391F41C"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69669EB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2003/4</w:t>
            </w:r>
          </w:p>
        </w:tc>
        <w:tc>
          <w:tcPr>
            <w:tcW w:w="1254" w:type="dxa"/>
            <w:tcBorders>
              <w:top w:val="single" w:sz="4" w:space="0" w:color="auto"/>
              <w:left w:val="single" w:sz="4" w:space="0" w:color="auto"/>
              <w:bottom w:val="single" w:sz="4" w:space="0" w:color="auto"/>
              <w:right w:val="single" w:sz="4" w:space="0" w:color="auto"/>
            </w:tcBorders>
            <w:hideMark/>
          </w:tcPr>
          <w:p w14:paraId="20E3E67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-446</w:t>
            </w:r>
          </w:p>
        </w:tc>
        <w:tc>
          <w:tcPr>
            <w:tcW w:w="1254" w:type="dxa"/>
            <w:tcBorders>
              <w:top w:val="single" w:sz="4" w:space="0" w:color="auto"/>
              <w:left w:val="single" w:sz="4" w:space="0" w:color="auto"/>
              <w:bottom w:val="single" w:sz="4" w:space="0" w:color="auto"/>
              <w:right w:val="single" w:sz="4" w:space="0" w:color="auto"/>
            </w:tcBorders>
            <w:hideMark/>
          </w:tcPr>
          <w:p w14:paraId="620D331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1,324</w:t>
            </w:r>
          </w:p>
        </w:tc>
        <w:tc>
          <w:tcPr>
            <w:tcW w:w="1254" w:type="dxa"/>
            <w:tcBorders>
              <w:top w:val="single" w:sz="4" w:space="0" w:color="auto"/>
              <w:left w:val="single" w:sz="4" w:space="0" w:color="auto"/>
              <w:bottom w:val="single" w:sz="4" w:space="0" w:color="auto"/>
              <w:right w:val="single" w:sz="4" w:space="0" w:color="auto"/>
            </w:tcBorders>
            <w:hideMark/>
          </w:tcPr>
          <w:p w14:paraId="2F6E5E6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-24</w:t>
            </w:r>
          </w:p>
        </w:tc>
        <w:tc>
          <w:tcPr>
            <w:tcW w:w="1254" w:type="dxa"/>
            <w:tcBorders>
              <w:top w:val="single" w:sz="4" w:space="0" w:color="auto"/>
              <w:left w:val="single" w:sz="4" w:space="0" w:color="auto"/>
              <w:bottom w:val="single" w:sz="4" w:space="0" w:color="auto"/>
              <w:right w:val="single" w:sz="4" w:space="0" w:color="auto"/>
            </w:tcBorders>
            <w:hideMark/>
          </w:tcPr>
          <w:p w14:paraId="3828C68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-179</w:t>
            </w:r>
          </w:p>
        </w:tc>
        <w:tc>
          <w:tcPr>
            <w:tcW w:w="1254" w:type="dxa"/>
            <w:tcBorders>
              <w:top w:val="single" w:sz="4" w:space="0" w:color="auto"/>
              <w:left w:val="single" w:sz="4" w:space="0" w:color="auto"/>
              <w:bottom w:val="single" w:sz="4" w:space="0" w:color="auto"/>
              <w:right w:val="single" w:sz="4" w:space="0" w:color="auto"/>
            </w:tcBorders>
            <w:hideMark/>
          </w:tcPr>
          <w:p w14:paraId="0F55D1F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w:t>
            </w:r>
          </w:p>
        </w:tc>
        <w:tc>
          <w:tcPr>
            <w:tcW w:w="1254" w:type="dxa"/>
            <w:tcBorders>
              <w:top w:val="single" w:sz="4" w:space="0" w:color="auto"/>
              <w:left w:val="single" w:sz="4" w:space="0" w:color="auto"/>
              <w:bottom w:val="single" w:sz="4" w:space="0" w:color="auto"/>
              <w:right w:val="single" w:sz="4" w:space="0" w:color="auto"/>
            </w:tcBorders>
            <w:hideMark/>
          </w:tcPr>
          <w:p w14:paraId="6A65845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645</w:t>
            </w:r>
          </w:p>
        </w:tc>
      </w:tr>
      <w:tr w:rsidR="00360825" w:rsidRPr="00DE1AA1" w14:paraId="5AD2FC82"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214ECA76"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2004/5</w:t>
            </w:r>
          </w:p>
        </w:tc>
        <w:tc>
          <w:tcPr>
            <w:tcW w:w="1254" w:type="dxa"/>
            <w:tcBorders>
              <w:top w:val="single" w:sz="4" w:space="0" w:color="auto"/>
              <w:left w:val="single" w:sz="4" w:space="0" w:color="auto"/>
              <w:bottom w:val="single" w:sz="4" w:space="0" w:color="auto"/>
              <w:right w:val="single" w:sz="4" w:space="0" w:color="auto"/>
            </w:tcBorders>
            <w:hideMark/>
          </w:tcPr>
          <w:p w14:paraId="66B9E71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-348</w:t>
            </w:r>
          </w:p>
        </w:tc>
        <w:tc>
          <w:tcPr>
            <w:tcW w:w="1254" w:type="dxa"/>
            <w:tcBorders>
              <w:top w:val="single" w:sz="4" w:space="0" w:color="auto"/>
              <w:left w:val="single" w:sz="4" w:space="0" w:color="auto"/>
              <w:bottom w:val="single" w:sz="4" w:space="0" w:color="auto"/>
              <w:right w:val="single" w:sz="4" w:space="0" w:color="auto"/>
            </w:tcBorders>
            <w:hideMark/>
          </w:tcPr>
          <w:p w14:paraId="04E3F9A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798</w:t>
            </w:r>
          </w:p>
        </w:tc>
        <w:tc>
          <w:tcPr>
            <w:tcW w:w="1254" w:type="dxa"/>
            <w:tcBorders>
              <w:top w:val="single" w:sz="4" w:space="0" w:color="auto"/>
              <w:left w:val="single" w:sz="4" w:space="0" w:color="auto"/>
              <w:bottom w:val="single" w:sz="4" w:space="0" w:color="auto"/>
              <w:right w:val="single" w:sz="4" w:space="0" w:color="auto"/>
            </w:tcBorders>
            <w:hideMark/>
          </w:tcPr>
          <w:p w14:paraId="38EC9B3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167</w:t>
            </w:r>
          </w:p>
        </w:tc>
        <w:tc>
          <w:tcPr>
            <w:tcW w:w="1254" w:type="dxa"/>
            <w:tcBorders>
              <w:top w:val="single" w:sz="4" w:space="0" w:color="auto"/>
              <w:left w:val="single" w:sz="4" w:space="0" w:color="auto"/>
              <w:bottom w:val="single" w:sz="4" w:space="0" w:color="auto"/>
              <w:right w:val="single" w:sz="4" w:space="0" w:color="auto"/>
            </w:tcBorders>
            <w:hideMark/>
          </w:tcPr>
          <w:p w14:paraId="680C2F6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42</w:t>
            </w:r>
          </w:p>
        </w:tc>
        <w:tc>
          <w:tcPr>
            <w:tcW w:w="1254" w:type="dxa"/>
            <w:tcBorders>
              <w:top w:val="single" w:sz="4" w:space="0" w:color="auto"/>
              <w:left w:val="single" w:sz="4" w:space="0" w:color="auto"/>
              <w:bottom w:val="single" w:sz="4" w:space="0" w:color="auto"/>
              <w:right w:val="single" w:sz="4" w:space="0" w:color="auto"/>
            </w:tcBorders>
            <w:hideMark/>
          </w:tcPr>
          <w:p w14:paraId="36835DC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-43</w:t>
            </w:r>
          </w:p>
        </w:tc>
        <w:tc>
          <w:tcPr>
            <w:tcW w:w="1254" w:type="dxa"/>
            <w:tcBorders>
              <w:top w:val="single" w:sz="4" w:space="0" w:color="auto"/>
              <w:left w:val="single" w:sz="4" w:space="0" w:color="auto"/>
              <w:bottom w:val="single" w:sz="4" w:space="0" w:color="auto"/>
              <w:right w:val="single" w:sz="4" w:space="0" w:color="auto"/>
            </w:tcBorders>
            <w:hideMark/>
          </w:tcPr>
          <w:p w14:paraId="68B09F0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616</w:t>
            </w:r>
          </w:p>
        </w:tc>
      </w:tr>
      <w:tr w:rsidR="00360825" w:rsidRPr="00DE1AA1" w14:paraId="3D489F58"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6B2DDCF1"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2005/6</w:t>
            </w:r>
          </w:p>
        </w:tc>
        <w:tc>
          <w:tcPr>
            <w:tcW w:w="1254" w:type="dxa"/>
            <w:tcBorders>
              <w:top w:val="single" w:sz="4" w:space="0" w:color="auto"/>
              <w:left w:val="single" w:sz="4" w:space="0" w:color="auto"/>
              <w:bottom w:val="single" w:sz="4" w:space="0" w:color="auto"/>
              <w:right w:val="single" w:sz="4" w:space="0" w:color="auto"/>
            </w:tcBorders>
            <w:hideMark/>
          </w:tcPr>
          <w:p w14:paraId="598201F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-301</w:t>
            </w:r>
          </w:p>
        </w:tc>
        <w:tc>
          <w:tcPr>
            <w:tcW w:w="1254" w:type="dxa"/>
            <w:tcBorders>
              <w:top w:val="single" w:sz="4" w:space="0" w:color="auto"/>
              <w:left w:val="single" w:sz="4" w:space="0" w:color="auto"/>
              <w:bottom w:val="single" w:sz="4" w:space="0" w:color="auto"/>
              <w:right w:val="single" w:sz="4" w:space="0" w:color="auto"/>
            </w:tcBorders>
            <w:hideMark/>
          </w:tcPr>
          <w:p w14:paraId="6B92104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1,038</w:t>
            </w:r>
          </w:p>
        </w:tc>
        <w:tc>
          <w:tcPr>
            <w:tcW w:w="1254" w:type="dxa"/>
            <w:tcBorders>
              <w:top w:val="single" w:sz="4" w:space="0" w:color="auto"/>
              <w:left w:val="single" w:sz="4" w:space="0" w:color="auto"/>
              <w:bottom w:val="single" w:sz="4" w:space="0" w:color="auto"/>
              <w:right w:val="single" w:sz="4" w:space="0" w:color="auto"/>
            </w:tcBorders>
            <w:hideMark/>
          </w:tcPr>
          <w:p w14:paraId="5D888DA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172</w:t>
            </w:r>
          </w:p>
        </w:tc>
        <w:tc>
          <w:tcPr>
            <w:tcW w:w="1254" w:type="dxa"/>
            <w:tcBorders>
              <w:top w:val="single" w:sz="4" w:space="0" w:color="auto"/>
              <w:left w:val="single" w:sz="4" w:space="0" w:color="auto"/>
              <w:bottom w:val="single" w:sz="4" w:space="0" w:color="auto"/>
              <w:right w:val="single" w:sz="4" w:space="0" w:color="auto"/>
            </w:tcBorders>
            <w:hideMark/>
          </w:tcPr>
          <w:p w14:paraId="5AAF095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53</w:t>
            </w:r>
          </w:p>
        </w:tc>
        <w:tc>
          <w:tcPr>
            <w:tcW w:w="1254" w:type="dxa"/>
            <w:tcBorders>
              <w:top w:val="single" w:sz="4" w:space="0" w:color="auto"/>
              <w:left w:val="single" w:sz="4" w:space="0" w:color="auto"/>
              <w:bottom w:val="single" w:sz="4" w:space="0" w:color="auto"/>
              <w:right w:val="single" w:sz="4" w:space="0" w:color="auto"/>
            </w:tcBorders>
            <w:hideMark/>
          </w:tcPr>
          <w:p w14:paraId="08057DD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-49</w:t>
            </w:r>
          </w:p>
        </w:tc>
        <w:tc>
          <w:tcPr>
            <w:tcW w:w="1254" w:type="dxa"/>
            <w:tcBorders>
              <w:top w:val="single" w:sz="4" w:space="0" w:color="auto"/>
              <w:left w:val="single" w:sz="4" w:space="0" w:color="auto"/>
              <w:bottom w:val="single" w:sz="4" w:space="0" w:color="auto"/>
              <w:right w:val="single" w:sz="4" w:space="0" w:color="auto"/>
            </w:tcBorders>
            <w:hideMark/>
          </w:tcPr>
          <w:p w14:paraId="55B9358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913</w:t>
            </w:r>
          </w:p>
        </w:tc>
      </w:tr>
      <w:tr w:rsidR="00360825" w:rsidRPr="00DE1AA1" w14:paraId="55876C9C"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2615B821"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2006/7</w:t>
            </w:r>
          </w:p>
        </w:tc>
        <w:tc>
          <w:tcPr>
            <w:tcW w:w="1254" w:type="dxa"/>
            <w:tcBorders>
              <w:top w:val="single" w:sz="4" w:space="0" w:color="auto"/>
              <w:left w:val="single" w:sz="4" w:space="0" w:color="auto"/>
              <w:bottom w:val="single" w:sz="4" w:space="0" w:color="auto"/>
              <w:right w:val="single" w:sz="4" w:space="0" w:color="auto"/>
            </w:tcBorders>
            <w:hideMark/>
          </w:tcPr>
          <w:p w14:paraId="2A45969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-372</w:t>
            </w:r>
          </w:p>
        </w:tc>
        <w:tc>
          <w:tcPr>
            <w:tcW w:w="1254" w:type="dxa"/>
            <w:tcBorders>
              <w:top w:val="single" w:sz="4" w:space="0" w:color="auto"/>
              <w:left w:val="single" w:sz="4" w:space="0" w:color="auto"/>
              <w:bottom w:val="single" w:sz="4" w:space="0" w:color="auto"/>
              <w:right w:val="single" w:sz="4" w:space="0" w:color="auto"/>
            </w:tcBorders>
            <w:hideMark/>
          </w:tcPr>
          <w:p w14:paraId="4AAE049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1,047</w:t>
            </w:r>
          </w:p>
        </w:tc>
        <w:tc>
          <w:tcPr>
            <w:tcW w:w="1254" w:type="dxa"/>
            <w:tcBorders>
              <w:top w:val="single" w:sz="4" w:space="0" w:color="auto"/>
              <w:left w:val="single" w:sz="4" w:space="0" w:color="auto"/>
              <w:bottom w:val="single" w:sz="4" w:space="0" w:color="auto"/>
              <w:right w:val="single" w:sz="4" w:space="0" w:color="auto"/>
            </w:tcBorders>
            <w:hideMark/>
          </w:tcPr>
          <w:p w14:paraId="10F27BA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268</w:t>
            </w:r>
          </w:p>
        </w:tc>
        <w:tc>
          <w:tcPr>
            <w:tcW w:w="1254" w:type="dxa"/>
            <w:tcBorders>
              <w:top w:val="single" w:sz="4" w:space="0" w:color="auto"/>
              <w:left w:val="single" w:sz="4" w:space="0" w:color="auto"/>
              <w:bottom w:val="single" w:sz="4" w:space="0" w:color="auto"/>
              <w:right w:val="single" w:sz="4" w:space="0" w:color="auto"/>
            </w:tcBorders>
            <w:hideMark/>
          </w:tcPr>
          <w:p w14:paraId="417F9AD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w:t>
            </w:r>
          </w:p>
        </w:tc>
        <w:tc>
          <w:tcPr>
            <w:tcW w:w="1254" w:type="dxa"/>
            <w:tcBorders>
              <w:top w:val="single" w:sz="4" w:space="0" w:color="auto"/>
              <w:left w:val="single" w:sz="4" w:space="0" w:color="auto"/>
              <w:bottom w:val="single" w:sz="4" w:space="0" w:color="auto"/>
              <w:right w:val="single" w:sz="4" w:space="0" w:color="auto"/>
            </w:tcBorders>
            <w:hideMark/>
          </w:tcPr>
          <w:p w14:paraId="5764727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-48</w:t>
            </w:r>
          </w:p>
        </w:tc>
        <w:tc>
          <w:tcPr>
            <w:tcW w:w="1254" w:type="dxa"/>
            <w:tcBorders>
              <w:top w:val="single" w:sz="4" w:space="0" w:color="auto"/>
              <w:left w:val="single" w:sz="4" w:space="0" w:color="auto"/>
              <w:bottom w:val="single" w:sz="4" w:space="0" w:color="auto"/>
              <w:right w:val="single" w:sz="4" w:space="0" w:color="auto"/>
            </w:tcBorders>
            <w:hideMark/>
          </w:tcPr>
          <w:p w14:paraId="43880DD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917</w:t>
            </w:r>
          </w:p>
        </w:tc>
      </w:tr>
      <w:tr w:rsidR="00360825" w:rsidRPr="00DE1AA1" w14:paraId="56F17327"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475E7A6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2007/8</w:t>
            </w:r>
          </w:p>
        </w:tc>
        <w:tc>
          <w:tcPr>
            <w:tcW w:w="1254" w:type="dxa"/>
            <w:tcBorders>
              <w:top w:val="single" w:sz="4" w:space="0" w:color="auto"/>
              <w:left w:val="single" w:sz="4" w:space="0" w:color="auto"/>
              <w:bottom w:val="single" w:sz="4" w:space="0" w:color="auto"/>
              <w:right w:val="single" w:sz="4" w:space="0" w:color="auto"/>
            </w:tcBorders>
            <w:hideMark/>
          </w:tcPr>
          <w:p w14:paraId="0E8ACA8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-306</w:t>
            </w:r>
          </w:p>
        </w:tc>
        <w:tc>
          <w:tcPr>
            <w:tcW w:w="1254" w:type="dxa"/>
            <w:tcBorders>
              <w:top w:val="single" w:sz="4" w:space="0" w:color="auto"/>
              <w:left w:val="single" w:sz="4" w:space="0" w:color="auto"/>
              <w:bottom w:val="single" w:sz="4" w:space="0" w:color="auto"/>
              <w:right w:val="single" w:sz="4" w:space="0" w:color="auto"/>
            </w:tcBorders>
            <w:hideMark/>
          </w:tcPr>
          <w:p w14:paraId="7D88D30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1,105</w:t>
            </w:r>
          </w:p>
        </w:tc>
        <w:tc>
          <w:tcPr>
            <w:tcW w:w="1254" w:type="dxa"/>
            <w:tcBorders>
              <w:top w:val="single" w:sz="4" w:space="0" w:color="auto"/>
              <w:left w:val="single" w:sz="4" w:space="0" w:color="auto"/>
              <w:bottom w:val="single" w:sz="4" w:space="0" w:color="auto"/>
              <w:right w:val="single" w:sz="4" w:space="0" w:color="auto"/>
            </w:tcBorders>
            <w:hideMark/>
          </w:tcPr>
          <w:p w14:paraId="05152EB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473</w:t>
            </w:r>
          </w:p>
        </w:tc>
        <w:tc>
          <w:tcPr>
            <w:tcW w:w="1254" w:type="dxa"/>
            <w:tcBorders>
              <w:top w:val="single" w:sz="4" w:space="0" w:color="auto"/>
              <w:left w:val="single" w:sz="4" w:space="0" w:color="auto"/>
              <w:bottom w:val="single" w:sz="4" w:space="0" w:color="auto"/>
              <w:right w:val="single" w:sz="4" w:space="0" w:color="auto"/>
            </w:tcBorders>
            <w:hideMark/>
          </w:tcPr>
          <w:p w14:paraId="18AD83D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-19</w:t>
            </w:r>
          </w:p>
        </w:tc>
        <w:tc>
          <w:tcPr>
            <w:tcW w:w="1254" w:type="dxa"/>
            <w:tcBorders>
              <w:top w:val="single" w:sz="4" w:space="0" w:color="auto"/>
              <w:left w:val="single" w:sz="4" w:space="0" w:color="auto"/>
              <w:bottom w:val="single" w:sz="4" w:space="0" w:color="auto"/>
              <w:right w:val="single" w:sz="4" w:space="0" w:color="auto"/>
            </w:tcBorders>
            <w:hideMark/>
          </w:tcPr>
          <w:p w14:paraId="53A7776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-60</w:t>
            </w:r>
          </w:p>
        </w:tc>
        <w:tc>
          <w:tcPr>
            <w:tcW w:w="1254" w:type="dxa"/>
            <w:tcBorders>
              <w:top w:val="single" w:sz="4" w:space="0" w:color="auto"/>
              <w:left w:val="single" w:sz="4" w:space="0" w:color="auto"/>
              <w:bottom w:val="single" w:sz="4" w:space="0" w:color="auto"/>
              <w:right w:val="single" w:sz="4" w:space="0" w:color="auto"/>
            </w:tcBorders>
            <w:hideMark/>
          </w:tcPr>
          <w:p w14:paraId="5A9D131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1,193</w:t>
            </w:r>
          </w:p>
        </w:tc>
      </w:tr>
      <w:tr w:rsidR="00360825" w:rsidRPr="00DE1AA1" w14:paraId="67E07B08"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07DB824D"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2008/9</w:t>
            </w:r>
          </w:p>
        </w:tc>
        <w:tc>
          <w:tcPr>
            <w:tcW w:w="1254" w:type="dxa"/>
            <w:tcBorders>
              <w:top w:val="single" w:sz="4" w:space="0" w:color="auto"/>
              <w:left w:val="single" w:sz="4" w:space="0" w:color="auto"/>
              <w:bottom w:val="single" w:sz="4" w:space="0" w:color="auto"/>
              <w:right w:val="single" w:sz="4" w:space="0" w:color="auto"/>
            </w:tcBorders>
            <w:hideMark/>
          </w:tcPr>
          <w:p w14:paraId="0B22835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-233</w:t>
            </w:r>
          </w:p>
        </w:tc>
        <w:tc>
          <w:tcPr>
            <w:tcW w:w="1254" w:type="dxa"/>
            <w:tcBorders>
              <w:top w:val="single" w:sz="4" w:space="0" w:color="auto"/>
              <w:left w:val="single" w:sz="4" w:space="0" w:color="auto"/>
              <w:bottom w:val="single" w:sz="4" w:space="0" w:color="auto"/>
              <w:right w:val="single" w:sz="4" w:space="0" w:color="auto"/>
            </w:tcBorders>
            <w:hideMark/>
          </w:tcPr>
          <w:p w14:paraId="461653E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654</w:t>
            </w:r>
          </w:p>
        </w:tc>
        <w:tc>
          <w:tcPr>
            <w:tcW w:w="1254" w:type="dxa"/>
            <w:tcBorders>
              <w:top w:val="single" w:sz="4" w:space="0" w:color="auto"/>
              <w:left w:val="single" w:sz="4" w:space="0" w:color="auto"/>
              <w:bottom w:val="single" w:sz="4" w:space="0" w:color="auto"/>
              <w:right w:val="single" w:sz="4" w:space="0" w:color="auto"/>
            </w:tcBorders>
            <w:hideMark/>
          </w:tcPr>
          <w:p w14:paraId="619D01C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497</w:t>
            </w:r>
          </w:p>
        </w:tc>
        <w:tc>
          <w:tcPr>
            <w:tcW w:w="1254" w:type="dxa"/>
            <w:tcBorders>
              <w:top w:val="single" w:sz="4" w:space="0" w:color="auto"/>
              <w:left w:val="single" w:sz="4" w:space="0" w:color="auto"/>
              <w:bottom w:val="single" w:sz="4" w:space="0" w:color="auto"/>
              <w:right w:val="single" w:sz="4" w:space="0" w:color="auto"/>
            </w:tcBorders>
            <w:hideMark/>
          </w:tcPr>
          <w:p w14:paraId="5F5A391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-167</w:t>
            </w:r>
          </w:p>
        </w:tc>
        <w:tc>
          <w:tcPr>
            <w:tcW w:w="1254" w:type="dxa"/>
            <w:tcBorders>
              <w:top w:val="single" w:sz="4" w:space="0" w:color="auto"/>
              <w:left w:val="single" w:sz="4" w:space="0" w:color="auto"/>
              <w:bottom w:val="single" w:sz="4" w:space="0" w:color="auto"/>
              <w:right w:val="single" w:sz="4" w:space="0" w:color="auto"/>
            </w:tcBorders>
            <w:hideMark/>
          </w:tcPr>
          <w:p w14:paraId="234CDC4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-73</w:t>
            </w:r>
          </w:p>
        </w:tc>
        <w:tc>
          <w:tcPr>
            <w:tcW w:w="1254" w:type="dxa"/>
            <w:tcBorders>
              <w:top w:val="single" w:sz="4" w:space="0" w:color="auto"/>
              <w:left w:val="single" w:sz="4" w:space="0" w:color="auto"/>
              <w:bottom w:val="single" w:sz="4" w:space="0" w:color="auto"/>
              <w:right w:val="single" w:sz="4" w:space="0" w:color="auto"/>
            </w:tcBorders>
            <w:hideMark/>
          </w:tcPr>
          <w:p w14:paraId="56AA8C9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678</w:t>
            </w:r>
          </w:p>
        </w:tc>
      </w:tr>
      <w:tr w:rsidR="00360825" w:rsidRPr="00DE1AA1" w14:paraId="6528D651"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29DCDD9D"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2009/10</w:t>
            </w:r>
          </w:p>
        </w:tc>
        <w:tc>
          <w:tcPr>
            <w:tcW w:w="1254" w:type="dxa"/>
            <w:tcBorders>
              <w:top w:val="single" w:sz="4" w:space="0" w:color="auto"/>
              <w:left w:val="single" w:sz="4" w:space="0" w:color="auto"/>
              <w:bottom w:val="single" w:sz="4" w:space="0" w:color="auto"/>
              <w:right w:val="single" w:sz="4" w:space="0" w:color="auto"/>
            </w:tcBorders>
            <w:hideMark/>
          </w:tcPr>
          <w:p w14:paraId="192EA59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-235</w:t>
            </w:r>
          </w:p>
        </w:tc>
        <w:tc>
          <w:tcPr>
            <w:tcW w:w="1254" w:type="dxa"/>
            <w:tcBorders>
              <w:top w:val="single" w:sz="4" w:space="0" w:color="auto"/>
              <w:left w:val="single" w:sz="4" w:space="0" w:color="auto"/>
              <w:bottom w:val="single" w:sz="4" w:space="0" w:color="auto"/>
              <w:right w:val="single" w:sz="4" w:space="0" w:color="auto"/>
            </w:tcBorders>
            <w:hideMark/>
          </w:tcPr>
          <w:p w14:paraId="2D93EF6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848</w:t>
            </w:r>
          </w:p>
        </w:tc>
        <w:tc>
          <w:tcPr>
            <w:tcW w:w="1254" w:type="dxa"/>
            <w:tcBorders>
              <w:top w:val="single" w:sz="4" w:space="0" w:color="auto"/>
              <w:left w:val="single" w:sz="4" w:space="0" w:color="auto"/>
              <w:bottom w:val="single" w:sz="4" w:space="0" w:color="auto"/>
              <w:right w:val="single" w:sz="4" w:space="0" w:color="auto"/>
            </w:tcBorders>
            <w:hideMark/>
          </w:tcPr>
          <w:p w14:paraId="1F54B9F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424</w:t>
            </w:r>
          </w:p>
        </w:tc>
        <w:tc>
          <w:tcPr>
            <w:tcW w:w="1254" w:type="dxa"/>
            <w:tcBorders>
              <w:top w:val="single" w:sz="4" w:space="0" w:color="auto"/>
              <w:left w:val="single" w:sz="4" w:space="0" w:color="auto"/>
              <w:bottom w:val="single" w:sz="4" w:space="0" w:color="auto"/>
              <w:right w:val="single" w:sz="4" w:space="0" w:color="auto"/>
            </w:tcBorders>
            <w:hideMark/>
          </w:tcPr>
          <w:p w14:paraId="106FB16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-19</w:t>
            </w:r>
          </w:p>
        </w:tc>
        <w:tc>
          <w:tcPr>
            <w:tcW w:w="1254" w:type="dxa"/>
            <w:tcBorders>
              <w:top w:val="single" w:sz="4" w:space="0" w:color="auto"/>
              <w:left w:val="single" w:sz="4" w:space="0" w:color="auto"/>
              <w:bottom w:val="single" w:sz="4" w:space="0" w:color="auto"/>
              <w:right w:val="single" w:sz="4" w:space="0" w:color="auto"/>
            </w:tcBorders>
            <w:hideMark/>
          </w:tcPr>
          <w:p w14:paraId="27F62A8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-81</w:t>
            </w:r>
          </w:p>
        </w:tc>
        <w:tc>
          <w:tcPr>
            <w:tcW w:w="1254" w:type="dxa"/>
            <w:tcBorders>
              <w:top w:val="single" w:sz="4" w:space="0" w:color="auto"/>
              <w:left w:val="single" w:sz="4" w:space="0" w:color="auto"/>
              <w:bottom w:val="single" w:sz="4" w:space="0" w:color="auto"/>
              <w:right w:val="single" w:sz="4" w:space="0" w:color="auto"/>
            </w:tcBorders>
            <w:hideMark/>
          </w:tcPr>
          <w:p w14:paraId="29CAD3B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937</w:t>
            </w:r>
          </w:p>
        </w:tc>
      </w:tr>
      <w:tr w:rsidR="00360825" w:rsidRPr="00DE1AA1" w14:paraId="4D1FA110"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6AB2BC29"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2010/11</w:t>
            </w:r>
          </w:p>
        </w:tc>
        <w:tc>
          <w:tcPr>
            <w:tcW w:w="1254" w:type="dxa"/>
            <w:tcBorders>
              <w:top w:val="single" w:sz="4" w:space="0" w:color="auto"/>
              <w:left w:val="single" w:sz="4" w:space="0" w:color="auto"/>
              <w:bottom w:val="single" w:sz="4" w:space="0" w:color="auto"/>
              <w:right w:val="single" w:sz="4" w:space="0" w:color="auto"/>
            </w:tcBorders>
            <w:hideMark/>
          </w:tcPr>
          <w:p w14:paraId="65E96FD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-179</w:t>
            </w:r>
          </w:p>
        </w:tc>
        <w:tc>
          <w:tcPr>
            <w:tcW w:w="1254" w:type="dxa"/>
            <w:tcBorders>
              <w:top w:val="single" w:sz="4" w:space="0" w:color="auto"/>
              <w:left w:val="single" w:sz="4" w:space="0" w:color="auto"/>
              <w:bottom w:val="single" w:sz="4" w:space="0" w:color="auto"/>
              <w:right w:val="single" w:sz="4" w:space="0" w:color="auto"/>
            </w:tcBorders>
            <w:hideMark/>
          </w:tcPr>
          <w:p w14:paraId="4773BFF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695</w:t>
            </w:r>
          </w:p>
        </w:tc>
        <w:tc>
          <w:tcPr>
            <w:tcW w:w="1254" w:type="dxa"/>
            <w:tcBorders>
              <w:top w:val="single" w:sz="4" w:space="0" w:color="auto"/>
              <w:left w:val="single" w:sz="4" w:space="0" w:color="auto"/>
              <w:bottom w:val="single" w:sz="4" w:space="0" w:color="auto"/>
              <w:right w:val="single" w:sz="4" w:space="0" w:color="auto"/>
            </w:tcBorders>
            <w:hideMark/>
          </w:tcPr>
          <w:p w14:paraId="3E97C65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59</w:t>
            </w:r>
          </w:p>
        </w:tc>
        <w:tc>
          <w:tcPr>
            <w:tcW w:w="1254" w:type="dxa"/>
            <w:tcBorders>
              <w:top w:val="single" w:sz="4" w:space="0" w:color="auto"/>
              <w:left w:val="single" w:sz="4" w:space="0" w:color="auto"/>
              <w:bottom w:val="single" w:sz="4" w:space="0" w:color="auto"/>
              <w:right w:val="single" w:sz="4" w:space="0" w:color="auto"/>
            </w:tcBorders>
            <w:hideMark/>
          </w:tcPr>
          <w:p w14:paraId="5FA1A5A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104</w:t>
            </w:r>
          </w:p>
        </w:tc>
        <w:tc>
          <w:tcPr>
            <w:tcW w:w="1254" w:type="dxa"/>
            <w:tcBorders>
              <w:top w:val="single" w:sz="4" w:space="0" w:color="auto"/>
              <w:left w:val="single" w:sz="4" w:space="0" w:color="auto"/>
              <w:bottom w:val="single" w:sz="4" w:space="0" w:color="auto"/>
              <w:right w:val="single" w:sz="4" w:space="0" w:color="auto"/>
            </w:tcBorders>
            <w:hideMark/>
          </w:tcPr>
          <w:p w14:paraId="575C65D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-95</w:t>
            </w:r>
          </w:p>
        </w:tc>
        <w:tc>
          <w:tcPr>
            <w:tcW w:w="1254" w:type="dxa"/>
            <w:tcBorders>
              <w:top w:val="single" w:sz="4" w:space="0" w:color="auto"/>
              <w:left w:val="single" w:sz="4" w:space="0" w:color="auto"/>
              <w:bottom w:val="single" w:sz="4" w:space="0" w:color="auto"/>
              <w:right w:val="single" w:sz="4" w:space="0" w:color="auto"/>
            </w:tcBorders>
            <w:hideMark/>
          </w:tcPr>
          <w:p w14:paraId="0EBB93B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584</w:t>
            </w:r>
          </w:p>
        </w:tc>
      </w:tr>
      <w:tr w:rsidR="00360825" w:rsidRPr="00DE1AA1" w14:paraId="14890156"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5172AFC3"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2011/12</w:t>
            </w:r>
          </w:p>
        </w:tc>
        <w:tc>
          <w:tcPr>
            <w:tcW w:w="1254" w:type="dxa"/>
            <w:tcBorders>
              <w:top w:val="single" w:sz="4" w:space="0" w:color="auto"/>
              <w:left w:val="single" w:sz="4" w:space="0" w:color="auto"/>
              <w:bottom w:val="single" w:sz="4" w:space="0" w:color="auto"/>
              <w:right w:val="single" w:sz="4" w:space="0" w:color="auto"/>
            </w:tcBorders>
            <w:hideMark/>
          </w:tcPr>
          <w:p w14:paraId="37CDBA9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-178</w:t>
            </w:r>
          </w:p>
        </w:tc>
        <w:tc>
          <w:tcPr>
            <w:tcW w:w="1254" w:type="dxa"/>
            <w:tcBorders>
              <w:top w:val="single" w:sz="4" w:space="0" w:color="auto"/>
              <w:left w:val="single" w:sz="4" w:space="0" w:color="auto"/>
              <w:bottom w:val="single" w:sz="4" w:space="0" w:color="auto"/>
              <w:right w:val="single" w:sz="4" w:space="0" w:color="auto"/>
            </w:tcBorders>
            <w:hideMark/>
          </w:tcPr>
          <w:p w14:paraId="6A7BD1C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775</w:t>
            </w:r>
          </w:p>
        </w:tc>
        <w:tc>
          <w:tcPr>
            <w:tcW w:w="1254" w:type="dxa"/>
            <w:tcBorders>
              <w:top w:val="single" w:sz="4" w:space="0" w:color="auto"/>
              <w:left w:val="single" w:sz="4" w:space="0" w:color="auto"/>
              <w:bottom w:val="single" w:sz="4" w:space="0" w:color="auto"/>
              <w:right w:val="single" w:sz="4" w:space="0" w:color="auto"/>
            </w:tcBorders>
            <w:hideMark/>
          </w:tcPr>
          <w:p w14:paraId="2B2C7FF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305</w:t>
            </w:r>
          </w:p>
        </w:tc>
        <w:tc>
          <w:tcPr>
            <w:tcW w:w="1254" w:type="dxa"/>
            <w:tcBorders>
              <w:top w:val="single" w:sz="4" w:space="0" w:color="auto"/>
              <w:left w:val="single" w:sz="4" w:space="0" w:color="auto"/>
              <w:bottom w:val="single" w:sz="4" w:space="0" w:color="auto"/>
              <w:right w:val="single" w:sz="4" w:space="0" w:color="auto"/>
            </w:tcBorders>
            <w:hideMark/>
          </w:tcPr>
          <w:p w14:paraId="6536D09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w:t>
            </w:r>
          </w:p>
        </w:tc>
        <w:tc>
          <w:tcPr>
            <w:tcW w:w="1254" w:type="dxa"/>
            <w:tcBorders>
              <w:top w:val="single" w:sz="4" w:space="0" w:color="auto"/>
              <w:left w:val="single" w:sz="4" w:space="0" w:color="auto"/>
              <w:bottom w:val="single" w:sz="4" w:space="0" w:color="auto"/>
              <w:right w:val="single" w:sz="4" w:space="0" w:color="auto"/>
            </w:tcBorders>
            <w:hideMark/>
          </w:tcPr>
          <w:p w14:paraId="02EC4BB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3E2109F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904</w:t>
            </w:r>
          </w:p>
        </w:tc>
      </w:tr>
      <w:tr w:rsidR="00360825" w:rsidRPr="00DE1AA1" w14:paraId="5D8716C9"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6705033A"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2012/13</w:t>
            </w:r>
          </w:p>
        </w:tc>
        <w:tc>
          <w:tcPr>
            <w:tcW w:w="1254" w:type="dxa"/>
            <w:tcBorders>
              <w:top w:val="single" w:sz="4" w:space="0" w:color="auto"/>
              <w:left w:val="single" w:sz="4" w:space="0" w:color="auto"/>
              <w:bottom w:val="single" w:sz="4" w:space="0" w:color="auto"/>
              <w:right w:val="single" w:sz="4" w:space="0" w:color="auto"/>
            </w:tcBorders>
            <w:hideMark/>
          </w:tcPr>
          <w:p w14:paraId="4659B0B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-274</w:t>
            </w:r>
          </w:p>
        </w:tc>
        <w:tc>
          <w:tcPr>
            <w:tcW w:w="1254" w:type="dxa"/>
            <w:tcBorders>
              <w:top w:val="single" w:sz="4" w:space="0" w:color="auto"/>
              <w:left w:val="single" w:sz="4" w:space="0" w:color="auto"/>
              <w:bottom w:val="single" w:sz="4" w:space="0" w:color="auto"/>
              <w:right w:val="single" w:sz="4" w:space="0" w:color="auto"/>
            </w:tcBorders>
            <w:hideMark/>
          </w:tcPr>
          <w:p w14:paraId="79DE5FB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859</w:t>
            </w:r>
          </w:p>
        </w:tc>
        <w:tc>
          <w:tcPr>
            <w:tcW w:w="1254" w:type="dxa"/>
            <w:tcBorders>
              <w:top w:val="single" w:sz="4" w:space="0" w:color="auto"/>
              <w:left w:val="single" w:sz="4" w:space="0" w:color="auto"/>
              <w:bottom w:val="single" w:sz="4" w:space="0" w:color="auto"/>
              <w:right w:val="single" w:sz="4" w:space="0" w:color="auto"/>
            </w:tcBorders>
            <w:hideMark/>
          </w:tcPr>
          <w:p w14:paraId="630A982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251</w:t>
            </w:r>
          </w:p>
        </w:tc>
        <w:tc>
          <w:tcPr>
            <w:tcW w:w="1254" w:type="dxa"/>
            <w:tcBorders>
              <w:top w:val="single" w:sz="4" w:space="0" w:color="auto"/>
              <w:left w:val="single" w:sz="4" w:space="0" w:color="auto"/>
              <w:bottom w:val="single" w:sz="4" w:space="0" w:color="auto"/>
              <w:right w:val="single" w:sz="4" w:space="0" w:color="auto"/>
            </w:tcBorders>
            <w:hideMark/>
          </w:tcPr>
          <w:p w14:paraId="287C756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65</w:t>
            </w:r>
          </w:p>
        </w:tc>
        <w:tc>
          <w:tcPr>
            <w:tcW w:w="1254" w:type="dxa"/>
            <w:tcBorders>
              <w:top w:val="single" w:sz="4" w:space="0" w:color="auto"/>
              <w:left w:val="single" w:sz="4" w:space="0" w:color="auto"/>
              <w:bottom w:val="single" w:sz="4" w:space="0" w:color="auto"/>
              <w:right w:val="single" w:sz="4" w:space="0" w:color="auto"/>
            </w:tcBorders>
            <w:hideMark/>
          </w:tcPr>
          <w:p w14:paraId="49AFAFD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73FA1F1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901</w:t>
            </w:r>
          </w:p>
        </w:tc>
      </w:tr>
      <w:tr w:rsidR="00360825" w:rsidRPr="00DE1AA1" w14:paraId="0EFA5548"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2281F2AA"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2013/14</w:t>
            </w:r>
          </w:p>
        </w:tc>
        <w:tc>
          <w:tcPr>
            <w:tcW w:w="1254" w:type="dxa"/>
            <w:tcBorders>
              <w:top w:val="single" w:sz="4" w:space="0" w:color="auto"/>
              <w:left w:val="single" w:sz="4" w:space="0" w:color="auto"/>
              <w:bottom w:val="single" w:sz="4" w:space="0" w:color="auto"/>
              <w:right w:val="single" w:sz="4" w:space="0" w:color="auto"/>
            </w:tcBorders>
            <w:hideMark/>
          </w:tcPr>
          <w:p w14:paraId="6E472ED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-285</w:t>
            </w:r>
          </w:p>
        </w:tc>
        <w:tc>
          <w:tcPr>
            <w:tcW w:w="1254" w:type="dxa"/>
            <w:tcBorders>
              <w:top w:val="single" w:sz="4" w:space="0" w:color="auto"/>
              <w:left w:val="single" w:sz="4" w:space="0" w:color="auto"/>
              <w:bottom w:val="single" w:sz="4" w:space="0" w:color="auto"/>
              <w:right w:val="single" w:sz="4" w:space="0" w:color="auto"/>
            </w:tcBorders>
            <w:hideMark/>
          </w:tcPr>
          <w:p w14:paraId="3BDCA1B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709</w:t>
            </w:r>
          </w:p>
        </w:tc>
        <w:tc>
          <w:tcPr>
            <w:tcW w:w="1254" w:type="dxa"/>
            <w:tcBorders>
              <w:top w:val="single" w:sz="4" w:space="0" w:color="auto"/>
              <w:left w:val="single" w:sz="4" w:space="0" w:color="auto"/>
              <w:bottom w:val="single" w:sz="4" w:space="0" w:color="auto"/>
              <w:right w:val="single" w:sz="4" w:space="0" w:color="auto"/>
            </w:tcBorders>
            <w:hideMark/>
          </w:tcPr>
          <w:p w14:paraId="1A35629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361</w:t>
            </w:r>
          </w:p>
        </w:tc>
        <w:tc>
          <w:tcPr>
            <w:tcW w:w="1254" w:type="dxa"/>
            <w:tcBorders>
              <w:top w:val="single" w:sz="4" w:space="0" w:color="auto"/>
              <w:left w:val="single" w:sz="4" w:space="0" w:color="auto"/>
              <w:bottom w:val="single" w:sz="4" w:space="0" w:color="auto"/>
              <w:right w:val="single" w:sz="4" w:space="0" w:color="auto"/>
            </w:tcBorders>
            <w:hideMark/>
          </w:tcPr>
          <w:p w14:paraId="0D151F8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-324</w:t>
            </w:r>
          </w:p>
        </w:tc>
        <w:tc>
          <w:tcPr>
            <w:tcW w:w="1254" w:type="dxa"/>
            <w:tcBorders>
              <w:top w:val="single" w:sz="4" w:space="0" w:color="auto"/>
              <w:left w:val="single" w:sz="4" w:space="0" w:color="auto"/>
              <w:bottom w:val="single" w:sz="4" w:space="0" w:color="auto"/>
              <w:right w:val="single" w:sz="4" w:space="0" w:color="auto"/>
            </w:tcBorders>
            <w:hideMark/>
          </w:tcPr>
          <w:p w14:paraId="7E66D5C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4A252B4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461</w:t>
            </w:r>
          </w:p>
        </w:tc>
      </w:tr>
      <w:tr w:rsidR="00360825" w:rsidRPr="00DE1AA1" w14:paraId="697465AB"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34A662C1"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2014/15</w:t>
            </w:r>
          </w:p>
        </w:tc>
        <w:tc>
          <w:tcPr>
            <w:tcW w:w="1254" w:type="dxa"/>
            <w:tcBorders>
              <w:top w:val="single" w:sz="4" w:space="0" w:color="auto"/>
              <w:left w:val="single" w:sz="4" w:space="0" w:color="auto"/>
              <w:bottom w:val="single" w:sz="4" w:space="0" w:color="auto"/>
              <w:right w:val="single" w:sz="4" w:space="0" w:color="auto"/>
            </w:tcBorders>
            <w:hideMark/>
          </w:tcPr>
          <w:p w14:paraId="6E27576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-386</w:t>
            </w:r>
          </w:p>
        </w:tc>
        <w:tc>
          <w:tcPr>
            <w:tcW w:w="1254" w:type="dxa"/>
            <w:tcBorders>
              <w:top w:val="single" w:sz="4" w:space="0" w:color="auto"/>
              <w:left w:val="single" w:sz="4" w:space="0" w:color="auto"/>
              <w:bottom w:val="single" w:sz="4" w:space="0" w:color="auto"/>
              <w:right w:val="single" w:sz="4" w:space="0" w:color="auto"/>
            </w:tcBorders>
            <w:hideMark/>
          </w:tcPr>
          <w:p w14:paraId="7651340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1,173</w:t>
            </w:r>
          </w:p>
        </w:tc>
        <w:tc>
          <w:tcPr>
            <w:tcW w:w="1254" w:type="dxa"/>
            <w:tcBorders>
              <w:top w:val="single" w:sz="4" w:space="0" w:color="auto"/>
              <w:left w:val="single" w:sz="4" w:space="0" w:color="auto"/>
              <w:bottom w:val="single" w:sz="4" w:space="0" w:color="auto"/>
              <w:right w:val="single" w:sz="4" w:space="0" w:color="auto"/>
            </w:tcBorders>
            <w:hideMark/>
          </w:tcPr>
          <w:p w14:paraId="2446DFE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388</w:t>
            </w:r>
          </w:p>
        </w:tc>
        <w:tc>
          <w:tcPr>
            <w:tcW w:w="1254" w:type="dxa"/>
            <w:tcBorders>
              <w:top w:val="single" w:sz="4" w:space="0" w:color="auto"/>
              <w:left w:val="single" w:sz="4" w:space="0" w:color="auto"/>
              <w:bottom w:val="single" w:sz="4" w:space="0" w:color="auto"/>
              <w:right w:val="single" w:sz="4" w:space="0" w:color="auto"/>
            </w:tcBorders>
            <w:hideMark/>
          </w:tcPr>
          <w:p w14:paraId="4E09045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348</w:t>
            </w:r>
          </w:p>
        </w:tc>
        <w:tc>
          <w:tcPr>
            <w:tcW w:w="1254" w:type="dxa"/>
            <w:tcBorders>
              <w:top w:val="single" w:sz="4" w:space="0" w:color="auto"/>
              <w:left w:val="single" w:sz="4" w:space="0" w:color="auto"/>
              <w:bottom w:val="single" w:sz="4" w:space="0" w:color="auto"/>
              <w:right w:val="single" w:sz="4" w:space="0" w:color="auto"/>
            </w:tcBorders>
            <w:hideMark/>
          </w:tcPr>
          <w:p w14:paraId="4AF7C8B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1EDB987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1,523</w:t>
            </w:r>
          </w:p>
        </w:tc>
      </w:tr>
      <w:tr w:rsidR="00360825" w:rsidRPr="00DE1AA1" w14:paraId="0C1709E6"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316D2E8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2015/16</w:t>
            </w:r>
          </w:p>
        </w:tc>
        <w:tc>
          <w:tcPr>
            <w:tcW w:w="1254" w:type="dxa"/>
            <w:tcBorders>
              <w:top w:val="single" w:sz="4" w:space="0" w:color="auto"/>
              <w:left w:val="single" w:sz="4" w:space="0" w:color="auto"/>
              <w:bottom w:val="single" w:sz="4" w:space="0" w:color="auto"/>
              <w:right w:val="single" w:sz="4" w:space="0" w:color="auto"/>
            </w:tcBorders>
            <w:hideMark/>
          </w:tcPr>
          <w:p w14:paraId="449FEAD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-404</w:t>
            </w:r>
          </w:p>
        </w:tc>
        <w:tc>
          <w:tcPr>
            <w:tcW w:w="1254" w:type="dxa"/>
            <w:tcBorders>
              <w:top w:val="single" w:sz="4" w:space="0" w:color="auto"/>
              <w:left w:val="single" w:sz="4" w:space="0" w:color="auto"/>
              <w:bottom w:val="single" w:sz="4" w:space="0" w:color="auto"/>
              <w:right w:val="single" w:sz="4" w:space="0" w:color="auto"/>
            </w:tcBorders>
            <w:hideMark/>
          </w:tcPr>
          <w:p w14:paraId="4600C0C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1,245</w:t>
            </w:r>
          </w:p>
        </w:tc>
        <w:tc>
          <w:tcPr>
            <w:tcW w:w="1254" w:type="dxa"/>
            <w:tcBorders>
              <w:top w:val="single" w:sz="4" w:space="0" w:color="auto"/>
              <w:left w:val="single" w:sz="4" w:space="0" w:color="auto"/>
              <w:bottom w:val="single" w:sz="4" w:space="0" w:color="auto"/>
              <w:right w:val="single" w:sz="4" w:space="0" w:color="auto"/>
            </w:tcBorders>
            <w:hideMark/>
          </w:tcPr>
          <w:p w14:paraId="25F04C2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443</w:t>
            </w:r>
          </w:p>
        </w:tc>
        <w:tc>
          <w:tcPr>
            <w:tcW w:w="1254" w:type="dxa"/>
            <w:tcBorders>
              <w:top w:val="single" w:sz="4" w:space="0" w:color="auto"/>
              <w:left w:val="single" w:sz="4" w:space="0" w:color="auto"/>
              <w:bottom w:val="single" w:sz="4" w:space="0" w:color="auto"/>
              <w:right w:val="single" w:sz="4" w:space="0" w:color="auto"/>
            </w:tcBorders>
            <w:hideMark/>
          </w:tcPr>
          <w:p w14:paraId="0EA5BD4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57</w:t>
            </w:r>
          </w:p>
        </w:tc>
        <w:tc>
          <w:tcPr>
            <w:tcW w:w="1254" w:type="dxa"/>
            <w:tcBorders>
              <w:top w:val="single" w:sz="4" w:space="0" w:color="auto"/>
              <w:left w:val="single" w:sz="4" w:space="0" w:color="auto"/>
              <w:bottom w:val="single" w:sz="4" w:space="0" w:color="auto"/>
              <w:right w:val="single" w:sz="4" w:space="0" w:color="auto"/>
            </w:tcBorders>
            <w:hideMark/>
          </w:tcPr>
          <w:p w14:paraId="0759EE4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201621A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1,341</w:t>
            </w:r>
          </w:p>
        </w:tc>
      </w:tr>
      <w:tr w:rsidR="00360825" w:rsidRPr="00DE1AA1" w14:paraId="591294E5" w14:textId="77777777" w:rsidTr="00C04569">
        <w:trPr>
          <w:trHeight w:val="58"/>
        </w:trPr>
        <w:tc>
          <w:tcPr>
            <w:tcW w:w="1253" w:type="dxa"/>
            <w:tcBorders>
              <w:top w:val="single" w:sz="4" w:space="0" w:color="auto"/>
              <w:left w:val="single" w:sz="4" w:space="0" w:color="auto"/>
              <w:bottom w:val="single" w:sz="4" w:space="0" w:color="auto"/>
              <w:right w:val="single" w:sz="4" w:space="0" w:color="auto"/>
            </w:tcBorders>
            <w:hideMark/>
          </w:tcPr>
          <w:p w14:paraId="6AE36F6E"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2016/17</w:t>
            </w:r>
          </w:p>
        </w:tc>
        <w:tc>
          <w:tcPr>
            <w:tcW w:w="1254" w:type="dxa"/>
            <w:tcBorders>
              <w:top w:val="single" w:sz="4" w:space="0" w:color="auto"/>
              <w:left w:val="single" w:sz="4" w:space="0" w:color="auto"/>
              <w:bottom w:val="single" w:sz="4" w:space="0" w:color="auto"/>
              <w:right w:val="single" w:sz="4" w:space="0" w:color="auto"/>
            </w:tcBorders>
            <w:hideMark/>
          </w:tcPr>
          <w:p w14:paraId="3236B59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-499</w:t>
            </w:r>
          </w:p>
        </w:tc>
        <w:tc>
          <w:tcPr>
            <w:tcW w:w="1254" w:type="dxa"/>
            <w:tcBorders>
              <w:top w:val="single" w:sz="4" w:space="0" w:color="auto"/>
              <w:left w:val="single" w:sz="4" w:space="0" w:color="auto"/>
              <w:bottom w:val="single" w:sz="4" w:space="0" w:color="auto"/>
              <w:right w:val="single" w:sz="4" w:space="0" w:color="auto"/>
            </w:tcBorders>
            <w:hideMark/>
          </w:tcPr>
          <w:p w14:paraId="77E21C2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1,249</w:t>
            </w:r>
          </w:p>
        </w:tc>
        <w:tc>
          <w:tcPr>
            <w:tcW w:w="1254" w:type="dxa"/>
            <w:tcBorders>
              <w:top w:val="single" w:sz="4" w:space="0" w:color="auto"/>
              <w:left w:val="single" w:sz="4" w:space="0" w:color="auto"/>
              <w:bottom w:val="single" w:sz="4" w:space="0" w:color="auto"/>
              <w:right w:val="single" w:sz="4" w:space="0" w:color="auto"/>
            </w:tcBorders>
            <w:hideMark/>
          </w:tcPr>
          <w:p w14:paraId="385FE9E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298</w:t>
            </w:r>
          </w:p>
        </w:tc>
        <w:tc>
          <w:tcPr>
            <w:tcW w:w="1254" w:type="dxa"/>
            <w:tcBorders>
              <w:top w:val="single" w:sz="4" w:space="0" w:color="auto"/>
              <w:left w:val="single" w:sz="4" w:space="0" w:color="auto"/>
              <w:bottom w:val="single" w:sz="4" w:space="0" w:color="auto"/>
              <w:right w:val="single" w:sz="4" w:space="0" w:color="auto"/>
            </w:tcBorders>
            <w:hideMark/>
          </w:tcPr>
          <w:p w14:paraId="529C163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19</w:t>
            </w:r>
          </w:p>
        </w:tc>
        <w:tc>
          <w:tcPr>
            <w:tcW w:w="1254" w:type="dxa"/>
            <w:tcBorders>
              <w:top w:val="single" w:sz="4" w:space="0" w:color="auto"/>
              <w:left w:val="single" w:sz="4" w:space="0" w:color="auto"/>
              <w:bottom w:val="single" w:sz="4" w:space="0" w:color="auto"/>
              <w:right w:val="single" w:sz="4" w:space="0" w:color="auto"/>
            </w:tcBorders>
            <w:hideMark/>
          </w:tcPr>
          <w:p w14:paraId="490CD54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0C5FFA5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1,067</w:t>
            </w:r>
          </w:p>
        </w:tc>
      </w:tr>
      <w:tr w:rsidR="00360825" w:rsidRPr="00DE1AA1" w14:paraId="79BAF97F"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38E6FA1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2017/18</w:t>
            </w:r>
          </w:p>
        </w:tc>
        <w:tc>
          <w:tcPr>
            <w:tcW w:w="1254" w:type="dxa"/>
            <w:tcBorders>
              <w:top w:val="single" w:sz="4" w:space="0" w:color="auto"/>
              <w:left w:val="single" w:sz="4" w:space="0" w:color="auto"/>
              <w:bottom w:val="single" w:sz="4" w:space="0" w:color="auto"/>
              <w:right w:val="single" w:sz="4" w:space="0" w:color="auto"/>
            </w:tcBorders>
            <w:hideMark/>
          </w:tcPr>
          <w:p w14:paraId="1016447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-560</w:t>
            </w:r>
          </w:p>
        </w:tc>
        <w:tc>
          <w:tcPr>
            <w:tcW w:w="1254" w:type="dxa"/>
            <w:tcBorders>
              <w:top w:val="single" w:sz="4" w:space="0" w:color="auto"/>
              <w:left w:val="single" w:sz="4" w:space="0" w:color="auto"/>
              <w:bottom w:val="single" w:sz="4" w:space="0" w:color="auto"/>
              <w:right w:val="single" w:sz="4" w:space="0" w:color="auto"/>
            </w:tcBorders>
            <w:hideMark/>
          </w:tcPr>
          <w:p w14:paraId="414C59F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654</w:t>
            </w:r>
          </w:p>
        </w:tc>
        <w:tc>
          <w:tcPr>
            <w:tcW w:w="1254" w:type="dxa"/>
            <w:tcBorders>
              <w:top w:val="single" w:sz="4" w:space="0" w:color="auto"/>
              <w:left w:val="single" w:sz="4" w:space="0" w:color="auto"/>
              <w:bottom w:val="single" w:sz="4" w:space="0" w:color="auto"/>
              <w:right w:val="single" w:sz="4" w:space="0" w:color="auto"/>
            </w:tcBorders>
            <w:hideMark/>
          </w:tcPr>
          <w:p w14:paraId="292484C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331</w:t>
            </w:r>
          </w:p>
        </w:tc>
        <w:tc>
          <w:tcPr>
            <w:tcW w:w="1254" w:type="dxa"/>
            <w:tcBorders>
              <w:top w:val="single" w:sz="4" w:space="0" w:color="auto"/>
              <w:left w:val="single" w:sz="4" w:space="0" w:color="auto"/>
              <w:bottom w:val="single" w:sz="4" w:space="0" w:color="auto"/>
              <w:right w:val="single" w:sz="4" w:space="0" w:color="auto"/>
            </w:tcBorders>
            <w:hideMark/>
          </w:tcPr>
          <w:p w14:paraId="79062ED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133</w:t>
            </w:r>
          </w:p>
        </w:tc>
        <w:tc>
          <w:tcPr>
            <w:tcW w:w="1254" w:type="dxa"/>
            <w:tcBorders>
              <w:top w:val="single" w:sz="4" w:space="0" w:color="auto"/>
              <w:left w:val="single" w:sz="4" w:space="0" w:color="auto"/>
              <w:bottom w:val="single" w:sz="4" w:space="0" w:color="auto"/>
              <w:right w:val="single" w:sz="4" w:space="0" w:color="auto"/>
            </w:tcBorders>
            <w:hideMark/>
          </w:tcPr>
          <w:p w14:paraId="7D3FCD9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13BDF70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558</w:t>
            </w:r>
          </w:p>
        </w:tc>
      </w:tr>
      <w:tr w:rsidR="00360825" w:rsidRPr="00DE1AA1" w14:paraId="4E90159D"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1502663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2018/19</w:t>
            </w:r>
          </w:p>
        </w:tc>
        <w:tc>
          <w:tcPr>
            <w:tcW w:w="1254" w:type="dxa"/>
            <w:tcBorders>
              <w:top w:val="single" w:sz="4" w:space="0" w:color="auto"/>
              <w:left w:val="single" w:sz="4" w:space="0" w:color="auto"/>
              <w:bottom w:val="single" w:sz="4" w:space="0" w:color="auto"/>
              <w:right w:val="single" w:sz="4" w:space="0" w:color="auto"/>
            </w:tcBorders>
            <w:hideMark/>
          </w:tcPr>
          <w:p w14:paraId="18170C6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-386</w:t>
            </w:r>
          </w:p>
        </w:tc>
        <w:tc>
          <w:tcPr>
            <w:tcW w:w="1254" w:type="dxa"/>
            <w:tcBorders>
              <w:top w:val="single" w:sz="4" w:space="0" w:color="auto"/>
              <w:left w:val="single" w:sz="4" w:space="0" w:color="auto"/>
              <w:bottom w:val="single" w:sz="4" w:space="0" w:color="auto"/>
              <w:right w:val="single" w:sz="4" w:space="0" w:color="auto"/>
            </w:tcBorders>
            <w:hideMark/>
          </w:tcPr>
          <w:p w14:paraId="474320B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543</w:t>
            </w:r>
          </w:p>
        </w:tc>
        <w:tc>
          <w:tcPr>
            <w:tcW w:w="1254" w:type="dxa"/>
            <w:tcBorders>
              <w:top w:val="single" w:sz="4" w:space="0" w:color="auto"/>
              <w:left w:val="single" w:sz="4" w:space="0" w:color="auto"/>
              <w:bottom w:val="single" w:sz="4" w:space="0" w:color="auto"/>
              <w:right w:val="single" w:sz="4" w:space="0" w:color="auto"/>
            </w:tcBorders>
            <w:hideMark/>
          </w:tcPr>
          <w:p w14:paraId="754AAB6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207</w:t>
            </w:r>
          </w:p>
        </w:tc>
        <w:tc>
          <w:tcPr>
            <w:tcW w:w="1254" w:type="dxa"/>
            <w:tcBorders>
              <w:top w:val="single" w:sz="4" w:space="0" w:color="auto"/>
              <w:left w:val="single" w:sz="4" w:space="0" w:color="auto"/>
              <w:bottom w:val="single" w:sz="4" w:space="0" w:color="auto"/>
              <w:right w:val="single" w:sz="4" w:space="0" w:color="auto"/>
            </w:tcBorders>
            <w:hideMark/>
          </w:tcPr>
          <w:p w14:paraId="4C9F4F1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w:t>
            </w:r>
          </w:p>
        </w:tc>
        <w:tc>
          <w:tcPr>
            <w:tcW w:w="1254" w:type="dxa"/>
            <w:tcBorders>
              <w:top w:val="single" w:sz="4" w:space="0" w:color="auto"/>
              <w:left w:val="single" w:sz="4" w:space="0" w:color="auto"/>
              <w:bottom w:val="single" w:sz="4" w:space="0" w:color="auto"/>
              <w:right w:val="single" w:sz="4" w:space="0" w:color="auto"/>
            </w:tcBorders>
            <w:hideMark/>
          </w:tcPr>
          <w:p w14:paraId="16AACF3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31DB8BD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379</w:t>
            </w:r>
          </w:p>
        </w:tc>
      </w:tr>
      <w:tr w:rsidR="00360825" w:rsidRPr="00DE1AA1" w14:paraId="6162E598"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0899FA76"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2019/20</w:t>
            </w:r>
          </w:p>
        </w:tc>
        <w:tc>
          <w:tcPr>
            <w:tcW w:w="1254" w:type="dxa"/>
            <w:tcBorders>
              <w:top w:val="single" w:sz="4" w:space="0" w:color="auto"/>
              <w:left w:val="single" w:sz="4" w:space="0" w:color="auto"/>
              <w:bottom w:val="single" w:sz="4" w:space="0" w:color="auto"/>
              <w:right w:val="single" w:sz="4" w:space="0" w:color="auto"/>
            </w:tcBorders>
            <w:hideMark/>
          </w:tcPr>
          <w:p w14:paraId="162A2CD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-664</w:t>
            </w:r>
          </w:p>
        </w:tc>
        <w:tc>
          <w:tcPr>
            <w:tcW w:w="1254" w:type="dxa"/>
            <w:tcBorders>
              <w:top w:val="single" w:sz="4" w:space="0" w:color="auto"/>
              <w:left w:val="single" w:sz="4" w:space="0" w:color="auto"/>
              <w:bottom w:val="single" w:sz="4" w:space="0" w:color="auto"/>
              <w:right w:val="single" w:sz="4" w:space="0" w:color="auto"/>
            </w:tcBorders>
            <w:hideMark/>
          </w:tcPr>
          <w:p w14:paraId="6B07729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968</w:t>
            </w:r>
          </w:p>
        </w:tc>
        <w:tc>
          <w:tcPr>
            <w:tcW w:w="1254" w:type="dxa"/>
            <w:tcBorders>
              <w:top w:val="single" w:sz="4" w:space="0" w:color="auto"/>
              <w:left w:val="single" w:sz="4" w:space="0" w:color="auto"/>
              <w:bottom w:val="single" w:sz="4" w:space="0" w:color="auto"/>
              <w:right w:val="single" w:sz="4" w:space="0" w:color="auto"/>
            </w:tcBorders>
            <w:hideMark/>
          </w:tcPr>
          <w:p w14:paraId="17C340E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54</w:t>
            </w:r>
          </w:p>
        </w:tc>
        <w:tc>
          <w:tcPr>
            <w:tcW w:w="1254" w:type="dxa"/>
            <w:tcBorders>
              <w:top w:val="single" w:sz="4" w:space="0" w:color="auto"/>
              <w:left w:val="single" w:sz="4" w:space="0" w:color="auto"/>
              <w:bottom w:val="single" w:sz="4" w:space="0" w:color="auto"/>
              <w:right w:val="single" w:sz="4" w:space="0" w:color="auto"/>
            </w:tcBorders>
            <w:hideMark/>
          </w:tcPr>
          <w:p w14:paraId="389DAD1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21</w:t>
            </w:r>
          </w:p>
        </w:tc>
        <w:tc>
          <w:tcPr>
            <w:tcW w:w="1254" w:type="dxa"/>
            <w:tcBorders>
              <w:top w:val="single" w:sz="4" w:space="0" w:color="auto"/>
              <w:left w:val="single" w:sz="4" w:space="0" w:color="auto"/>
              <w:bottom w:val="single" w:sz="4" w:space="0" w:color="auto"/>
              <w:right w:val="single" w:sz="4" w:space="0" w:color="auto"/>
            </w:tcBorders>
            <w:hideMark/>
          </w:tcPr>
          <w:p w14:paraId="1407318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730351B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379</w:t>
            </w:r>
          </w:p>
        </w:tc>
      </w:tr>
    </w:tbl>
    <w:p w14:paraId="2A0EEBD6" w14:textId="77777777" w:rsidR="00360825" w:rsidRPr="00D556DB" w:rsidRDefault="00360825" w:rsidP="00360825">
      <w:pPr>
        <w:spacing w:line="300" w:lineRule="auto"/>
        <w:rPr>
          <w:rFonts w:ascii="Arial" w:hAnsi="Arial" w:cs="Arial"/>
          <w:i/>
          <w:iCs/>
          <w:sz w:val="16"/>
          <w:szCs w:val="16"/>
        </w:rPr>
      </w:pPr>
      <w:r w:rsidRPr="00D556DB">
        <w:rPr>
          <w:rFonts w:ascii="Arial" w:hAnsi="Arial" w:cs="Arial"/>
          <w:i/>
          <w:iCs/>
          <w:sz w:val="16"/>
          <w:szCs w:val="16"/>
        </w:rPr>
        <w:t>Source: ONS</w:t>
      </w:r>
    </w:p>
    <w:p w14:paraId="197A2EA3" w14:textId="77777777" w:rsidR="00360825" w:rsidRPr="00D556DB" w:rsidRDefault="00360825" w:rsidP="001A7584">
      <w:pPr>
        <w:pStyle w:val="Heading4"/>
        <w:ind w:firstLine="0"/>
      </w:pPr>
      <w:r w:rsidRPr="00D556DB">
        <w:t>Components of population change, mid-2001 to mid-2020 – Chichester District</w:t>
      </w:r>
    </w:p>
    <w:p w14:paraId="7F5BD809" w14:textId="77777777" w:rsidR="00360825" w:rsidRPr="00DE1AA1" w:rsidRDefault="00360825" w:rsidP="00360825">
      <w:pPr>
        <w:keepNext/>
        <w:spacing w:after="0" w:line="240" w:lineRule="auto"/>
        <w:jc w:val="left"/>
        <w:rPr>
          <w:rFonts w:ascii="Arial" w:hAnsi="Arial" w:cs="Arial"/>
        </w:rPr>
      </w:pPr>
      <w:r w:rsidRPr="00D556DB">
        <w:rPr>
          <w:rFonts w:ascii="Arial" w:hAnsi="Arial" w:cs="Arial"/>
          <w:noProof/>
        </w:rPr>
        <w:drawing>
          <wp:inline distT="0" distB="0" distL="0" distR="0" wp14:anchorId="62E0FD9B" wp14:editId="51BFFC78">
            <wp:extent cx="5626100" cy="2889250"/>
            <wp:effectExtent l="0" t="0" r="12700" b="6350"/>
            <wp:docPr id="30" name="Chart 30" descr="The figure considers the drivers of population change 2001 to 2020. The main components of change are natural change (births minus deaths) and net migration (internal/domestic and international). There is also an Unattributable Population Change (UPC) which is a correction made by ONS upon publication of Census data if population has been under- or over-estimated (this is only calculated for the 2001-11 period). There are also ‘other changes,’ which are generally small and often related to armed forces personnel or boarding school pupils.&#10;&#10;The data shows a negative level of natural change for all of the period (i.e. more deaths than births) and the difference between deaths and births does look to have been increasing over the past decade or so. Over the last 5-years, natural change has averaged a net loss of around 500 per annum. Internal migration has been quite variable –but positive in all years; the last five years for which data is available shows an average of 930 people (net) moving to the District from other parts of the United Kingdom. International migration is also variable, although the data does suggest a positive net level for most years (including all years over the past decade or more); over the past five years international migration has averaged about 270 people per annum (net).&#10;&#10;The data also shows a small negative level of UPC. This suggests that between 2001 and 2011, ONS may have initially overestimated population growth within population estimates (and this was corrected once Census data had been published) – the level of UPC is fairly modest in comparison to that seen in many other locations.&#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17BD3A6"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ONS</w:t>
      </w:r>
    </w:p>
    <w:p w14:paraId="06733CE2" w14:textId="77777777" w:rsidR="00360825" w:rsidRPr="00D556DB" w:rsidRDefault="00360825" w:rsidP="00360825">
      <w:pPr>
        <w:pStyle w:val="Heading2"/>
        <w:rPr>
          <w:rFonts w:ascii="Arial" w:hAnsi="Arial" w:cs="Arial"/>
        </w:rPr>
      </w:pPr>
      <w:r w:rsidRPr="00D556DB">
        <w:rPr>
          <w:rFonts w:ascii="Arial" w:eastAsiaTheme="majorEastAsia" w:hAnsi="Arial" w:cs="Arial"/>
        </w:rPr>
        <w:lastRenderedPageBreak/>
        <w:t>Other Measures of Past Population Growth</w:t>
      </w:r>
    </w:p>
    <w:p w14:paraId="0DF358B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analysis above has focussed on data from the ONS mid-year population estimates (MYE). It is possible to contrast estimates of population growth in this source with other measures – the main one being the Patient Register (PR). The table below shows estimated </w:t>
      </w:r>
      <w:r w:rsidRPr="00DE1AA1">
        <w:rPr>
          <w:rFonts w:ascii="Arial" w:eastAsia="MS PGothic" w:hAnsi="Arial" w:cs="Arial"/>
          <w:bCs/>
          <w:lang w:eastAsia="ja-JP"/>
        </w:rPr>
        <w:t>population</w:t>
      </w:r>
      <w:r w:rsidRPr="00D556DB">
        <w:rPr>
          <w:rFonts w:ascii="Arial" w:hAnsi="Arial" w:cs="Arial"/>
        </w:rPr>
        <w:t xml:space="preserve"> growth in both the MYE and the PR – data is shown for Chichester, West Sussex, the South East and England.</w:t>
      </w:r>
    </w:p>
    <w:p w14:paraId="4B9EFC5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In Chichester, the MYE shows population change of 6.6% in the 2011-20 period, whereas the PR is higher (at 8.8%). However, it is notable in all the areas studied that the PR shows higher estimated growth and in fact the difference for Chichester is slightly less notable than for other locations (for example, for England the MYE shows 6.5% growth, but the PR is at 10%).</w:t>
      </w:r>
    </w:p>
    <w:p w14:paraId="2D43755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Overall, it is difficult to draw any firm conclusions from this data, on the one hand the MYE arguably under-estimates population growth. However the relative difference between MYE and PR estimates is lower than the national level and this could be construed to mean that the opposite may be true (if for example the MYE at a national level are considered to be accurate).</w:t>
      </w:r>
    </w:p>
    <w:p w14:paraId="0FF997E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On balance, it is not considered that the analysis of PR data shows anything sufficiently compelling to suggest setting aside the MYE, either in terms of current population estimates, or trend levels of growth. This analysis can therefore be seen as mainly included </w:t>
      </w:r>
      <w:r w:rsidRPr="00DE1AA1">
        <w:rPr>
          <w:rFonts w:ascii="Arial" w:eastAsia="MS PGothic" w:hAnsi="Arial" w:cs="Arial"/>
          <w:bCs/>
          <w:lang w:eastAsia="ja-JP"/>
        </w:rPr>
        <w:t>for</w:t>
      </w:r>
      <w:r w:rsidRPr="00D556DB">
        <w:rPr>
          <w:rFonts w:ascii="Arial" w:hAnsi="Arial" w:cs="Arial"/>
        </w:rPr>
        <w:t xml:space="preserve"> reference purposes.</w:t>
      </w:r>
    </w:p>
    <w:p w14:paraId="7546023C" w14:textId="7487554E" w:rsidR="00360825" w:rsidRDefault="00360825" w:rsidP="001A7584">
      <w:pPr>
        <w:pStyle w:val="Heading4"/>
        <w:ind w:firstLine="0"/>
        <w:rPr>
          <w:rFonts w:eastAsia="MS PGothic"/>
        </w:rPr>
      </w:pPr>
      <w:r w:rsidRPr="00D556DB">
        <w:rPr>
          <w:rFonts w:eastAsia="MS PGothic"/>
        </w:rPr>
        <w:t>Comparing ONS mid-year population estimates with estimates of population from the Patient Register</w:t>
      </w:r>
    </w:p>
    <w:tbl>
      <w:tblPr>
        <w:tblW w:w="7740" w:type="dxa"/>
        <w:tblLook w:val="04A0" w:firstRow="1" w:lastRow="0" w:firstColumn="1" w:lastColumn="0" w:noHBand="0" w:noVBand="1"/>
      </w:tblPr>
      <w:tblGrid>
        <w:gridCol w:w="1240"/>
        <w:gridCol w:w="1780"/>
        <w:gridCol w:w="1220"/>
        <w:gridCol w:w="1220"/>
        <w:gridCol w:w="1320"/>
        <w:gridCol w:w="960"/>
      </w:tblGrid>
      <w:tr w:rsidR="008C3225" w:rsidRPr="008C3225" w14:paraId="4A816DB5" w14:textId="77777777" w:rsidTr="008C3225">
        <w:trPr>
          <w:trHeight w:val="290"/>
        </w:trPr>
        <w:tc>
          <w:tcPr>
            <w:tcW w:w="12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CBF782A"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 </w:t>
            </w:r>
          </w:p>
        </w:tc>
        <w:tc>
          <w:tcPr>
            <w:tcW w:w="1780" w:type="dxa"/>
            <w:tcBorders>
              <w:top w:val="single" w:sz="4" w:space="0" w:color="auto"/>
              <w:left w:val="nil"/>
              <w:bottom w:val="single" w:sz="4" w:space="0" w:color="auto"/>
              <w:right w:val="single" w:sz="4" w:space="0" w:color="auto"/>
            </w:tcBorders>
            <w:shd w:val="clear" w:color="000000" w:fill="002060"/>
            <w:vAlign w:val="center"/>
            <w:hideMark/>
          </w:tcPr>
          <w:p w14:paraId="2871A306"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 </w:t>
            </w:r>
          </w:p>
        </w:tc>
        <w:tc>
          <w:tcPr>
            <w:tcW w:w="1220" w:type="dxa"/>
            <w:tcBorders>
              <w:top w:val="single" w:sz="4" w:space="0" w:color="auto"/>
              <w:left w:val="nil"/>
              <w:bottom w:val="single" w:sz="4" w:space="0" w:color="auto"/>
              <w:right w:val="single" w:sz="4" w:space="0" w:color="auto"/>
            </w:tcBorders>
            <w:shd w:val="clear" w:color="000000" w:fill="002060"/>
            <w:vAlign w:val="center"/>
            <w:hideMark/>
          </w:tcPr>
          <w:p w14:paraId="2A87E6C3" w14:textId="77777777" w:rsidR="008C3225" w:rsidRPr="008C3225" w:rsidRDefault="008C3225" w:rsidP="008C3225">
            <w:pPr>
              <w:spacing w:after="0" w:line="240" w:lineRule="auto"/>
              <w:jc w:val="center"/>
              <w:rPr>
                <w:rFonts w:ascii="Arial" w:hAnsi="Arial" w:cs="Arial"/>
                <w:color w:val="FFFFFF"/>
              </w:rPr>
            </w:pPr>
            <w:r w:rsidRPr="008C3225">
              <w:rPr>
                <w:rFonts w:ascii="Arial" w:hAnsi="Arial" w:cs="Arial"/>
                <w:color w:val="FFFFFF"/>
              </w:rPr>
              <w:t>2011</w:t>
            </w:r>
          </w:p>
        </w:tc>
        <w:tc>
          <w:tcPr>
            <w:tcW w:w="1220" w:type="dxa"/>
            <w:tcBorders>
              <w:top w:val="single" w:sz="4" w:space="0" w:color="auto"/>
              <w:left w:val="nil"/>
              <w:bottom w:val="single" w:sz="4" w:space="0" w:color="auto"/>
              <w:right w:val="single" w:sz="4" w:space="0" w:color="auto"/>
            </w:tcBorders>
            <w:shd w:val="clear" w:color="000000" w:fill="002060"/>
            <w:vAlign w:val="center"/>
            <w:hideMark/>
          </w:tcPr>
          <w:p w14:paraId="3AAC888D" w14:textId="77777777" w:rsidR="008C3225" w:rsidRPr="008C3225" w:rsidRDefault="008C3225" w:rsidP="008C3225">
            <w:pPr>
              <w:spacing w:after="0" w:line="240" w:lineRule="auto"/>
              <w:jc w:val="center"/>
              <w:rPr>
                <w:rFonts w:ascii="Arial" w:hAnsi="Arial" w:cs="Arial"/>
                <w:color w:val="FFFFFF"/>
              </w:rPr>
            </w:pPr>
            <w:r w:rsidRPr="008C3225">
              <w:rPr>
                <w:rFonts w:ascii="Arial" w:hAnsi="Arial" w:cs="Arial"/>
                <w:color w:val="FFFFFF"/>
              </w:rPr>
              <w:t>2020</w:t>
            </w:r>
          </w:p>
        </w:tc>
        <w:tc>
          <w:tcPr>
            <w:tcW w:w="1320" w:type="dxa"/>
            <w:tcBorders>
              <w:top w:val="single" w:sz="4" w:space="0" w:color="auto"/>
              <w:left w:val="nil"/>
              <w:bottom w:val="single" w:sz="4" w:space="0" w:color="auto"/>
              <w:right w:val="single" w:sz="4" w:space="0" w:color="auto"/>
            </w:tcBorders>
            <w:shd w:val="clear" w:color="000000" w:fill="002060"/>
            <w:vAlign w:val="center"/>
            <w:hideMark/>
          </w:tcPr>
          <w:p w14:paraId="07FF6E88" w14:textId="77777777" w:rsidR="008C3225" w:rsidRPr="008C3225" w:rsidRDefault="008C3225" w:rsidP="008C3225">
            <w:pPr>
              <w:spacing w:after="0" w:line="240" w:lineRule="auto"/>
              <w:jc w:val="center"/>
              <w:rPr>
                <w:rFonts w:ascii="Arial" w:hAnsi="Arial" w:cs="Arial"/>
                <w:color w:val="FFFFFF"/>
              </w:rPr>
            </w:pPr>
            <w:r w:rsidRPr="008C3225">
              <w:rPr>
                <w:rFonts w:ascii="Arial" w:hAnsi="Arial" w:cs="Arial"/>
                <w:color w:val="FFFFFF"/>
              </w:rPr>
              <w:t>Change</w:t>
            </w:r>
          </w:p>
        </w:tc>
        <w:tc>
          <w:tcPr>
            <w:tcW w:w="960" w:type="dxa"/>
            <w:tcBorders>
              <w:top w:val="single" w:sz="4" w:space="0" w:color="auto"/>
              <w:left w:val="nil"/>
              <w:bottom w:val="single" w:sz="4" w:space="0" w:color="auto"/>
              <w:right w:val="single" w:sz="4" w:space="0" w:color="auto"/>
            </w:tcBorders>
            <w:shd w:val="clear" w:color="000000" w:fill="002060"/>
            <w:vAlign w:val="center"/>
            <w:hideMark/>
          </w:tcPr>
          <w:p w14:paraId="6D3FFAB2" w14:textId="77777777" w:rsidR="008C3225" w:rsidRPr="008C3225" w:rsidRDefault="008C3225" w:rsidP="008C3225">
            <w:pPr>
              <w:spacing w:after="0" w:line="240" w:lineRule="auto"/>
              <w:jc w:val="center"/>
              <w:rPr>
                <w:rFonts w:ascii="Arial" w:hAnsi="Arial" w:cs="Arial"/>
                <w:color w:val="FFFFFF"/>
              </w:rPr>
            </w:pPr>
            <w:r w:rsidRPr="008C3225">
              <w:rPr>
                <w:rFonts w:ascii="Arial" w:hAnsi="Arial" w:cs="Arial"/>
                <w:color w:val="FFFFFF"/>
              </w:rPr>
              <w:t>% change</w:t>
            </w:r>
          </w:p>
        </w:tc>
      </w:tr>
      <w:tr w:rsidR="008C3225" w:rsidRPr="008C3225" w14:paraId="3AD9E889" w14:textId="77777777" w:rsidTr="008C3225">
        <w:trPr>
          <w:trHeight w:val="290"/>
        </w:trPr>
        <w:tc>
          <w:tcPr>
            <w:tcW w:w="1240" w:type="dxa"/>
            <w:vMerge w:val="restart"/>
            <w:tcBorders>
              <w:top w:val="nil"/>
              <w:left w:val="single" w:sz="4" w:space="0" w:color="auto"/>
              <w:bottom w:val="single" w:sz="4" w:space="0" w:color="auto"/>
              <w:right w:val="single" w:sz="4" w:space="0" w:color="auto"/>
            </w:tcBorders>
            <w:shd w:val="clear" w:color="auto" w:fill="auto"/>
            <w:vAlign w:val="center"/>
            <w:hideMark/>
          </w:tcPr>
          <w:p w14:paraId="625A9A16"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Chichester</w:t>
            </w:r>
          </w:p>
        </w:tc>
        <w:tc>
          <w:tcPr>
            <w:tcW w:w="1780" w:type="dxa"/>
            <w:tcBorders>
              <w:top w:val="nil"/>
              <w:left w:val="nil"/>
              <w:bottom w:val="single" w:sz="4" w:space="0" w:color="auto"/>
              <w:right w:val="single" w:sz="4" w:space="0" w:color="auto"/>
            </w:tcBorders>
            <w:shd w:val="clear" w:color="auto" w:fill="auto"/>
            <w:vAlign w:val="center"/>
            <w:hideMark/>
          </w:tcPr>
          <w:p w14:paraId="48D615F5"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MYE</w:t>
            </w:r>
          </w:p>
        </w:tc>
        <w:tc>
          <w:tcPr>
            <w:tcW w:w="1220" w:type="dxa"/>
            <w:tcBorders>
              <w:top w:val="nil"/>
              <w:left w:val="nil"/>
              <w:bottom w:val="single" w:sz="4" w:space="0" w:color="auto"/>
              <w:right w:val="single" w:sz="4" w:space="0" w:color="auto"/>
            </w:tcBorders>
            <w:shd w:val="clear" w:color="auto" w:fill="auto"/>
            <w:vAlign w:val="center"/>
            <w:hideMark/>
          </w:tcPr>
          <w:p w14:paraId="58153B48"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114,010</w:t>
            </w:r>
          </w:p>
        </w:tc>
        <w:tc>
          <w:tcPr>
            <w:tcW w:w="1220" w:type="dxa"/>
            <w:tcBorders>
              <w:top w:val="nil"/>
              <w:left w:val="nil"/>
              <w:bottom w:val="single" w:sz="4" w:space="0" w:color="auto"/>
              <w:right w:val="single" w:sz="4" w:space="0" w:color="auto"/>
            </w:tcBorders>
            <w:shd w:val="clear" w:color="auto" w:fill="auto"/>
            <w:vAlign w:val="center"/>
            <w:hideMark/>
          </w:tcPr>
          <w:p w14:paraId="41902CD9"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121,480</w:t>
            </w:r>
          </w:p>
        </w:tc>
        <w:tc>
          <w:tcPr>
            <w:tcW w:w="1320" w:type="dxa"/>
            <w:tcBorders>
              <w:top w:val="nil"/>
              <w:left w:val="nil"/>
              <w:bottom w:val="single" w:sz="4" w:space="0" w:color="auto"/>
              <w:right w:val="single" w:sz="4" w:space="0" w:color="auto"/>
            </w:tcBorders>
            <w:shd w:val="clear" w:color="auto" w:fill="auto"/>
            <w:vAlign w:val="center"/>
            <w:hideMark/>
          </w:tcPr>
          <w:p w14:paraId="531545B1"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7,470</w:t>
            </w:r>
          </w:p>
        </w:tc>
        <w:tc>
          <w:tcPr>
            <w:tcW w:w="960" w:type="dxa"/>
            <w:tcBorders>
              <w:top w:val="nil"/>
              <w:left w:val="nil"/>
              <w:bottom w:val="single" w:sz="4" w:space="0" w:color="auto"/>
              <w:right w:val="single" w:sz="4" w:space="0" w:color="auto"/>
            </w:tcBorders>
            <w:shd w:val="clear" w:color="auto" w:fill="auto"/>
            <w:vAlign w:val="center"/>
            <w:hideMark/>
          </w:tcPr>
          <w:p w14:paraId="721F6E5D"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6.60%</w:t>
            </w:r>
          </w:p>
        </w:tc>
      </w:tr>
      <w:tr w:rsidR="008C3225" w:rsidRPr="008C3225" w14:paraId="65E54DFF" w14:textId="77777777" w:rsidTr="008C3225">
        <w:trPr>
          <w:trHeight w:val="290"/>
        </w:trPr>
        <w:tc>
          <w:tcPr>
            <w:tcW w:w="1240" w:type="dxa"/>
            <w:vMerge/>
            <w:tcBorders>
              <w:top w:val="nil"/>
              <w:left w:val="single" w:sz="4" w:space="0" w:color="auto"/>
              <w:bottom w:val="single" w:sz="4" w:space="0" w:color="auto"/>
              <w:right w:val="single" w:sz="4" w:space="0" w:color="auto"/>
            </w:tcBorders>
            <w:vAlign w:val="center"/>
            <w:hideMark/>
          </w:tcPr>
          <w:p w14:paraId="54BAA842" w14:textId="77777777" w:rsidR="008C3225" w:rsidRPr="008C3225" w:rsidRDefault="008C3225" w:rsidP="008C3225">
            <w:pPr>
              <w:spacing w:after="0" w:line="240" w:lineRule="auto"/>
              <w:jc w:val="left"/>
              <w:rPr>
                <w:rFonts w:ascii="Arial" w:hAnsi="Arial" w:cs="Arial"/>
                <w:color w:val="000000"/>
              </w:rPr>
            </w:pPr>
          </w:p>
        </w:tc>
        <w:tc>
          <w:tcPr>
            <w:tcW w:w="1780" w:type="dxa"/>
            <w:tcBorders>
              <w:top w:val="nil"/>
              <w:left w:val="nil"/>
              <w:bottom w:val="single" w:sz="4" w:space="0" w:color="auto"/>
              <w:right w:val="single" w:sz="4" w:space="0" w:color="auto"/>
            </w:tcBorders>
            <w:shd w:val="clear" w:color="auto" w:fill="auto"/>
            <w:vAlign w:val="center"/>
            <w:hideMark/>
          </w:tcPr>
          <w:p w14:paraId="17D5D9AD"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Patient Register</w:t>
            </w:r>
          </w:p>
        </w:tc>
        <w:tc>
          <w:tcPr>
            <w:tcW w:w="1220" w:type="dxa"/>
            <w:tcBorders>
              <w:top w:val="nil"/>
              <w:left w:val="nil"/>
              <w:bottom w:val="single" w:sz="4" w:space="0" w:color="auto"/>
              <w:right w:val="single" w:sz="4" w:space="0" w:color="auto"/>
            </w:tcBorders>
            <w:shd w:val="clear" w:color="auto" w:fill="auto"/>
            <w:vAlign w:val="center"/>
            <w:hideMark/>
          </w:tcPr>
          <w:p w14:paraId="020C7255"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118,210</w:t>
            </w:r>
          </w:p>
        </w:tc>
        <w:tc>
          <w:tcPr>
            <w:tcW w:w="1220" w:type="dxa"/>
            <w:tcBorders>
              <w:top w:val="nil"/>
              <w:left w:val="nil"/>
              <w:bottom w:val="single" w:sz="4" w:space="0" w:color="auto"/>
              <w:right w:val="single" w:sz="4" w:space="0" w:color="auto"/>
            </w:tcBorders>
            <w:shd w:val="clear" w:color="auto" w:fill="auto"/>
            <w:vAlign w:val="center"/>
            <w:hideMark/>
          </w:tcPr>
          <w:p w14:paraId="328AC800"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128,660</w:t>
            </w:r>
          </w:p>
        </w:tc>
        <w:tc>
          <w:tcPr>
            <w:tcW w:w="1320" w:type="dxa"/>
            <w:tcBorders>
              <w:top w:val="nil"/>
              <w:left w:val="nil"/>
              <w:bottom w:val="single" w:sz="4" w:space="0" w:color="auto"/>
              <w:right w:val="single" w:sz="4" w:space="0" w:color="auto"/>
            </w:tcBorders>
            <w:shd w:val="clear" w:color="auto" w:fill="auto"/>
            <w:vAlign w:val="center"/>
            <w:hideMark/>
          </w:tcPr>
          <w:p w14:paraId="1127666C"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10,450</w:t>
            </w:r>
          </w:p>
        </w:tc>
        <w:tc>
          <w:tcPr>
            <w:tcW w:w="960" w:type="dxa"/>
            <w:tcBorders>
              <w:top w:val="nil"/>
              <w:left w:val="nil"/>
              <w:bottom w:val="single" w:sz="4" w:space="0" w:color="auto"/>
              <w:right w:val="single" w:sz="4" w:space="0" w:color="auto"/>
            </w:tcBorders>
            <w:shd w:val="clear" w:color="auto" w:fill="auto"/>
            <w:vAlign w:val="center"/>
            <w:hideMark/>
          </w:tcPr>
          <w:p w14:paraId="2F90ED1D"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8.84%</w:t>
            </w:r>
          </w:p>
        </w:tc>
      </w:tr>
      <w:tr w:rsidR="008C3225" w:rsidRPr="008C3225" w14:paraId="4B26A097" w14:textId="77777777" w:rsidTr="008C3225">
        <w:trPr>
          <w:trHeight w:val="300"/>
        </w:trPr>
        <w:tc>
          <w:tcPr>
            <w:tcW w:w="1240" w:type="dxa"/>
            <w:vMerge w:val="restart"/>
            <w:tcBorders>
              <w:top w:val="nil"/>
              <w:left w:val="single" w:sz="4" w:space="0" w:color="auto"/>
              <w:bottom w:val="single" w:sz="4" w:space="0" w:color="auto"/>
              <w:right w:val="single" w:sz="4" w:space="0" w:color="auto"/>
            </w:tcBorders>
            <w:shd w:val="clear" w:color="auto" w:fill="auto"/>
            <w:vAlign w:val="center"/>
            <w:hideMark/>
          </w:tcPr>
          <w:p w14:paraId="28EE0F06"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West Sussex</w:t>
            </w:r>
          </w:p>
        </w:tc>
        <w:tc>
          <w:tcPr>
            <w:tcW w:w="1780" w:type="dxa"/>
            <w:tcBorders>
              <w:top w:val="nil"/>
              <w:left w:val="nil"/>
              <w:bottom w:val="single" w:sz="4" w:space="0" w:color="auto"/>
              <w:right w:val="single" w:sz="4" w:space="0" w:color="auto"/>
            </w:tcBorders>
            <w:shd w:val="clear" w:color="auto" w:fill="auto"/>
            <w:vAlign w:val="center"/>
            <w:hideMark/>
          </w:tcPr>
          <w:p w14:paraId="4FC3156C"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MYE</w:t>
            </w:r>
          </w:p>
        </w:tc>
        <w:tc>
          <w:tcPr>
            <w:tcW w:w="1220" w:type="dxa"/>
            <w:tcBorders>
              <w:top w:val="nil"/>
              <w:left w:val="nil"/>
              <w:bottom w:val="single" w:sz="4" w:space="0" w:color="auto"/>
              <w:right w:val="single" w:sz="4" w:space="0" w:color="auto"/>
            </w:tcBorders>
            <w:shd w:val="clear" w:color="auto" w:fill="auto"/>
            <w:vAlign w:val="center"/>
            <w:hideMark/>
          </w:tcPr>
          <w:p w14:paraId="0A19AB93"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808,960</w:t>
            </w:r>
          </w:p>
        </w:tc>
        <w:tc>
          <w:tcPr>
            <w:tcW w:w="1220" w:type="dxa"/>
            <w:tcBorders>
              <w:top w:val="nil"/>
              <w:left w:val="nil"/>
              <w:bottom w:val="single" w:sz="4" w:space="0" w:color="auto"/>
              <w:right w:val="single" w:sz="4" w:space="0" w:color="auto"/>
            </w:tcBorders>
            <w:shd w:val="clear" w:color="auto" w:fill="auto"/>
            <w:vAlign w:val="center"/>
            <w:hideMark/>
          </w:tcPr>
          <w:p w14:paraId="15D7E9FE"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867,670</w:t>
            </w:r>
          </w:p>
        </w:tc>
        <w:tc>
          <w:tcPr>
            <w:tcW w:w="1320" w:type="dxa"/>
            <w:tcBorders>
              <w:top w:val="nil"/>
              <w:left w:val="nil"/>
              <w:bottom w:val="single" w:sz="4" w:space="0" w:color="auto"/>
              <w:right w:val="single" w:sz="4" w:space="0" w:color="auto"/>
            </w:tcBorders>
            <w:shd w:val="clear" w:color="auto" w:fill="auto"/>
            <w:vAlign w:val="center"/>
            <w:hideMark/>
          </w:tcPr>
          <w:p w14:paraId="1738629C"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58,710</w:t>
            </w:r>
          </w:p>
        </w:tc>
        <w:tc>
          <w:tcPr>
            <w:tcW w:w="960" w:type="dxa"/>
            <w:tcBorders>
              <w:top w:val="nil"/>
              <w:left w:val="nil"/>
              <w:bottom w:val="single" w:sz="4" w:space="0" w:color="auto"/>
              <w:right w:val="single" w:sz="4" w:space="0" w:color="auto"/>
            </w:tcBorders>
            <w:shd w:val="clear" w:color="auto" w:fill="auto"/>
            <w:vAlign w:val="center"/>
            <w:hideMark/>
          </w:tcPr>
          <w:p w14:paraId="692BAA06"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7.30%</w:t>
            </w:r>
          </w:p>
        </w:tc>
      </w:tr>
      <w:tr w:rsidR="008C3225" w:rsidRPr="008C3225" w14:paraId="56B3FB71" w14:textId="77777777" w:rsidTr="008C3225">
        <w:trPr>
          <w:trHeight w:val="300"/>
        </w:trPr>
        <w:tc>
          <w:tcPr>
            <w:tcW w:w="1240" w:type="dxa"/>
            <w:vMerge/>
            <w:tcBorders>
              <w:top w:val="nil"/>
              <w:left w:val="single" w:sz="4" w:space="0" w:color="auto"/>
              <w:bottom w:val="single" w:sz="4" w:space="0" w:color="auto"/>
              <w:right w:val="single" w:sz="4" w:space="0" w:color="auto"/>
            </w:tcBorders>
            <w:vAlign w:val="center"/>
            <w:hideMark/>
          </w:tcPr>
          <w:p w14:paraId="23EB96BA" w14:textId="77777777" w:rsidR="008C3225" w:rsidRPr="008C3225" w:rsidRDefault="008C3225" w:rsidP="008C3225">
            <w:pPr>
              <w:spacing w:after="0" w:line="240" w:lineRule="auto"/>
              <w:jc w:val="left"/>
              <w:rPr>
                <w:rFonts w:ascii="Arial" w:hAnsi="Arial" w:cs="Arial"/>
                <w:color w:val="000000"/>
              </w:rPr>
            </w:pPr>
          </w:p>
        </w:tc>
        <w:tc>
          <w:tcPr>
            <w:tcW w:w="1780" w:type="dxa"/>
            <w:tcBorders>
              <w:top w:val="nil"/>
              <w:left w:val="nil"/>
              <w:bottom w:val="single" w:sz="4" w:space="0" w:color="auto"/>
              <w:right w:val="single" w:sz="4" w:space="0" w:color="auto"/>
            </w:tcBorders>
            <w:shd w:val="clear" w:color="auto" w:fill="auto"/>
            <w:vAlign w:val="center"/>
            <w:hideMark/>
          </w:tcPr>
          <w:p w14:paraId="20021731"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Patient Register</w:t>
            </w:r>
          </w:p>
        </w:tc>
        <w:tc>
          <w:tcPr>
            <w:tcW w:w="1220" w:type="dxa"/>
            <w:tcBorders>
              <w:top w:val="nil"/>
              <w:left w:val="nil"/>
              <w:bottom w:val="single" w:sz="4" w:space="0" w:color="auto"/>
              <w:right w:val="single" w:sz="4" w:space="0" w:color="auto"/>
            </w:tcBorders>
            <w:shd w:val="clear" w:color="auto" w:fill="auto"/>
            <w:vAlign w:val="center"/>
            <w:hideMark/>
          </w:tcPr>
          <w:p w14:paraId="0B40806E"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830,770</w:t>
            </w:r>
          </w:p>
        </w:tc>
        <w:tc>
          <w:tcPr>
            <w:tcW w:w="1220" w:type="dxa"/>
            <w:tcBorders>
              <w:top w:val="nil"/>
              <w:left w:val="nil"/>
              <w:bottom w:val="single" w:sz="4" w:space="0" w:color="auto"/>
              <w:right w:val="single" w:sz="4" w:space="0" w:color="auto"/>
            </w:tcBorders>
            <w:shd w:val="clear" w:color="auto" w:fill="auto"/>
            <w:vAlign w:val="center"/>
            <w:hideMark/>
          </w:tcPr>
          <w:p w14:paraId="448BB655"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913,230</w:t>
            </w:r>
          </w:p>
        </w:tc>
        <w:tc>
          <w:tcPr>
            <w:tcW w:w="1320" w:type="dxa"/>
            <w:tcBorders>
              <w:top w:val="nil"/>
              <w:left w:val="nil"/>
              <w:bottom w:val="single" w:sz="4" w:space="0" w:color="auto"/>
              <w:right w:val="single" w:sz="4" w:space="0" w:color="auto"/>
            </w:tcBorders>
            <w:shd w:val="clear" w:color="auto" w:fill="auto"/>
            <w:vAlign w:val="center"/>
            <w:hideMark/>
          </w:tcPr>
          <w:p w14:paraId="3EDEA176"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82,460</w:t>
            </w:r>
          </w:p>
        </w:tc>
        <w:tc>
          <w:tcPr>
            <w:tcW w:w="960" w:type="dxa"/>
            <w:tcBorders>
              <w:top w:val="nil"/>
              <w:left w:val="nil"/>
              <w:bottom w:val="single" w:sz="4" w:space="0" w:color="auto"/>
              <w:right w:val="single" w:sz="4" w:space="0" w:color="auto"/>
            </w:tcBorders>
            <w:shd w:val="clear" w:color="auto" w:fill="auto"/>
            <w:vAlign w:val="center"/>
            <w:hideMark/>
          </w:tcPr>
          <w:p w14:paraId="7DE509C0"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9.90%</w:t>
            </w:r>
          </w:p>
        </w:tc>
      </w:tr>
      <w:tr w:rsidR="008C3225" w:rsidRPr="008C3225" w14:paraId="62698C56" w14:textId="77777777" w:rsidTr="008C3225">
        <w:trPr>
          <w:trHeight w:val="290"/>
        </w:trPr>
        <w:tc>
          <w:tcPr>
            <w:tcW w:w="1240" w:type="dxa"/>
            <w:vMerge w:val="restart"/>
            <w:tcBorders>
              <w:top w:val="nil"/>
              <w:left w:val="single" w:sz="4" w:space="0" w:color="auto"/>
              <w:bottom w:val="single" w:sz="4" w:space="0" w:color="auto"/>
              <w:right w:val="single" w:sz="4" w:space="0" w:color="auto"/>
            </w:tcBorders>
            <w:shd w:val="clear" w:color="auto" w:fill="auto"/>
            <w:vAlign w:val="center"/>
            <w:hideMark/>
          </w:tcPr>
          <w:p w14:paraId="51C1FF15"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South East</w:t>
            </w:r>
          </w:p>
        </w:tc>
        <w:tc>
          <w:tcPr>
            <w:tcW w:w="1780" w:type="dxa"/>
            <w:tcBorders>
              <w:top w:val="nil"/>
              <w:left w:val="nil"/>
              <w:bottom w:val="single" w:sz="4" w:space="0" w:color="auto"/>
              <w:right w:val="single" w:sz="4" w:space="0" w:color="auto"/>
            </w:tcBorders>
            <w:shd w:val="clear" w:color="auto" w:fill="auto"/>
            <w:vAlign w:val="center"/>
            <w:hideMark/>
          </w:tcPr>
          <w:p w14:paraId="1A63AB16"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MYE</w:t>
            </w:r>
          </w:p>
        </w:tc>
        <w:tc>
          <w:tcPr>
            <w:tcW w:w="1220" w:type="dxa"/>
            <w:tcBorders>
              <w:top w:val="nil"/>
              <w:left w:val="nil"/>
              <w:bottom w:val="single" w:sz="4" w:space="0" w:color="auto"/>
              <w:right w:val="single" w:sz="4" w:space="0" w:color="auto"/>
            </w:tcBorders>
            <w:shd w:val="clear" w:color="auto" w:fill="auto"/>
            <w:vAlign w:val="center"/>
            <w:hideMark/>
          </w:tcPr>
          <w:p w14:paraId="7CA73864"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8,652,820</w:t>
            </w:r>
          </w:p>
        </w:tc>
        <w:tc>
          <w:tcPr>
            <w:tcW w:w="1220" w:type="dxa"/>
            <w:tcBorders>
              <w:top w:val="nil"/>
              <w:left w:val="nil"/>
              <w:bottom w:val="single" w:sz="4" w:space="0" w:color="auto"/>
              <w:right w:val="single" w:sz="4" w:space="0" w:color="auto"/>
            </w:tcBorders>
            <w:shd w:val="clear" w:color="auto" w:fill="auto"/>
            <w:vAlign w:val="center"/>
            <w:hideMark/>
          </w:tcPr>
          <w:p w14:paraId="362B4685"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9,217,270</w:t>
            </w:r>
          </w:p>
        </w:tc>
        <w:tc>
          <w:tcPr>
            <w:tcW w:w="1320" w:type="dxa"/>
            <w:tcBorders>
              <w:top w:val="nil"/>
              <w:left w:val="nil"/>
              <w:bottom w:val="single" w:sz="4" w:space="0" w:color="auto"/>
              <w:right w:val="single" w:sz="4" w:space="0" w:color="auto"/>
            </w:tcBorders>
            <w:shd w:val="clear" w:color="auto" w:fill="auto"/>
            <w:vAlign w:val="center"/>
            <w:hideMark/>
          </w:tcPr>
          <w:p w14:paraId="353D2F43"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564,450</w:t>
            </w:r>
          </w:p>
        </w:tc>
        <w:tc>
          <w:tcPr>
            <w:tcW w:w="960" w:type="dxa"/>
            <w:tcBorders>
              <w:top w:val="nil"/>
              <w:left w:val="nil"/>
              <w:bottom w:val="single" w:sz="4" w:space="0" w:color="auto"/>
              <w:right w:val="single" w:sz="4" w:space="0" w:color="auto"/>
            </w:tcBorders>
            <w:shd w:val="clear" w:color="auto" w:fill="auto"/>
            <w:vAlign w:val="center"/>
            <w:hideMark/>
          </w:tcPr>
          <w:p w14:paraId="074AFA1B"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6.50%</w:t>
            </w:r>
          </w:p>
        </w:tc>
      </w:tr>
      <w:tr w:rsidR="008C3225" w:rsidRPr="008C3225" w14:paraId="027CAAE1" w14:textId="77777777" w:rsidTr="008C3225">
        <w:trPr>
          <w:trHeight w:val="300"/>
        </w:trPr>
        <w:tc>
          <w:tcPr>
            <w:tcW w:w="1240" w:type="dxa"/>
            <w:vMerge/>
            <w:tcBorders>
              <w:top w:val="nil"/>
              <w:left w:val="single" w:sz="4" w:space="0" w:color="auto"/>
              <w:bottom w:val="single" w:sz="4" w:space="0" w:color="auto"/>
              <w:right w:val="single" w:sz="4" w:space="0" w:color="auto"/>
            </w:tcBorders>
            <w:vAlign w:val="center"/>
            <w:hideMark/>
          </w:tcPr>
          <w:p w14:paraId="0639B7BB" w14:textId="77777777" w:rsidR="008C3225" w:rsidRPr="008C3225" w:rsidRDefault="008C3225" w:rsidP="008C3225">
            <w:pPr>
              <w:spacing w:after="0" w:line="240" w:lineRule="auto"/>
              <w:jc w:val="left"/>
              <w:rPr>
                <w:rFonts w:ascii="Arial" w:hAnsi="Arial" w:cs="Arial"/>
                <w:color w:val="000000"/>
              </w:rPr>
            </w:pPr>
          </w:p>
        </w:tc>
        <w:tc>
          <w:tcPr>
            <w:tcW w:w="1780" w:type="dxa"/>
            <w:tcBorders>
              <w:top w:val="nil"/>
              <w:left w:val="nil"/>
              <w:bottom w:val="single" w:sz="4" w:space="0" w:color="auto"/>
              <w:right w:val="single" w:sz="4" w:space="0" w:color="auto"/>
            </w:tcBorders>
            <w:shd w:val="clear" w:color="auto" w:fill="auto"/>
            <w:vAlign w:val="center"/>
            <w:hideMark/>
          </w:tcPr>
          <w:p w14:paraId="6F4A3767"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Patient Register</w:t>
            </w:r>
          </w:p>
        </w:tc>
        <w:tc>
          <w:tcPr>
            <w:tcW w:w="1220" w:type="dxa"/>
            <w:tcBorders>
              <w:top w:val="nil"/>
              <w:left w:val="nil"/>
              <w:bottom w:val="single" w:sz="4" w:space="0" w:color="auto"/>
              <w:right w:val="single" w:sz="4" w:space="0" w:color="auto"/>
            </w:tcBorders>
            <w:shd w:val="clear" w:color="auto" w:fill="auto"/>
            <w:vAlign w:val="center"/>
            <w:hideMark/>
          </w:tcPr>
          <w:p w14:paraId="0D3C6CA6"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8,937,030</w:t>
            </w:r>
          </w:p>
        </w:tc>
        <w:tc>
          <w:tcPr>
            <w:tcW w:w="1220" w:type="dxa"/>
            <w:tcBorders>
              <w:top w:val="nil"/>
              <w:left w:val="nil"/>
              <w:bottom w:val="single" w:sz="4" w:space="0" w:color="auto"/>
              <w:right w:val="single" w:sz="4" w:space="0" w:color="auto"/>
            </w:tcBorders>
            <w:shd w:val="clear" w:color="auto" w:fill="auto"/>
            <w:vAlign w:val="center"/>
            <w:hideMark/>
          </w:tcPr>
          <w:p w14:paraId="6220C417"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9,813,070</w:t>
            </w:r>
          </w:p>
        </w:tc>
        <w:tc>
          <w:tcPr>
            <w:tcW w:w="1320" w:type="dxa"/>
            <w:tcBorders>
              <w:top w:val="nil"/>
              <w:left w:val="nil"/>
              <w:bottom w:val="single" w:sz="4" w:space="0" w:color="auto"/>
              <w:right w:val="single" w:sz="4" w:space="0" w:color="auto"/>
            </w:tcBorders>
            <w:shd w:val="clear" w:color="auto" w:fill="auto"/>
            <w:vAlign w:val="center"/>
            <w:hideMark/>
          </w:tcPr>
          <w:p w14:paraId="1E0F9181"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876,040</w:t>
            </w:r>
          </w:p>
        </w:tc>
        <w:tc>
          <w:tcPr>
            <w:tcW w:w="960" w:type="dxa"/>
            <w:tcBorders>
              <w:top w:val="nil"/>
              <w:left w:val="nil"/>
              <w:bottom w:val="single" w:sz="4" w:space="0" w:color="auto"/>
              <w:right w:val="single" w:sz="4" w:space="0" w:color="auto"/>
            </w:tcBorders>
            <w:shd w:val="clear" w:color="auto" w:fill="auto"/>
            <w:vAlign w:val="center"/>
            <w:hideMark/>
          </w:tcPr>
          <w:p w14:paraId="564DD1F6"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9.80%</w:t>
            </w:r>
          </w:p>
        </w:tc>
      </w:tr>
      <w:tr w:rsidR="008C3225" w:rsidRPr="008C3225" w14:paraId="601D9F59" w14:textId="77777777" w:rsidTr="008C3225">
        <w:trPr>
          <w:trHeight w:val="290"/>
        </w:trPr>
        <w:tc>
          <w:tcPr>
            <w:tcW w:w="1240" w:type="dxa"/>
            <w:vMerge w:val="restart"/>
            <w:tcBorders>
              <w:top w:val="nil"/>
              <w:left w:val="single" w:sz="4" w:space="0" w:color="auto"/>
              <w:bottom w:val="single" w:sz="4" w:space="0" w:color="auto"/>
              <w:right w:val="single" w:sz="4" w:space="0" w:color="auto"/>
            </w:tcBorders>
            <w:shd w:val="clear" w:color="auto" w:fill="auto"/>
            <w:vAlign w:val="center"/>
            <w:hideMark/>
          </w:tcPr>
          <w:p w14:paraId="03B42B6B"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England</w:t>
            </w:r>
          </w:p>
        </w:tc>
        <w:tc>
          <w:tcPr>
            <w:tcW w:w="1780" w:type="dxa"/>
            <w:tcBorders>
              <w:top w:val="nil"/>
              <w:left w:val="nil"/>
              <w:bottom w:val="single" w:sz="4" w:space="0" w:color="auto"/>
              <w:right w:val="single" w:sz="4" w:space="0" w:color="auto"/>
            </w:tcBorders>
            <w:shd w:val="clear" w:color="auto" w:fill="auto"/>
            <w:vAlign w:val="center"/>
            <w:hideMark/>
          </w:tcPr>
          <w:p w14:paraId="31F26BC2"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MYE</w:t>
            </w:r>
          </w:p>
        </w:tc>
        <w:tc>
          <w:tcPr>
            <w:tcW w:w="1220" w:type="dxa"/>
            <w:tcBorders>
              <w:top w:val="nil"/>
              <w:left w:val="nil"/>
              <w:bottom w:val="single" w:sz="4" w:space="0" w:color="auto"/>
              <w:right w:val="single" w:sz="4" w:space="0" w:color="auto"/>
            </w:tcBorders>
            <w:shd w:val="clear" w:color="auto" w:fill="auto"/>
            <w:vAlign w:val="center"/>
            <w:hideMark/>
          </w:tcPr>
          <w:p w14:paraId="3C1CD1AD"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53,107,200</w:t>
            </w:r>
          </w:p>
        </w:tc>
        <w:tc>
          <w:tcPr>
            <w:tcW w:w="1220" w:type="dxa"/>
            <w:tcBorders>
              <w:top w:val="nil"/>
              <w:left w:val="nil"/>
              <w:bottom w:val="single" w:sz="4" w:space="0" w:color="auto"/>
              <w:right w:val="single" w:sz="4" w:space="0" w:color="auto"/>
            </w:tcBorders>
            <w:shd w:val="clear" w:color="auto" w:fill="auto"/>
            <w:vAlign w:val="center"/>
            <w:hideMark/>
          </w:tcPr>
          <w:p w14:paraId="38A4AD22"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56,550,160</w:t>
            </w:r>
          </w:p>
        </w:tc>
        <w:tc>
          <w:tcPr>
            <w:tcW w:w="1320" w:type="dxa"/>
            <w:tcBorders>
              <w:top w:val="nil"/>
              <w:left w:val="nil"/>
              <w:bottom w:val="single" w:sz="4" w:space="0" w:color="auto"/>
              <w:right w:val="single" w:sz="4" w:space="0" w:color="auto"/>
            </w:tcBorders>
            <w:shd w:val="clear" w:color="auto" w:fill="auto"/>
            <w:vAlign w:val="center"/>
            <w:hideMark/>
          </w:tcPr>
          <w:p w14:paraId="2092B3E4"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3,442,960</w:t>
            </w:r>
          </w:p>
        </w:tc>
        <w:tc>
          <w:tcPr>
            <w:tcW w:w="960" w:type="dxa"/>
            <w:tcBorders>
              <w:top w:val="nil"/>
              <w:left w:val="nil"/>
              <w:bottom w:val="single" w:sz="4" w:space="0" w:color="auto"/>
              <w:right w:val="single" w:sz="4" w:space="0" w:color="auto"/>
            </w:tcBorders>
            <w:shd w:val="clear" w:color="auto" w:fill="auto"/>
            <w:vAlign w:val="center"/>
            <w:hideMark/>
          </w:tcPr>
          <w:p w14:paraId="370BF0B2"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6.50%</w:t>
            </w:r>
          </w:p>
        </w:tc>
      </w:tr>
      <w:tr w:rsidR="008C3225" w:rsidRPr="008C3225" w14:paraId="37463BC0" w14:textId="77777777" w:rsidTr="008C3225">
        <w:trPr>
          <w:trHeight w:val="300"/>
        </w:trPr>
        <w:tc>
          <w:tcPr>
            <w:tcW w:w="1240" w:type="dxa"/>
            <w:vMerge/>
            <w:tcBorders>
              <w:top w:val="nil"/>
              <w:left w:val="single" w:sz="4" w:space="0" w:color="auto"/>
              <w:bottom w:val="single" w:sz="4" w:space="0" w:color="auto"/>
              <w:right w:val="single" w:sz="4" w:space="0" w:color="auto"/>
            </w:tcBorders>
            <w:vAlign w:val="center"/>
            <w:hideMark/>
          </w:tcPr>
          <w:p w14:paraId="6B770C7F" w14:textId="77777777" w:rsidR="008C3225" w:rsidRPr="008C3225" w:rsidRDefault="008C3225" w:rsidP="008C3225">
            <w:pPr>
              <w:spacing w:after="0" w:line="240" w:lineRule="auto"/>
              <w:jc w:val="left"/>
              <w:rPr>
                <w:rFonts w:ascii="Arial" w:hAnsi="Arial" w:cs="Arial"/>
                <w:color w:val="000000"/>
              </w:rPr>
            </w:pPr>
          </w:p>
        </w:tc>
        <w:tc>
          <w:tcPr>
            <w:tcW w:w="1780" w:type="dxa"/>
            <w:tcBorders>
              <w:top w:val="nil"/>
              <w:left w:val="nil"/>
              <w:bottom w:val="single" w:sz="4" w:space="0" w:color="auto"/>
              <w:right w:val="single" w:sz="4" w:space="0" w:color="auto"/>
            </w:tcBorders>
            <w:shd w:val="clear" w:color="auto" w:fill="auto"/>
            <w:vAlign w:val="center"/>
            <w:hideMark/>
          </w:tcPr>
          <w:p w14:paraId="512744F1"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Patient Register</w:t>
            </w:r>
          </w:p>
        </w:tc>
        <w:tc>
          <w:tcPr>
            <w:tcW w:w="1220" w:type="dxa"/>
            <w:tcBorders>
              <w:top w:val="nil"/>
              <w:left w:val="nil"/>
              <w:bottom w:val="single" w:sz="4" w:space="0" w:color="auto"/>
              <w:right w:val="single" w:sz="4" w:space="0" w:color="auto"/>
            </w:tcBorders>
            <w:shd w:val="clear" w:color="auto" w:fill="auto"/>
            <w:vAlign w:val="center"/>
            <w:hideMark/>
          </w:tcPr>
          <w:p w14:paraId="6A8CC576"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55,312,750</w:t>
            </w:r>
          </w:p>
        </w:tc>
        <w:tc>
          <w:tcPr>
            <w:tcW w:w="1220" w:type="dxa"/>
            <w:tcBorders>
              <w:top w:val="nil"/>
              <w:left w:val="nil"/>
              <w:bottom w:val="single" w:sz="4" w:space="0" w:color="auto"/>
              <w:right w:val="single" w:sz="4" w:space="0" w:color="auto"/>
            </w:tcBorders>
            <w:shd w:val="clear" w:color="auto" w:fill="auto"/>
            <w:vAlign w:val="center"/>
            <w:hideMark/>
          </w:tcPr>
          <w:p w14:paraId="35803FFF"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60,870,990</w:t>
            </w:r>
          </w:p>
        </w:tc>
        <w:tc>
          <w:tcPr>
            <w:tcW w:w="1320" w:type="dxa"/>
            <w:tcBorders>
              <w:top w:val="nil"/>
              <w:left w:val="nil"/>
              <w:bottom w:val="single" w:sz="4" w:space="0" w:color="auto"/>
              <w:right w:val="single" w:sz="4" w:space="0" w:color="auto"/>
            </w:tcBorders>
            <w:shd w:val="clear" w:color="auto" w:fill="auto"/>
            <w:vAlign w:val="center"/>
            <w:hideMark/>
          </w:tcPr>
          <w:p w14:paraId="1423E458"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5,558,240</w:t>
            </w:r>
          </w:p>
        </w:tc>
        <w:tc>
          <w:tcPr>
            <w:tcW w:w="960" w:type="dxa"/>
            <w:tcBorders>
              <w:top w:val="nil"/>
              <w:left w:val="nil"/>
              <w:bottom w:val="single" w:sz="4" w:space="0" w:color="auto"/>
              <w:right w:val="single" w:sz="4" w:space="0" w:color="auto"/>
            </w:tcBorders>
            <w:shd w:val="clear" w:color="auto" w:fill="auto"/>
            <w:vAlign w:val="center"/>
            <w:hideMark/>
          </w:tcPr>
          <w:p w14:paraId="3FFBBB1E"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10.00%</w:t>
            </w:r>
          </w:p>
        </w:tc>
      </w:tr>
    </w:tbl>
    <w:p w14:paraId="05E05E1F" w14:textId="77777777" w:rsidR="00360825" w:rsidRPr="00DE1AA1" w:rsidRDefault="00360825" w:rsidP="00360825">
      <w:pPr>
        <w:widowControl w:val="0"/>
        <w:spacing w:line="300" w:lineRule="auto"/>
        <w:rPr>
          <w:rFonts w:ascii="Arial" w:eastAsia="MS PGothic" w:hAnsi="Arial" w:cs="Arial"/>
          <w:bCs/>
          <w:i/>
          <w:iCs/>
          <w:sz w:val="16"/>
          <w:szCs w:val="16"/>
        </w:rPr>
      </w:pPr>
      <w:r w:rsidRPr="00DE1AA1">
        <w:rPr>
          <w:rFonts w:ascii="Arial" w:eastAsia="MS PGothic" w:hAnsi="Arial" w:cs="Arial"/>
          <w:bCs/>
          <w:i/>
          <w:iCs/>
          <w:sz w:val="16"/>
          <w:szCs w:val="16"/>
        </w:rPr>
        <w:t>Source: ONS</w:t>
      </w:r>
    </w:p>
    <w:p w14:paraId="0B87803D" w14:textId="77777777" w:rsidR="00360825" w:rsidRPr="00D556DB" w:rsidRDefault="00360825" w:rsidP="00360825">
      <w:pPr>
        <w:pStyle w:val="Heading2"/>
        <w:rPr>
          <w:rFonts w:ascii="Arial" w:eastAsia="MS PGothic" w:hAnsi="Arial" w:cs="Arial"/>
        </w:rPr>
      </w:pPr>
      <w:r w:rsidRPr="00D556DB">
        <w:rPr>
          <w:rFonts w:ascii="Arial" w:hAnsi="Arial" w:cs="Arial"/>
        </w:rPr>
        <w:t>2018-based Subnational Population Projections (SNPP)</w:t>
      </w:r>
    </w:p>
    <w:p w14:paraId="684F67BE"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latest (2018-based) set of subnational population projections (SNPP) were published by ONS in March 2020 (replacing a 2016-based release). The projections provide </w:t>
      </w:r>
      <w:r w:rsidRPr="00DE1AA1">
        <w:rPr>
          <w:rFonts w:ascii="Arial" w:eastAsia="MS PGothic" w:hAnsi="Arial" w:cs="Arial"/>
          <w:bCs/>
          <w:lang w:eastAsia="ja-JP"/>
        </w:rPr>
        <w:t>estimates</w:t>
      </w:r>
      <w:r w:rsidRPr="00D556DB">
        <w:rPr>
          <w:rFonts w:ascii="Arial" w:hAnsi="Arial" w:cs="Arial"/>
        </w:rPr>
        <w:t xml:space="preserve"> of the future population of local authorities, assuming a continuation of recent local trends in fertility, mortality and migration which are constrained to the assumptions made for the 2018-based national population projections.</w:t>
      </w:r>
    </w:p>
    <w:p w14:paraId="494BDE1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 xml:space="preserve">The 2018-based SNPP contain a number of assumptions that have been changed from the </w:t>
      </w:r>
      <w:r w:rsidRPr="00DE1AA1">
        <w:rPr>
          <w:rFonts w:ascii="Arial" w:eastAsia="MS PGothic" w:hAnsi="Arial" w:cs="Arial"/>
          <w:bCs/>
          <w:lang w:eastAsia="ja-JP"/>
        </w:rPr>
        <w:t>2016</w:t>
      </w:r>
      <w:r w:rsidRPr="00D556DB">
        <w:rPr>
          <w:rFonts w:ascii="Arial" w:hAnsi="Arial" w:cs="Arial"/>
        </w:rPr>
        <w:t>-based version, these assumptions essentially filtering down from changes made at a national level. The key differences are:</w:t>
      </w:r>
    </w:p>
    <w:p w14:paraId="7E93A158"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rPr>
        <w:t>ONS’ long-term international migration assumptions have been revised upwards to 190,000 per annum compared to 165,000 in the 2016-based projections. This is based on a 25-year average;</w:t>
      </w:r>
    </w:p>
    <w:p w14:paraId="00A1A562"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rPr>
        <w:t>The latest projections assume that women will have fewer children, with the average number of children per woman expected to be 1.78 compared to 1.84 in the 2016-based projections; and</w:t>
      </w:r>
    </w:p>
    <w:p w14:paraId="5452502E"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color w:val="323132"/>
          <w:shd w:val="clear" w:color="auto" w:fill="FFFFFF"/>
        </w:rPr>
        <w:t>Life expectancy increases are less than in the 2016-based projections as a consequence of the continued limited growth in life expectancy over the last two years</w:t>
      </w:r>
      <w:r w:rsidRPr="00DE1AA1">
        <w:rPr>
          <w:rFonts w:ascii="Arial" w:hAnsi="Arial" w:cs="Arial"/>
        </w:rPr>
        <w:t>.</w:t>
      </w:r>
    </w:p>
    <w:p w14:paraId="74DADBA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As well as providing a principal projection, ONS has developed a number of variants. </w:t>
      </w:r>
      <w:r w:rsidRPr="00D556DB">
        <w:rPr>
          <w:rFonts w:ascii="Arial" w:hAnsi="Arial" w:cs="Arial"/>
          <w:color w:val="323132"/>
        </w:rPr>
        <w:t xml:space="preserve">In all cases </w:t>
      </w:r>
      <w:r w:rsidRPr="00DE1AA1">
        <w:rPr>
          <w:rFonts w:ascii="Arial" w:eastAsia="MS PGothic" w:hAnsi="Arial" w:cs="Arial"/>
          <w:bCs/>
          <w:lang w:eastAsia="ja-JP"/>
        </w:rPr>
        <w:t>the</w:t>
      </w:r>
      <w:r w:rsidRPr="00D556DB">
        <w:rPr>
          <w:rFonts w:ascii="Arial" w:hAnsi="Arial" w:cs="Arial"/>
          <w:color w:val="323132"/>
        </w:rPr>
        <w:t xml:space="preserve"> </w:t>
      </w:r>
      <w:r w:rsidRPr="00D556DB">
        <w:rPr>
          <w:rFonts w:ascii="Arial" w:hAnsi="Arial" w:cs="Arial"/>
        </w:rPr>
        <w:t>projections use the same fertility and mortality rates with differences being applied in relation to migration. The key variants in terms of this assessment can be described as:</w:t>
      </w:r>
    </w:p>
    <w:p w14:paraId="0B29DDBB"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rPr>
        <w:t>Principal projection;</w:t>
      </w:r>
    </w:p>
    <w:p w14:paraId="602C01CF"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rPr>
        <w:t>An alternative internal migration variant; and</w:t>
      </w:r>
    </w:p>
    <w:p w14:paraId="134E48DB"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rPr>
        <w:t>A 10-year migration variant</w:t>
      </w:r>
    </w:p>
    <w:p w14:paraId="3D4DA73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color w:val="323132"/>
        </w:rPr>
        <w:t>In the principal projection, data about internal (domestic) migration uses data for the past 2-years and data about international migration from the past 5-years. The use of 2-</w:t>
      </w:r>
      <w:r w:rsidRPr="00DE1AA1">
        <w:rPr>
          <w:rFonts w:ascii="Arial" w:eastAsia="MS PGothic" w:hAnsi="Arial" w:cs="Arial"/>
          <w:bCs/>
          <w:lang w:eastAsia="ja-JP"/>
        </w:rPr>
        <w:t>years</w:t>
      </w:r>
      <w:r w:rsidRPr="00D556DB">
        <w:rPr>
          <w:rFonts w:ascii="Arial" w:hAnsi="Arial" w:cs="Arial"/>
          <w:color w:val="323132"/>
        </w:rPr>
        <w:t xml:space="preserve"> data for internal migration has been driven by ONS changing their methodology for recording internal moves, with this data being available from 2016 only.</w:t>
      </w:r>
    </w:p>
    <w:p w14:paraId="6713CE0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color w:val="323132"/>
        </w:rPr>
        <w:t xml:space="preserve">The alternative internal migration variant uses data about migration from the last 5-years (2013-18), as well as also using 5-years of data for international migration. This variant is closest to replicating </w:t>
      </w:r>
      <w:r w:rsidRPr="00D556DB">
        <w:rPr>
          <w:rFonts w:ascii="Arial" w:hAnsi="Arial" w:cs="Arial"/>
        </w:rPr>
        <w:t>the methodology used in the 2016-based SNPP although it does mean for internal migration that data used is collected on a slightly different basis.</w:t>
      </w:r>
    </w:p>
    <w:p w14:paraId="7DD3CA7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10-year migration variant (as the name implies) uses data about trends in migration over the past decade (2008-18). This time period is used for both internal and international migration.</w:t>
      </w:r>
    </w:p>
    <w:p w14:paraId="410B34F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table below shows the outputs from each of these three variant scenarios along with comparisons from the 2016- and 2014-based SNPP. This shows that the 2018-based principal projection shows projected population growth of 9.</w:t>
      </w:r>
      <w:r>
        <w:rPr>
          <w:rFonts w:ascii="Arial" w:hAnsi="Arial" w:cs="Arial"/>
        </w:rPr>
        <w:t>4</w:t>
      </w:r>
      <w:r w:rsidRPr="00D556DB">
        <w:rPr>
          <w:rFonts w:ascii="Arial" w:hAnsi="Arial" w:cs="Arial"/>
        </w:rPr>
        <w:t>%, with the alternative internal migration scenario being slightly lower than this (</w:t>
      </w:r>
      <w:r>
        <w:rPr>
          <w:rFonts w:ascii="Arial" w:hAnsi="Arial" w:cs="Arial"/>
        </w:rPr>
        <w:t>9.2</w:t>
      </w:r>
      <w:r w:rsidRPr="00D556DB">
        <w:rPr>
          <w:rFonts w:ascii="Arial" w:hAnsi="Arial" w:cs="Arial"/>
        </w:rPr>
        <w:t xml:space="preserve">%) – the 10-year trend variant shows slightly lower growth again (at </w:t>
      </w:r>
      <w:r w:rsidRPr="00D556DB">
        <w:rPr>
          <w:rFonts w:ascii="Arial" w:hAnsi="Arial" w:cs="Arial"/>
        </w:rPr>
        <w:lastRenderedPageBreak/>
        <w:t>8.</w:t>
      </w:r>
      <w:r>
        <w:rPr>
          <w:rFonts w:ascii="Arial" w:hAnsi="Arial" w:cs="Arial"/>
        </w:rPr>
        <w:t>7</w:t>
      </w:r>
      <w:r w:rsidRPr="00D556DB">
        <w:rPr>
          <w:rFonts w:ascii="Arial" w:hAnsi="Arial" w:cs="Arial"/>
        </w:rPr>
        <w:t>%). Population growth in both the 2014- and 2016-based projections is slightly higher than the 2018-based figures although difference between the releases is not substantial. The comparison with the 2014-</w:t>
      </w:r>
      <w:r w:rsidRPr="008118F7">
        <w:rPr>
          <w:rFonts w:ascii="Arial" w:eastAsia="MS PGothic" w:hAnsi="Arial" w:cs="Arial"/>
          <w:bCs/>
          <w:lang w:eastAsia="ja-JP"/>
        </w:rPr>
        <w:t>based</w:t>
      </w:r>
      <w:r w:rsidRPr="00D556DB">
        <w:rPr>
          <w:rFonts w:ascii="Arial" w:hAnsi="Arial" w:cs="Arial"/>
        </w:rPr>
        <w:t xml:space="preserve"> SNPP is particularly important as it underpins the 2014-based SNHP which is used in the Standard Method).</w:t>
      </w:r>
    </w:p>
    <w:p w14:paraId="65FB9369" w14:textId="77777777" w:rsidR="00360825" w:rsidRPr="00D556DB" w:rsidRDefault="00360825" w:rsidP="001A7584">
      <w:pPr>
        <w:pStyle w:val="Heading4"/>
        <w:ind w:firstLine="0"/>
        <w:rPr>
          <w:rFonts w:eastAsiaTheme="majorEastAsia"/>
        </w:rPr>
      </w:pPr>
      <w:r w:rsidRPr="00D556DB">
        <w:t xml:space="preserve">Projected </w:t>
      </w:r>
      <w:r w:rsidRPr="00D556DB">
        <w:rPr>
          <w:rFonts w:eastAsia="MS PGothic"/>
        </w:rPr>
        <w:t>population</w:t>
      </w:r>
      <w:r w:rsidRPr="00D556DB">
        <w:t xml:space="preserve"> growth (2021-2039) – Chichester District– range of SNPP releases</w:t>
      </w:r>
    </w:p>
    <w:tbl>
      <w:tblPr>
        <w:tblStyle w:val="TableGridLight1"/>
        <w:tblW w:w="5000" w:type="pct"/>
        <w:tblInd w:w="-5" w:type="dxa"/>
        <w:tblLayout w:type="fixed"/>
        <w:tblLook w:val="04A0" w:firstRow="1" w:lastRow="0" w:firstColumn="1" w:lastColumn="0" w:noHBand="0" w:noVBand="1"/>
      </w:tblPr>
      <w:tblGrid>
        <w:gridCol w:w="2462"/>
        <w:gridCol w:w="1578"/>
        <w:gridCol w:w="1579"/>
        <w:gridCol w:w="1579"/>
        <w:gridCol w:w="1579"/>
      </w:tblGrid>
      <w:tr w:rsidR="00360825" w:rsidRPr="008118F7" w14:paraId="70E7808F" w14:textId="77777777" w:rsidTr="00C04569">
        <w:tc>
          <w:tcPr>
            <w:tcW w:w="2462" w:type="dxa"/>
            <w:tcBorders>
              <w:top w:val="single" w:sz="4" w:space="0" w:color="auto"/>
              <w:left w:val="single" w:sz="4" w:space="0" w:color="auto"/>
              <w:bottom w:val="single" w:sz="4" w:space="0" w:color="auto"/>
              <w:right w:val="single" w:sz="4" w:space="0" w:color="auto"/>
            </w:tcBorders>
            <w:shd w:val="clear" w:color="auto" w:fill="002060"/>
          </w:tcPr>
          <w:p w14:paraId="7F531F5F" w14:textId="77777777" w:rsidR="00360825" w:rsidRPr="00D556DB" w:rsidRDefault="00360825" w:rsidP="00C04569">
            <w:pPr>
              <w:keepNext/>
              <w:spacing w:after="0" w:line="300" w:lineRule="auto"/>
              <w:jc w:val="left"/>
              <w:rPr>
                <w:rFonts w:ascii="Arial" w:hAnsi="Arial" w:cs="Arial"/>
              </w:rPr>
            </w:pPr>
          </w:p>
        </w:tc>
        <w:tc>
          <w:tcPr>
            <w:tcW w:w="1578" w:type="dxa"/>
            <w:tcBorders>
              <w:top w:val="single" w:sz="4" w:space="0" w:color="auto"/>
              <w:left w:val="single" w:sz="4" w:space="0" w:color="auto"/>
              <w:bottom w:val="single" w:sz="4" w:space="0" w:color="auto"/>
              <w:right w:val="single" w:sz="4" w:space="0" w:color="auto"/>
            </w:tcBorders>
            <w:shd w:val="clear" w:color="auto" w:fill="002060"/>
            <w:hideMark/>
          </w:tcPr>
          <w:p w14:paraId="32E785DC"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579" w:type="dxa"/>
            <w:tcBorders>
              <w:top w:val="single" w:sz="4" w:space="0" w:color="auto"/>
              <w:left w:val="single" w:sz="4" w:space="0" w:color="auto"/>
              <w:bottom w:val="single" w:sz="4" w:space="0" w:color="auto"/>
              <w:right w:val="single" w:sz="4" w:space="0" w:color="auto"/>
            </w:tcBorders>
            <w:shd w:val="clear" w:color="auto" w:fill="002060"/>
            <w:hideMark/>
          </w:tcPr>
          <w:p w14:paraId="7707169F" w14:textId="614833FE"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w:t>
            </w:r>
            <w:r w:rsidR="00892BCF">
              <w:rPr>
                <w:rFonts w:ascii="Arial" w:hAnsi="Arial" w:cs="Arial"/>
              </w:rPr>
              <w:t>9</w:t>
            </w:r>
          </w:p>
        </w:tc>
        <w:tc>
          <w:tcPr>
            <w:tcW w:w="1579" w:type="dxa"/>
            <w:tcBorders>
              <w:top w:val="single" w:sz="4" w:space="0" w:color="auto"/>
              <w:left w:val="single" w:sz="4" w:space="0" w:color="auto"/>
              <w:bottom w:val="single" w:sz="4" w:space="0" w:color="auto"/>
              <w:right w:val="single" w:sz="4" w:space="0" w:color="auto"/>
            </w:tcBorders>
            <w:shd w:val="clear" w:color="auto" w:fill="002060"/>
            <w:hideMark/>
          </w:tcPr>
          <w:p w14:paraId="65FBB976"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579" w:type="dxa"/>
            <w:tcBorders>
              <w:top w:val="single" w:sz="4" w:space="0" w:color="auto"/>
              <w:left w:val="single" w:sz="4" w:space="0" w:color="auto"/>
              <w:bottom w:val="single" w:sz="4" w:space="0" w:color="auto"/>
              <w:right w:val="single" w:sz="4" w:space="0" w:color="auto"/>
            </w:tcBorders>
            <w:shd w:val="clear" w:color="auto" w:fill="002060"/>
            <w:hideMark/>
          </w:tcPr>
          <w:p w14:paraId="0506CCB2"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w:t>
            </w:r>
          </w:p>
        </w:tc>
      </w:tr>
      <w:tr w:rsidR="00360825" w:rsidRPr="008118F7" w14:paraId="5DB4D872" w14:textId="77777777" w:rsidTr="00C04569">
        <w:tc>
          <w:tcPr>
            <w:tcW w:w="2462" w:type="dxa"/>
            <w:tcBorders>
              <w:top w:val="single" w:sz="4" w:space="0" w:color="auto"/>
              <w:left w:val="single" w:sz="4" w:space="0" w:color="auto"/>
              <w:bottom w:val="single" w:sz="4" w:space="0" w:color="auto"/>
              <w:right w:val="single" w:sz="4" w:space="0" w:color="auto"/>
            </w:tcBorders>
            <w:hideMark/>
          </w:tcPr>
          <w:p w14:paraId="7C3BDB1E" w14:textId="77777777" w:rsidR="00360825" w:rsidRPr="00D556DB" w:rsidRDefault="00360825" w:rsidP="00C04569">
            <w:pPr>
              <w:keepNext/>
              <w:spacing w:after="0" w:line="300" w:lineRule="auto"/>
              <w:rPr>
                <w:rFonts w:ascii="Arial" w:hAnsi="Arial" w:cs="Arial"/>
              </w:rPr>
            </w:pPr>
            <w:r w:rsidRPr="00D556DB">
              <w:rPr>
                <w:rFonts w:ascii="Arial" w:hAnsi="Arial" w:cs="Arial"/>
              </w:rPr>
              <w:t>2018 (principal)</w:t>
            </w:r>
          </w:p>
        </w:tc>
        <w:tc>
          <w:tcPr>
            <w:tcW w:w="1578" w:type="dxa"/>
            <w:tcBorders>
              <w:top w:val="single" w:sz="4" w:space="0" w:color="auto"/>
              <w:left w:val="single" w:sz="4" w:space="0" w:color="auto"/>
              <w:bottom w:val="single" w:sz="4" w:space="0" w:color="auto"/>
              <w:right w:val="single" w:sz="4" w:space="0" w:color="auto"/>
            </w:tcBorders>
            <w:vAlign w:val="bottom"/>
            <w:hideMark/>
          </w:tcPr>
          <w:p w14:paraId="1F5200C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123,463</w:t>
            </w:r>
          </w:p>
        </w:tc>
        <w:tc>
          <w:tcPr>
            <w:tcW w:w="1579" w:type="dxa"/>
            <w:tcBorders>
              <w:top w:val="single" w:sz="4" w:space="0" w:color="auto"/>
              <w:left w:val="single" w:sz="4" w:space="0" w:color="auto"/>
              <w:bottom w:val="single" w:sz="4" w:space="0" w:color="auto"/>
              <w:right w:val="single" w:sz="4" w:space="0" w:color="auto"/>
            </w:tcBorders>
            <w:vAlign w:val="bottom"/>
            <w:hideMark/>
          </w:tcPr>
          <w:p w14:paraId="27F4243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135,093</w:t>
            </w:r>
          </w:p>
        </w:tc>
        <w:tc>
          <w:tcPr>
            <w:tcW w:w="1579" w:type="dxa"/>
            <w:tcBorders>
              <w:top w:val="single" w:sz="4" w:space="0" w:color="auto"/>
              <w:left w:val="single" w:sz="4" w:space="0" w:color="auto"/>
              <w:bottom w:val="single" w:sz="4" w:space="0" w:color="auto"/>
              <w:right w:val="single" w:sz="4" w:space="0" w:color="auto"/>
            </w:tcBorders>
            <w:vAlign w:val="bottom"/>
            <w:hideMark/>
          </w:tcPr>
          <w:p w14:paraId="5C1E109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11,631</w:t>
            </w:r>
          </w:p>
        </w:tc>
        <w:tc>
          <w:tcPr>
            <w:tcW w:w="1579" w:type="dxa"/>
            <w:tcBorders>
              <w:top w:val="single" w:sz="4" w:space="0" w:color="auto"/>
              <w:left w:val="single" w:sz="4" w:space="0" w:color="auto"/>
              <w:bottom w:val="single" w:sz="4" w:space="0" w:color="auto"/>
              <w:right w:val="single" w:sz="4" w:space="0" w:color="auto"/>
            </w:tcBorders>
            <w:vAlign w:val="bottom"/>
            <w:hideMark/>
          </w:tcPr>
          <w:p w14:paraId="087077E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9.4%</w:t>
            </w:r>
          </w:p>
        </w:tc>
      </w:tr>
      <w:tr w:rsidR="00360825" w:rsidRPr="008118F7" w14:paraId="7045AAE1" w14:textId="77777777" w:rsidTr="00C04569">
        <w:tc>
          <w:tcPr>
            <w:tcW w:w="2462" w:type="dxa"/>
            <w:tcBorders>
              <w:top w:val="single" w:sz="4" w:space="0" w:color="auto"/>
              <w:left w:val="single" w:sz="4" w:space="0" w:color="auto"/>
              <w:bottom w:val="single" w:sz="4" w:space="0" w:color="auto"/>
              <w:right w:val="single" w:sz="4" w:space="0" w:color="auto"/>
            </w:tcBorders>
            <w:hideMark/>
          </w:tcPr>
          <w:p w14:paraId="7DE06D18" w14:textId="77777777" w:rsidR="00360825" w:rsidRPr="00D556DB" w:rsidRDefault="00360825" w:rsidP="00C04569">
            <w:pPr>
              <w:keepNext/>
              <w:spacing w:after="0" w:line="300" w:lineRule="auto"/>
              <w:rPr>
                <w:rFonts w:ascii="Arial" w:hAnsi="Arial" w:cs="Arial"/>
              </w:rPr>
            </w:pPr>
            <w:r w:rsidRPr="00D556DB">
              <w:rPr>
                <w:rFonts w:ascii="Arial" w:hAnsi="Arial" w:cs="Arial"/>
              </w:rPr>
              <w:t>2018 (alternative internal)</w:t>
            </w:r>
          </w:p>
        </w:tc>
        <w:tc>
          <w:tcPr>
            <w:tcW w:w="1578" w:type="dxa"/>
            <w:tcBorders>
              <w:top w:val="single" w:sz="4" w:space="0" w:color="auto"/>
              <w:left w:val="single" w:sz="4" w:space="0" w:color="auto"/>
              <w:bottom w:val="single" w:sz="4" w:space="0" w:color="auto"/>
              <w:right w:val="single" w:sz="4" w:space="0" w:color="auto"/>
            </w:tcBorders>
            <w:vAlign w:val="bottom"/>
            <w:hideMark/>
          </w:tcPr>
          <w:p w14:paraId="25C6303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123,475</w:t>
            </w:r>
          </w:p>
        </w:tc>
        <w:tc>
          <w:tcPr>
            <w:tcW w:w="1579" w:type="dxa"/>
            <w:tcBorders>
              <w:top w:val="single" w:sz="4" w:space="0" w:color="auto"/>
              <w:left w:val="single" w:sz="4" w:space="0" w:color="auto"/>
              <w:bottom w:val="single" w:sz="4" w:space="0" w:color="auto"/>
              <w:right w:val="single" w:sz="4" w:space="0" w:color="auto"/>
            </w:tcBorders>
            <w:vAlign w:val="bottom"/>
            <w:hideMark/>
          </w:tcPr>
          <w:p w14:paraId="3F33DF6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134,813</w:t>
            </w:r>
          </w:p>
        </w:tc>
        <w:tc>
          <w:tcPr>
            <w:tcW w:w="1579" w:type="dxa"/>
            <w:tcBorders>
              <w:top w:val="single" w:sz="4" w:space="0" w:color="auto"/>
              <w:left w:val="single" w:sz="4" w:space="0" w:color="auto"/>
              <w:bottom w:val="single" w:sz="4" w:space="0" w:color="auto"/>
              <w:right w:val="single" w:sz="4" w:space="0" w:color="auto"/>
            </w:tcBorders>
            <w:vAlign w:val="bottom"/>
            <w:hideMark/>
          </w:tcPr>
          <w:p w14:paraId="440D77A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11,339</w:t>
            </w:r>
          </w:p>
        </w:tc>
        <w:tc>
          <w:tcPr>
            <w:tcW w:w="1579" w:type="dxa"/>
            <w:tcBorders>
              <w:top w:val="single" w:sz="4" w:space="0" w:color="auto"/>
              <w:left w:val="single" w:sz="4" w:space="0" w:color="auto"/>
              <w:bottom w:val="single" w:sz="4" w:space="0" w:color="auto"/>
              <w:right w:val="single" w:sz="4" w:space="0" w:color="auto"/>
            </w:tcBorders>
            <w:vAlign w:val="bottom"/>
            <w:hideMark/>
          </w:tcPr>
          <w:p w14:paraId="53B5608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9.2%</w:t>
            </w:r>
          </w:p>
        </w:tc>
      </w:tr>
      <w:tr w:rsidR="00360825" w:rsidRPr="008118F7" w14:paraId="5574A0DC" w14:textId="77777777" w:rsidTr="00C04569">
        <w:tc>
          <w:tcPr>
            <w:tcW w:w="2462" w:type="dxa"/>
            <w:tcBorders>
              <w:top w:val="single" w:sz="4" w:space="0" w:color="auto"/>
              <w:left w:val="single" w:sz="4" w:space="0" w:color="auto"/>
              <w:bottom w:val="single" w:sz="4" w:space="0" w:color="auto"/>
              <w:right w:val="single" w:sz="4" w:space="0" w:color="auto"/>
            </w:tcBorders>
            <w:hideMark/>
          </w:tcPr>
          <w:p w14:paraId="3BB979A4" w14:textId="77777777" w:rsidR="00360825" w:rsidRPr="00D556DB" w:rsidRDefault="00360825" w:rsidP="00C04569">
            <w:pPr>
              <w:keepNext/>
              <w:spacing w:after="0" w:line="300" w:lineRule="auto"/>
              <w:rPr>
                <w:rFonts w:ascii="Arial" w:hAnsi="Arial" w:cs="Arial"/>
              </w:rPr>
            </w:pPr>
            <w:r w:rsidRPr="00D556DB">
              <w:rPr>
                <w:rFonts w:ascii="Arial" w:hAnsi="Arial" w:cs="Arial"/>
              </w:rPr>
              <w:t>2018 (10-year trend)</w:t>
            </w:r>
          </w:p>
        </w:tc>
        <w:tc>
          <w:tcPr>
            <w:tcW w:w="1578" w:type="dxa"/>
            <w:tcBorders>
              <w:top w:val="single" w:sz="4" w:space="0" w:color="auto"/>
              <w:left w:val="single" w:sz="4" w:space="0" w:color="auto"/>
              <w:bottom w:val="single" w:sz="4" w:space="0" w:color="auto"/>
              <w:right w:val="single" w:sz="4" w:space="0" w:color="auto"/>
            </w:tcBorders>
            <w:vAlign w:val="bottom"/>
            <w:hideMark/>
          </w:tcPr>
          <w:p w14:paraId="557C64D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123,322</w:t>
            </w:r>
          </w:p>
        </w:tc>
        <w:tc>
          <w:tcPr>
            <w:tcW w:w="1579" w:type="dxa"/>
            <w:tcBorders>
              <w:top w:val="single" w:sz="4" w:space="0" w:color="auto"/>
              <w:left w:val="single" w:sz="4" w:space="0" w:color="auto"/>
              <w:bottom w:val="single" w:sz="4" w:space="0" w:color="auto"/>
              <w:right w:val="single" w:sz="4" w:space="0" w:color="auto"/>
            </w:tcBorders>
            <w:vAlign w:val="bottom"/>
            <w:hideMark/>
          </w:tcPr>
          <w:p w14:paraId="2034706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134,102</w:t>
            </w:r>
          </w:p>
        </w:tc>
        <w:tc>
          <w:tcPr>
            <w:tcW w:w="1579" w:type="dxa"/>
            <w:tcBorders>
              <w:top w:val="single" w:sz="4" w:space="0" w:color="auto"/>
              <w:left w:val="single" w:sz="4" w:space="0" w:color="auto"/>
              <w:bottom w:val="single" w:sz="4" w:space="0" w:color="auto"/>
              <w:right w:val="single" w:sz="4" w:space="0" w:color="auto"/>
            </w:tcBorders>
            <w:vAlign w:val="bottom"/>
            <w:hideMark/>
          </w:tcPr>
          <w:p w14:paraId="16C90E6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10,780</w:t>
            </w:r>
          </w:p>
        </w:tc>
        <w:tc>
          <w:tcPr>
            <w:tcW w:w="1579" w:type="dxa"/>
            <w:tcBorders>
              <w:top w:val="single" w:sz="4" w:space="0" w:color="auto"/>
              <w:left w:val="single" w:sz="4" w:space="0" w:color="auto"/>
              <w:bottom w:val="single" w:sz="4" w:space="0" w:color="auto"/>
              <w:right w:val="single" w:sz="4" w:space="0" w:color="auto"/>
            </w:tcBorders>
            <w:vAlign w:val="bottom"/>
            <w:hideMark/>
          </w:tcPr>
          <w:p w14:paraId="3A39C62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8.7%</w:t>
            </w:r>
          </w:p>
        </w:tc>
      </w:tr>
      <w:tr w:rsidR="00360825" w:rsidRPr="008118F7" w14:paraId="5452AA1F" w14:textId="77777777" w:rsidTr="00C04569">
        <w:tc>
          <w:tcPr>
            <w:tcW w:w="2462" w:type="dxa"/>
            <w:tcBorders>
              <w:top w:val="single" w:sz="4" w:space="0" w:color="auto"/>
              <w:left w:val="single" w:sz="4" w:space="0" w:color="auto"/>
              <w:bottom w:val="single" w:sz="4" w:space="0" w:color="auto"/>
              <w:right w:val="single" w:sz="4" w:space="0" w:color="auto"/>
            </w:tcBorders>
            <w:hideMark/>
          </w:tcPr>
          <w:p w14:paraId="764C0311" w14:textId="77777777" w:rsidR="00360825" w:rsidRPr="00D556DB" w:rsidRDefault="00360825" w:rsidP="00C04569">
            <w:pPr>
              <w:keepNext/>
              <w:spacing w:after="0" w:line="300" w:lineRule="auto"/>
              <w:rPr>
                <w:rFonts w:ascii="Arial" w:hAnsi="Arial" w:cs="Arial"/>
              </w:rPr>
            </w:pPr>
            <w:r w:rsidRPr="00D556DB">
              <w:rPr>
                <w:rFonts w:ascii="Arial" w:hAnsi="Arial" w:cs="Arial"/>
              </w:rPr>
              <w:t>2016-based</w:t>
            </w:r>
          </w:p>
        </w:tc>
        <w:tc>
          <w:tcPr>
            <w:tcW w:w="1578" w:type="dxa"/>
            <w:tcBorders>
              <w:top w:val="single" w:sz="4" w:space="0" w:color="auto"/>
              <w:left w:val="single" w:sz="4" w:space="0" w:color="auto"/>
              <w:bottom w:val="single" w:sz="4" w:space="0" w:color="auto"/>
              <w:right w:val="single" w:sz="4" w:space="0" w:color="auto"/>
            </w:tcBorders>
            <w:vAlign w:val="bottom"/>
            <w:hideMark/>
          </w:tcPr>
          <w:p w14:paraId="5D1E99A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123,504</w:t>
            </w:r>
          </w:p>
        </w:tc>
        <w:tc>
          <w:tcPr>
            <w:tcW w:w="1579" w:type="dxa"/>
            <w:tcBorders>
              <w:top w:val="single" w:sz="4" w:space="0" w:color="auto"/>
              <w:left w:val="single" w:sz="4" w:space="0" w:color="auto"/>
              <w:bottom w:val="single" w:sz="4" w:space="0" w:color="auto"/>
              <w:right w:val="single" w:sz="4" w:space="0" w:color="auto"/>
            </w:tcBorders>
            <w:vAlign w:val="bottom"/>
            <w:hideMark/>
          </w:tcPr>
          <w:p w14:paraId="79F8E2C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136,316</w:t>
            </w:r>
          </w:p>
        </w:tc>
        <w:tc>
          <w:tcPr>
            <w:tcW w:w="1579" w:type="dxa"/>
            <w:tcBorders>
              <w:top w:val="single" w:sz="4" w:space="0" w:color="auto"/>
              <w:left w:val="single" w:sz="4" w:space="0" w:color="auto"/>
              <w:bottom w:val="single" w:sz="4" w:space="0" w:color="auto"/>
              <w:right w:val="single" w:sz="4" w:space="0" w:color="auto"/>
            </w:tcBorders>
            <w:vAlign w:val="bottom"/>
            <w:hideMark/>
          </w:tcPr>
          <w:p w14:paraId="5C218B1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12,812</w:t>
            </w:r>
          </w:p>
        </w:tc>
        <w:tc>
          <w:tcPr>
            <w:tcW w:w="1579" w:type="dxa"/>
            <w:tcBorders>
              <w:top w:val="single" w:sz="4" w:space="0" w:color="auto"/>
              <w:left w:val="single" w:sz="4" w:space="0" w:color="auto"/>
              <w:bottom w:val="single" w:sz="4" w:space="0" w:color="auto"/>
              <w:right w:val="single" w:sz="4" w:space="0" w:color="auto"/>
            </w:tcBorders>
            <w:vAlign w:val="bottom"/>
            <w:hideMark/>
          </w:tcPr>
          <w:p w14:paraId="0DE2E40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10.4%</w:t>
            </w:r>
          </w:p>
        </w:tc>
      </w:tr>
      <w:tr w:rsidR="00360825" w:rsidRPr="008118F7" w14:paraId="761AF6BB" w14:textId="77777777" w:rsidTr="00C04569">
        <w:tc>
          <w:tcPr>
            <w:tcW w:w="2462" w:type="dxa"/>
            <w:tcBorders>
              <w:top w:val="single" w:sz="4" w:space="0" w:color="auto"/>
              <w:left w:val="single" w:sz="4" w:space="0" w:color="auto"/>
              <w:bottom w:val="single" w:sz="4" w:space="0" w:color="auto"/>
              <w:right w:val="single" w:sz="4" w:space="0" w:color="auto"/>
            </w:tcBorders>
            <w:hideMark/>
          </w:tcPr>
          <w:p w14:paraId="02554F57" w14:textId="77777777" w:rsidR="00360825" w:rsidRPr="00D556DB" w:rsidRDefault="00360825" w:rsidP="00C04569">
            <w:pPr>
              <w:keepNext/>
              <w:spacing w:after="0" w:line="300" w:lineRule="auto"/>
              <w:rPr>
                <w:rFonts w:ascii="Arial" w:hAnsi="Arial" w:cs="Arial"/>
              </w:rPr>
            </w:pPr>
            <w:r w:rsidRPr="00D556DB">
              <w:rPr>
                <w:rFonts w:ascii="Arial" w:hAnsi="Arial" w:cs="Arial"/>
              </w:rPr>
              <w:t>2014-based</w:t>
            </w:r>
          </w:p>
        </w:tc>
        <w:tc>
          <w:tcPr>
            <w:tcW w:w="1578" w:type="dxa"/>
            <w:tcBorders>
              <w:top w:val="single" w:sz="4" w:space="0" w:color="auto"/>
              <w:left w:val="single" w:sz="4" w:space="0" w:color="auto"/>
              <w:bottom w:val="single" w:sz="4" w:space="0" w:color="auto"/>
              <w:right w:val="single" w:sz="4" w:space="0" w:color="auto"/>
            </w:tcBorders>
            <w:vAlign w:val="bottom"/>
            <w:hideMark/>
          </w:tcPr>
          <w:p w14:paraId="1DD17B8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121,253</w:t>
            </w:r>
          </w:p>
        </w:tc>
        <w:tc>
          <w:tcPr>
            <w:tcW w:w="1579" w:type="dxa"/>
            <w:tcBorders>
              <w:top w:val="single" w:sz="4" w:space="0" w:color="auto"/>
              <w:left w:val="single" w:sz="4" w:space="0" w:color="auto"/>
              <w:bottom w:val="single" w:sz="4" w:space="0" w:color="auto"/>
              <w:right w:val="single" w:sz="4" w:space="0" w:color="auto"/>
            </w:tcBorders>
            <w:vAlign w:val="bottom"/>
            <w:hideMark/>
          </w:tcPr>
          <w:p w14:paraId="087D738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135,207</w:t>
            </w:r>
          </w:p>
        </w:tc>
        <w:tc>
          <w:tcPr>
            <w:tcW w:w="1579" w:type="dxa"/>
            <w:tcBorders>
              <w:top w:val="single" w:sz="4" w:space="0" w:color="auto"/>
              <w:left w:val="single" w:sz="4" w:space="0" w:color="auto"/>
              <w:bottom w:val="single" w:sz="4" w:space="0" w:color="auto"/>
              <w:right w:val="single" w:sz="4" w:space="0" w:color="auto"/>
            </w:tcBorders>
            <w:vAlign w:val="bottom"/>
            <w:hideMark/>
          </w:tcPr>
          <w:p w14:paraId="4FC56EA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13,954</w:t>
            </w:r>
          </w:p>
        </w:tc>
        <w:tc>
          <w:tcPr>
            <w:tcW w:w="1579" w:type="dxa"/>
            <w:tcBorders>
              <w:top w:val="single" w:sz="4" w:space="0" w:color="auto"/>
              <w:left w:val="single" w:sz="4" w:space="0" w:color="auto"/>
              <w:bottom w:val="single" w:sz="4" w:space="0" w:color="auto"/>
              <w:right w:val="single" w:sz="4" w:space="0" w:color="auto"/>
            </w:tcBorders>
            <w:vAlign w:val="bottom"/>
            <w:hideMark/>
          </w:tcPr>
          <w:p w14:paraId="64323B5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11.5%</w:t>
            </w:r>
          </w:p>
        </w:tc>
      </w:tr>
    </w:tbl>
    <w:p w14:paraId="03784F63" w14:textId="77777777" w:rsidR="00360825" w:rsidRPr="00DE1AA1" w:rsidRDefault="00360825" w:rsidP="00360825">
      <w:pPr>
        <w:spacing w:line="300" w:lineRule="auto"/>
        <w:rPr>
          <w:rFonts w:ascii="Arial" w:hAnsi="Arial" w:cs="Arial"/>
          <w:i/>
          <w:iCs/>
          <w:sz w:val="16"/>
          <w:szCs w:val="16"/>
        </w:rPr>
      </w:pPr>
      <w:r w:rsidRPr="00D556DB">
        <w:rPr>
          <w:rFonts w:ascii="Arial" w:hAnsi="Arial" w:cs="Arial"/>
          <w:i/>
          <w:iCs/>
          <w:sz w:val="16"/>
          <w:szCs w:val="16"/>
        </w:rPr>
        <w:t>Source: ONS</w:t>
      </w:r>
    </w:p>
    <w:p w14:paraId="398A285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As noted, the 2018-based SNPP has three main scenarios and rather than provide data from </w:t>
      </w:r>
      <w:r w:rsidRPr="00DE1AA1">
        <w:rPr>
          <w:rFonts w:ascii="Arial" w:eastAsia="MS PGothic" w:hAnsi="Arial" w:cs="Arial"/>
          <w:bCs/>
          <w:lang w:eastAsia="ja-JP"/>
        </w:rPr>
        <w:t>all</w:t>
      </w:r>
      <w:r w:rsidRPr="00D556DB">
        <w:rPr>
          <w:rFonts w:ascii="Arial" w:hAnsi="Arial" w:cs="Arial"/>
        </w:rPr>
        <w:t xml:space="preserve"> three, the analysis below looks at a preferred scenario. In this case it is considered that the alternative internal migration variant is likely to be the most robust in a local context. This has been chosen as it is considered that the principal SNPP has too short a data period when looking at internal migration whilst the 10-year alternative is not thought likely to reflect recent changes and may include some influence from the economic downturn/credit crunch of 2008 (given that the 10-year period will be 2008-18).</w:t>
      </w:r>
    </w:p>
    <w:p w14:paraId="043B2F63"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shows projected population growth from 2021 to 2039 (using alternative internal migration assumptions) in Chichester and a range of comparator areas. The data </w:t>
      </w:r>
      <w:r w:rsidRPr="008118F7">
        <w:rPr>
          <w:rFonts w:ascii="Arial" w:eastAsia="MS PGothic" w:hAnsi="Arial" w:cs="Arial"/>
          <w:bCs/>
          <w:lang w:eastAsia="ja-JP"/>
        </w:rPr>
        <w:t>shows</w:t>
      </w:r>
      <w:r w:rsidRPr="00D556DB">
        <w:rPr>
          <w:rFonts w:ascii="Arial" w:hAnsi="Arial" w:cs="Arial"/>
        </w:rPr>
        <w:t xml:space="preserve"> that the population of the District is projected to increase at a faster rate than seen regionally or nationally, but at a similar rate to West Sussex.</w:t>
      </w:r>
    </w:p>
    <w:p w14:paraId="6D9593E5" w14:textId="77777777" w:rsidR="00360825" w:rsidRPr="00D556DB" w:rsidRDefault="00360825" w:rsidP="001A7584">
      <w:pPr>
        <w:pStyle w:val="Heading4"/>
        <w:ind w:firstLine="0"/>
        <w:rPr>
          <w:rFonts w:eastAsiaTheme="majorEastAsia"/>
        </w:rPr>
      </w:pPr>
      <w:r w:rsidRPr="00D556DB">
        <w:t xml:space="preserve">Projected </w:t>
      </w:r>
      <w:r w:rsidRPr="00D556DB">
        <w:rPr>
          <w:rFonts w:eastAsia="MS PGothic"/>
        </w:rPr>
        <w:t>population</w:t>
      </w:r>
      <w:r w:rsidRPr="00D556DB">
        <w:t xml:space="preserve"> growth (2021-2039) – 2018-based SNPP (alternative internal migration assumptions)</w:t>
      </w:r>
    </w:p>
    <w:tbl>
      <w:tblPr>
        <w:tblStyle w:val="TableGridLight1"/>
        <w:tblW w:w="5000" w:type="pct"/>
        <w:tblInd w:w="-5" w:type="dxa"/>
        <w:tblLayout w:type="fixed"/>
        <w:tblLook w:val="04A0" w:firstRow="1" w:lastRow="0" w:firstColumn="1" w:lastColumn="0" w:noHBand="0" w:noVBand="1"/>
      </w:tblPr>
      <w:tblGrid>
        <w:gridCol w:w="1985"/>
        <w:gridCol w:w="1698"/>
        <w:gridCol w:w="1698"/>
        <w:gridCol w:w="1698"/>
        <w:gridCol w:w="1698"/>
      </w:tblGrid>
      <w:tr w:rsidR="00360825" w:rsidRPr="008118F7" w14:paraId="72028DAB" w14:textId="77777777" w:rsidTr="00C04569">
        <w:tc>
          <w:tcPr>
            <w:tcW w:w="1985" w:type="dxa"/>
            <w:tcBorders>
              <w:top w:val="single" w:sz="4" w:space="0" w:color="auto"/>
              <w:left w:val="single" w:sz="4" w:space="0" w:color="auto"/>
              <w:bottom w:val="single" w:sz="4" w:space="0" w:color="auto"/>
              <w:right w:val="single" w:sz="4" w:space="0" w:color="auto"/>
            </w:tcBorders>
            <w:shd w:val="clear" w:color="auto" w:fill="002060"/>
          </w:tcPr>
          <w:p w14:paraId="1E57BB78" w14:textId="77777777" w:rsidR="00360825" w:rsidRPr="00D556DB" w:rsidRDefault="00360825" w:rsidP="00C04569">
            <w:pPr>
              <w:keepNext/>
              <w:spacing w:after="0" w:line="300" w:lineRule="auto"/>
              <w:jc w:val="left"/>
              <w:rPr>
                <w:rFonts w:ascii="Arial" w:hAnsi="Arial" w:cs="Arial"/>
              </w:rPr>
            </w:pPr>
          </w:p>
        </w:tc>
        <w:tc>
          <w:tcPr>
            <w:tcW w:w="1698" w:type="dxa"/>
            <w:tcBorders>
              <w:top w:val="single" w:sz="4" w:space="0" w:color="auto"/>
              <w:left w:val="single" w:sz="4" w:space="0" w:color="auto"/>
              <w:bottom w:val="single" w:sz="4" w:space="0" w:color="auto"/>
              <w:right w:val="single" w:sz="4" w:space="0" w:color="auto"/>
            </w:tcBorders>
            <w:shd w:val="clear" w:color="auto" w:fill="002060"/>
            <w:hideMark/>
          </w:tcPr>
          <w:p w14:paraId="26BFA710"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698" w:type="dxa"/>
            <w:tcBorders>
              <w:top w:val="single" w:sz="4" w:space="0" w:color="auto"/>
              <w:left w:val="single" w:sz="4" w:space="0" w:color="auto"/>
              <w:bottom w:val="single" w:sz="4" w:space="0" w:color="auto"/>
              <w:right w:val="single" w:sz="4" w:space="0" w:color="auto"/>
            </w:tcBorders>
            <w:shd w:val="clear" w:color="auto" w:fill="002060"/>
            <w:hideMark/>
          </w:tcPr>
          <w:p w14:paraId="2178DAB2" w14:textId="4BA2892B"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w:t>
            </w:r>
            <w:r w:rsidR="00892BCF">
              <w:rPr>
                <w:rFonts w:ascii="Arial" w:hAnsi="Arial" w:cs="Arial"/>
              </w:rPr>
              <w:t>9</w:t>
            </w:r>
          </w:p>
        </w:tc>
        <w:tc>
          <w:tcPr>
            <w:tcW w:w="1698" w:type="dxa"/>
            <w:tcBorders>
              <w:top w:val="single" w:sz="4" w:space="0" w:color="auto"/>
              <w:left w:val="single" w:sz="4" w:space="0" w:color="auto"/>
              <w:bottom w:val="single" w:sz="4" w:space="0" w:color="auto"/>
              <w:right w:val="single" w:sz="4" w:space="0" w:color="auto"/>
            </w:tcBorders>
            <w:shd w:val="clear" w:color="auto" w:fill="002060"/>
            <w:hideMark/>
          </w:tcPr>
          <w:p w14:paraId="346A95E3"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698" w:type="dxa"/>
            <w:tcBorders>
              <w:top w:val="single" w:sz="4" w:space="0" w:color="auto"/>
              <w:left w:val="single" w:sz="4" w:space="0" w:color="auto"/>
              <w:bottom w:val="single" w:sz="4" w:space="0" w:color="auto"/>
              <w:right w:val="single" w:sz="4" w:space="0" w:color="auto"/>
            </w:tcBorders>
            <w:shd w:val="clear" w:color="auto" w:fill="002060"/>
            <w:hideMark/>
          </w:tcPr>
          <w:p w14:paraId="7804FA48"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w:t>
            </w:r>
          </w:p>
        </w:tc>
      </w:tr>
      <w:tr w:rsidR="00360825" w:rsidRPr="008118F7" w14:paraId="0C0F093C" w14:textId="77777777" w:rsidTr="00C04569">
        <w:tc>
          <w:tcPr>
            <w:tcW w:w="1985" w:type="dxa"/>
            <w:tcBorders>
              <w:top w:val="single" w:sz="4" w:space="0" w:color="auto"/>
              <w:left w:val="single" w:sz="4" w:space="0" w:color="auto"/>
              <w:bottom w:val="single" w:sz="4" w:space="0" w:color="auto"/>
              <w:right w:val="single" w:sz="4" w:space="0" w:color="auto"/>
            </w:tcBorders>
            <w:hideMark/>
          </w:tcPr>
          <w:p w14:paraId="6701E084" w14:textId="77777777" w:rsidR="00360825" w:rsidRPr="00D556DB" w:rsidRDefault="00360825" w:rsidP="00C04569">
            <w:pPr>
              <w:keepNext/>
              <w:spacing w:after="0" w:line="300" w:lineRule="auto"/>
              <w:rPr>
                <w:rFonts w:ascii="Arial" w:hAnsi="Arial" w:cs="Arial"/>
              </w:rPr>
            </w:pPr>
            <w:r w:rsidRPr="00D556DB">
              <w:rPr>
                <w:rFonts w:ascii="Arial" w:hAnsi="Arial" w:cs="Arial"/>
              </w:rPr>
              <w:t>Chichester District</w:t>
            </w:r>
          </w:p>
        </w:tc>
        <w:tc>
          <w:tcPr>
            <w:tcW w:w="1698" w:type="dxa"/>
            <w:tcBorders>
              <w:top w:val="single" w:sz="4" w:space="0" w:color="auto"/>
              <w:left w:val="single" w:sz="4" w:space="0" w:color="auto"/>
              <w:bottom w:val="single" w:sz="4" w:space="0" w:color="auto"/>
              <w:right w:val="single" w:sz="4" w:space="0" w:color="auto"/>
            </w:tcBorders>
            <w:vAlign w:val="bottom"/>
            <w:hideMark/>
          </w:tcPr>
          <w:p w14:paraId="4E0F0A7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123,475</w:t>
            </w:r>
          </w:p>
        </w:tc>
        <w:tc>
          <w:tcPr>
            <w:tcW w:w="1698" w:type="dxa"/>
            <w:tcBorders>
              <w:top w:val="single" w:sz="4" w:space="0" w:color="auto"/>
              <w:left w:val="single" w:sz="4" w:space="0" w:color="auto"/>
              <w:bottom w:val="single" w:sz="4" w:space="0" w:color="auto"/>
              <w:right w:val="single" w:sz="4" w:space="0" w:color="auto"/>
            </w:tcBorders>
            <w:vAlign w:val="bottom"/>
            <w:hideMark/>
          </w:tcPr>
          <w:p w14:paraId="32120B6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134,813</w:t>
            </w:r>
          </w:p>
        </w:tc>
        <w:tc>
          <w:tcPr>
            <w:tcW w:w="1698" w:type="dxa"/>
            <w:tcBorders>
              <w:top w:val="single" w:sz="4" w:space="0" w:color="auto"/>
              <w:left w:val="single" w:sz="4" w:space="0" w:color="auto"/>
              <w:bottom w:val="single" w:sz="4" w:space="0" w:color="auto"/>
              <w:right w:val="single" w:sz="4" w:space="0" w:color="auto"/>
            </w:tcBorders>
            <w:vAlign w:val="bottom"/>
            <w:hideMark/>
          </w:tcPr>
          <w:p w14:paraId="794CCF9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11,339</w:t>
            </w:r>
          </w:p>
        </w:tc>
        <w:tc>
          <w:tcPr>
            <w:tcW w:w="1698" w:type="dxa"/>
            <w:tcBorders>
              <w:top w:val="single" w:sz="4" w:space="0" w:color="auto"/>
              <w:left w:val="single" w:sz="4" w:space="0" w:color="auto"/>
              <w:bottom w:val="single" w:sz="4" w:space="0" w:color="auto"/>
              <w:right w:val="single" w:sz="4" w:space="0" w:color="auto"/>
            </w:tcBorders>
            <w:vAlign w:val="bottom"/>
            <w:hideMark/>
          </w:tcPr>
          <w:p w14:paraId="12C4341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9.2%</w:t>
            </w:r>
          </w:p>
        </w:tc>
      </w:tr>
      <w:tr w:rsidR="00360825" w:rsidRPr="008118F7" w14:paraId="104B0CF7" w14:textId="77777777" w:rsidTr="00C04569">
        <w:tc>
          <w:tcPr>
            <w:tcW w:w="1985" w:type="dxa"/>
            <w:tcBorders>
              <w:top w:val="single" w:sz="4" w:space="0" w:color="auto"/>
              <w:left w:val="single" w:sz="4" w:space="0" w:color="auto"/>
              <w:bottom w:val="single" w:sz="4" w:space="0" w:color="auto"/>
              <w:right w:val="single" w:sz="4" w:space="0" w:color="auto"/>
            </w:tcBorders>
            <w:hideMark/>
          </w:tcPr>
          <w:p w14:paraId="37E20316" w14:textId="77777777" w:rsidR="00360825" w:rsidRPr="00D556DB" w:rsidRDefault="00360825" w:rsidP="00C04569">
            <w:pPr>
              <w:keepNext/>
              <w:spacing w:after="0" w:line="300" w:lineRule="auto"/>
              <w:rPr>
                <w:rFonts w:ascii="Arial" w:hAnsi="Arial" w:cs="Arial"/>
              </w:rPr>
            </w:pPr>
            <w:r w:rsidRPr="00D556DB">
              <w:rPr>
                <w:rFonts w:ascii="Arial" w:hAnsi="Arial" w:cs="Arial"/>
              </w:rPr>
              <w:t>West Sussex</w:t>
            </w:r>
          </w:p>
        </w:tc>
        <w:tc>
          <w:tcPr>
            <w:tcW w:w="1698" w:type="dxa"/>
            <w:tcBorders>
              <w:top w:val="single" w:sz="4" w:space="0" w:color="auto"/>
              <w:left w:val="single" w:sz="4" w:space="0" w:color="auto"/>
              <w:bottom w:val="single" w:sz="4" w:space="0" w:color="auto"/>
              <w:right w:val="single" w:sz="4" w:space="0" w:color="auto"/>
            </w:tcBorders>
            <w:vAlign w:val="bottom"/>
            <w:hideMark/>
          </w:tcPr>
          <w:p w14:paraId="749D36F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877,940</w:t>
            </w:r>
          </w:p>
        </w:tc>
        <w:tc>
          <w:tcPr>
            <w:tcW w:w="1698" w:type="dxa"/>
            <w:tcBorders>
              <w:top w:val="single" w:sz="4" w:space="0" w:color="auto"/>
              <w:left w:val="single" w:sz="4" w:space="0" w:color="auto"/>
              <w:bottom w:val="single" w:sz="4" w:space="0" w:color="auto"/>
              <w:right w:val="single" w:sz="4" w:space="0" w:color="auto"/>
            </w:tcBorders>
            <w:vAlign w:val="bottom"/>
            <w:hideMark/>
          </w:tcPr>
          <w:p w14:paraId="4E53532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960,272</w:t>
            </w:r>
          </w:p>
        </w:tc>
        <w:tc>
          <w:tcPr>
            <w:tcW w:w="1698" w:type="dxa"/>
            <w:tcBorders>
              <w:top w:val="single" w:sz="4" w:space="0" w:color="auto"/>
              <w:left w:val="single" w:sz="4" w:space="0" w:color="auto"/>
              <w:bottom w:val="single" w:sz="4" w:space="0" w:color="auto"/>
              <w:right w:val="single" w:sz="4" w:space="0" w:color="auto"/>
            </w:tcBorders>
            <w:vAlign w:val="bottom"/>
            <w:hideMark/>
          </w:tcPr>
          <w:p w14:paraId="6DA94DA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82,332</w:t>
            </w:r>
          </w:p>
        </w:tc>
        <w:tc>
          <w:tcPr>
            <w:tcW w:w="1698" w:type="dxa"/>
            <w:tcBorders>
              <w:top w:val="single" w:sz="4" w:space="0" w:color="auto"/>
              <w:left w:val="single" w:sz="4" w:space="0" w:color="auto"/>
              <w:bottom w:val="single" w:sz="4" w:space="0" w:color="auto"/>
              <w:right w:val="single" w:sz="4" w:space="0" w:color="auto"/>
            </w:tcBorders>
            <w:vAlign w:val="bottom"/>
            <w:hideMark/>
          </w:tcPr>
          <w:p w14:paraId="131463F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9.4%</w:t>
            </w:r>
          </w:p>
        </w:tc>
      </w:tr>
      <w:tr w:rsidR="00360825" w:rsidRPr="008118F7" w14:paraId="57DBCF08" w14:textId="77777777" w:rsidTr="00C04569">
        <w:tc>
          <w:tcPr>
            <w:tcW w:w="1985" w:type="dxa"/>
            <w:tcBorders>
              <w:top w:val="single" w:sz="4" w:space="0" w:color="auto"/>
              <w:left w:val="single" w:sz="4" w:space="0" w:color="auto"/>
              <w:bottom w:val="single" w:sz="4" w:space="0" w:color="auto"/>
              <w:right w:val="single" w:sz="4" w:space="0" w:color="auto"/>
            </w:tcBorders>
            <w:hideMark/>
          </w:tcPr>
          <w:p w14:paraId="2A3D0F3D" w14:textId="77777777" w:rsidR="00360825" w:rsidRPr="00D556DB" w:rsidRDefault="00360825" w:rsidP="00C04569">
            <w:pPr>
              <w:keepNext/>
              <w:spacing w:after="0" w:line="300" w:lineRule="auto"/>
              <w:rPr>
                <w:rFonts w:ascii="Arial" w:hAnsi="Arial" w:cs="Arial"/>
              </w:rPr>
            </w:pPr>
            <w:r w:rsidRPr="00D556DB">
              <w:rPr>
                <w:rFonts w:ascii="Arial" w:hAnsi="Arial" w:cs="Arial"/>
              </w:rPr>
              <w:t>South East</w:t>
            </w:r>
          </w:p>
        </w:tc>
        <w:tc>
          <w:tcPr>
            <w:tcW w:w="1698" w:type="dxa"/>
            <w:tcBorders>
              <w:top w:val="single" w:sz="4" w:space="0" w:color="auto"/>
              <w:left w:val="single" w:sz="4" w:space="0" w:color="auto"/>
              <w:bottom w:val="single" w:sz="4" w:space="0" w:color="auto"/>
              <w:right w:val="single" w:sz="4" w:space="0" w:color="auto"/>
            </w:tcBorders>
            <w:vAlign w:val="bottom"/>
            <w:hideMark/>
          </w:tcPr>
          <w:p w14:paraId="037E50C9"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9,292,052</w:t>
            </w:r>
          </w:p>
        </w:tc>
        <w:tc>
          <w:tcPr>
            <w:tcW w:w="1698" w:type="dxa"/>
            <w:tcBorders>
              <w:top w:val="single" w:sz="4" w:space="0" w:color="auto"/>
              <w:left w:val="single" w:sz="4" w:space="0" w:color="auto"/>
              <w:bottom w:val="single" w:sz="4" w:space="0" w:color="auto"/>
              <w:right w:val="single" w:sz="4" w:space="0" w:color="auto"/>
            </w:tcBorders>
            <w:vAlign w:val="bottom"/>
            <w:hideMark/>
          </w:tcPr>
          <w:p w14:paraId="1FEDD649"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9,902,308</w:t>
            </w:r>
          </w:p>
        </w:tc>
        <w:tc>
          <w:tcPr>
            <w:tcW w:w="1698" w:type="dxa"/>
            <w:tcBorders>
              <w:top w:val="single" w:sz="4" w:space="0" w:color="auto"/>
              <w:left w:val="single" w:sz="4" w:space="0" w:color="auto"/>
              <w:bottom w:val="single" w:sz="4" w:space="0" w:color="auto"/>
              <w:right w:val="single" w:sz="4" w:space="0" w:color="auto"/>
            </w:tcBorders>
            <w:vAlign w:val="bottom"/>
            <w:hideMark/>
          </w:tcPr>
          <w:p w14:paraId="024268E5"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610,256</w:t>
            </w:r>
          </w:p>
        </w:tc>
        <w:tc>
          <w:tcPr>
            <w:tcW w:w="1698" w:type="dxa"/>
            <w:tcBorders>
              <w:top w:val="single" w:sz="4" w:space="0" w:color="auto"/>
              <w:left w:val="single" w:sz="4" w:space="0" w:color="auto"/>
              <w:bottom w:val="single" w:sz="4" w:space="0" w:color="auto"/>
              <w:right w:val="single" w:sz="4" w:space="0" w:color="auto"/>
            </w:tcBorders>
            <w:vAlign w:val="bottom"/>
            <w:hideMark/>
          </w:tcPr>
          <w:p w14:paraId="48BEB969"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6.6%</w:t>
            </w:r>
          </w:p>
        </w:tc>
      </w:tr>
      <w:tr w:rsidR="00360825" w:rsidRPr="008118F7" w14:paraId="63255F79" w14:textId="77777777" w:rsidTr="00C04569">
        <w:tc>
          <w:tcPr>
            <w:tcW w:w="1985" w:type="dxa"/>
            <w:tcBorders>
              <w:top w:val="single" w:sz="4" w:space="0" w:color="auto"/>
              <w:left w:val="single" w:sz="4" w:space="0" w:color="auto"/>
              <w:bottom w:val="single" w:sz="4" w:space="0" w:color="auto"/>
              <w:right w:val="single" w:sz="4" w:space="0" w:color="auto"/>
            </w:tcBorders>
            <w:hideMark/>
          </w:tcPr>
          <w:p w14:paraId="26A2473D" w14:textId="77777777" w:rsidR="00360825" w:rsidRPr="00D556DB" w:rsidRDefault="00360825" w:rsidP="00C04569">
            <w:pPr>
              <w:keepNext/>
              <w:spacing w:after="0" w:line="300" w:lineRule="auto"/>
              <w:rPr>
                <w:rFonts w:ascii="Arial" w:hAnsi="Arial" w:cs="Arial"/>
              </w:rPr>
            </w:pPr>
            <w:r w:rsidRPr="00D556DB">
              <w:rPr>
                <w:rFonts w:ascii="Arial" w:hAnsi="Arial" w:cs="Arial"/>
              </w:rPr>
              <w:t>England</w:t>
            </w:r>
          </w:p>
        </w:tc>
        <w:tc>
          <w:tcPr>
            <w:tcW w:w="1698" w:type="dxa"/>
            <w:tcBorders>
              <w:top w:val="single" w:sz="4" w:space="0" w:color="auto"/>
              <w:left w:val="single" w:sz="4" w:space="0" w:color="auto"/>
              <w:bottom w:val="single" w:sz="4" w:space="0" w:color="auto"/>
              <w:right w:val="single" w:sz="4" w:space="0" w:color="auto"/>
            </w:tcBorders>
            <w:vAlign w:val="bottom"/>
            <w:hideMark/>
          </w:tcPr>
          <w:p w14:paraId="3A93C72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56,989,570</w:t>
            </w:r>
          </w:p>
        </w:tc>
        <w:tc>
          <w:tcPr>
            <w:tcW w:w="1698" w:type="dxa"/>
            <w:tcBorders>
              <w:top w:val="single" w:sz="4" w:space="0" w:color="auto"/>
              <w:left w:val="single" w:sz="4" w:space="0" w:color="auto"/>
              <w:bottom w:val="single" w:sz="4" w:space="0" w:color="auto"/>
              <w:right w:val="single" w:sz="4" w:space="0" w:color="auto"/>
            </w:tcBorders>
            <w:vAlign w:val="bottom"/>
            <w:hideMark/>
          </w:tcPr>
          <w:p w14:paraId="524AF9E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60,961,805</w:t>
            </w:r>
          </w:p>
        </w:tc>
        <w:tc>
          <w:tcPr>
            <w:tcW w:w="1698" w:type="dxa"/>
            <w:tcBorders>
              <w:top w:val="single" w:sz="4" w:space="0" w:color="auto"/>
              <w:left w:val="single" w:sz="4" w:space="0" w:color="auto"/>
              <w:bottom w:val="single" w:sz="4" w:space="0" w:color="auto"/>
              <w:right w:val="single" w:sz="4" w:space="0" w:color="auto"/>
            </w:tcBorders>
            <w:vAlign w:val="bottom"/>
            <w:hideMark/>
          </w:tcPr>
          <w:p w14:paraId="2162069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3,972,235</w:t>
            </w:r>
          </w:p>
        </w:tc>
        <w:tc>
          <w:tcPr>
            <w:tcW w:w="1698" w:type="dxa"/>
            <w:tcBorders>
              <w:top w:val="single" w:sz="4" w:space="0" w:color="auto"/>
              <w:left w:val="single" w:sz="4" w:space="0" w:color="auto"/>
              <w:bottom w:val="single" w:sz="4" w:space="0" w:color="auto"/>
              <w:right w:val="single" w:sz="4" w:space="0" w:color="auto"/>
            </w:tcBorders>
            <w:vAlign w:val="bottom"/>
            <w:hideMark/>
          </w:tcPr>
          <w:p w14:paraId="48A45388"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7.0%</w:t>
            </w:r>
          </w:p>
        </w:tc>
      </w:tr>
    </w:tbl>
    <w:p w14:paraId="2BCC8158" w14:textId="77777777" w:rsidR="00360825" w:rsidRPr="00DE1AA1" w:rsidRDefault="00360825" w:rsidP="00360825">
      <w:pPr>
        <w:spacing w:line="300" w:lineRule="auto"/>
        <w:rPr>
          <w:rFonts w:ascii="Arial" w:hAnsi="Arial" w:cs="Arial"/>
          <w:i/>
          <w:iCs/>
          <w:sz w:val="16"/>
          <w:szCs w:val="16"/>
        </w:rPr>
      </w:pPr>
      <w:r w:rsidRPr="00D556DB">
        <w:rPr>
          <w:rFonts w:ascii="Arial" w:hAnsi="Arial" w:cs="Arial"/>
          <w:i/>
          <w:iCs/>
          <w:sz w:val="16"/>
          <w:szCs w:val="16"/>
        </w:rPr>
        <w:t>Source: ONS</w:t>
      </w:r>
    </w:p>
    <w:p w14:paraId="5F8AE562"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With the overall change in the population will also come changes to the age profile. The table below summarises findings for the three broad age groups previously used. The largest growth will be in people aged 65 and over. In 2039 it is projected that there will be 47,400 people aged 65 and over. This is an increase of 13,100 from 2021, representing growth of 38%. Looking at the other end of the </w:t>
      </w:r>
      <w:r w:rsidRPr="00D556DB">
        <w:rPr>
          <w:rFonts w:ascii="Arial" w:hAnsi="Arial" w:cs="Arial"/>
        </w:rPr>
        <w:lastRenderedPageBreak/>
        <w:t>age spectrum the data shows that there is projected to be a modest decrease in both the number of children (those aged Under 15) and in the 16-64 age group.</w:t>
      </w:r>
    </w:p>
    <w:p w14:paraId="6E8EC753" w14:textId="77777777" w:rsidR="00360825" w:rsidRPr="00D556DB" w:rsidRDefault="00360825" w:rsidP="001A7584">
      <w:pPr>
        <w:pStyle w:val="Heading4"/>
        <w:ind w:firstLine="0"/>
        <w:rPr>
          <w:rFonts w:eastAsiaTheme="majorEastAsia"/>
        </w:rPr>
      </w:pPr>
      <w:r w:rsidRPr="00D556DB">
        <w:t xml:space="preserve">Population </w:t>
      </w:r>
      <w:r w:rsidRPr="00D556DB">
        <w:rPr>
          <w:rFonts w:eastAsia="MS PGothic"/>
        </w:rPr>
        <w:t>change</w:t>
      </w:r>
      <w:r w:rsidRPr="00D556DB">
        <w:t xml:space="preserve"> 2021 to 203</w:t>
      </w:r>
      <w:r>
        <w:t>9</w:t>
      </w:r>
      <w:r w:rsidRPr="00D556DB">
        <w:t xml:space="preserve"> by broad age bands – Chichester District (2018-based SNPP – alternative internal migration assumptions)</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rsidRPr="00522AC0" w14:paraId="1A7326CA"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7681BC7A" w14:textId="77777777" w:rsidR="00360825" w:rsidRPr="00DE1AA1"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6A2881F0"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2F0DCA80"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3F1E6312"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0BCB89D3"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 from 2021</w:t>
            </w:r>
          </w:p>
        </w:tc>
      </w:tr>
      <w:tr w:rsidR="00360825" w:rsidRPr="00522AC0" w14:paraId="121829F9"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EA3E3A1"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06085F0"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20,236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1FEF1A0"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19,277</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C884BC2"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-959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3CF485F"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-4.7%</w:t>
            </w:r>
          </w:p>
        </w:tc>
      </w:tr>
      <w:tr w:rsidR="00360825" w:rsidRPr="00522AC0" w14:paraId="79901505"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40EF78B"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D3B7148"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68,937</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C758C35"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68,136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49097D0"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-801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A1CAFC6"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-1.2%</w:t>
            </w:r>
          </w:p>
        </w:tc>
      </w:tr>
      <w:tr w:rsidR="00360825" w:rsidRPr="00522AC0" w14:paraId="4BDDCF8B"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278355B5"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47BC203"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34,302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ACEF54F"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47,400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0A5BA3C"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13,099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0E63DCD"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38.2%</w:t>
            </w:r>
          </w:p>
        </w:tc>
      </w:tr>
      <w:tr w:rsidR="00360825" w:rsidRPr="00522AC0" w14:paraId="73087F42"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176FE66F"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AE7E91F"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123,474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DE717F6"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134,813</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58F2011"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11,338</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ECE14FF"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9.2%</w:t>
            </w:r>
          </w:p>
        </w:tc>
      </w:tr>
    </w:tbl>
    <w:p w14:paraId="2806F44C" w14:textId="77777777" w:rsidR="00360825" w:rsidRDefault="00360825" w:rsidP="00360825">
      <w:pPr>
        <w:spacing w:line="300" w:lineRule="auto"/>
        <w:rPr>
          <w:rFonts w:ascii="Arial" w:hAnsi="Arial" w:cs="Arial"/>
          <w:i/>
          <w:iCs/>
          <w:sz w:val="16"/>
          <w:szCs w:val="16"/>
        </w:rPr>
      </w:pPr>
      <w:r w:rsidRPr="00D556DB">
        <w:rPr>
          <w:rFonts w:ascii="Arial" w:hAnsi="Arial" w:cs="Arial"/>
          <w:i/>
          <w:iCs/>
          <w:sz w:val="16"/>
          <w:szCs w:val="16"/>
        </w:rPr>
        <w:t>Source: ONS</w:t>
      </w:r>
    </w:p>
    <w:p w14:paraId="2DD6E20D" w14:textId="77777777" w:rsidR="00360825" w:rsidRPr="00D556DB" w:rsidRDefault="00360825" w:rsidP="00360825">
      <w:pPr>
        <w:pStyle w:val="Heading2"/>
        <w:rPr>
          <w:rFonts w:ascii="Arial" w:eastAsiaTheme="majorEastAsia" w:hAnsi="Arial" w:cs="Arial"/>
        </w:rPr>
      </w:pPr>
      <w:r w:rsidRPr="00D556DB">
        <w:rPr>
          <w:rFonts w:ascii="Arial" w:hAnsi="Arial" w:cs="Arial"/>
        </w:rPr>
        <w:t>Household Representative Rates (Household Formation)</w:t>
      </w:r>
    </w:p>
    <w:p w14:paraId="27AAC96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Having studied the population size and age structure changes, the next step in the process is to convert this information into estimates of the number of households in the area. To do this the concept of household representative rates (HRR) is used. HRRs can be described in their most simple terms as the number of people who are counted as heads of households (or in this case the more widely used Household Reference </w:t>
      </w:r>
      <w:r w:rsidRPr="00DE1AA1">
        <w:rPr>
          <w:rFonts w:ascii="Arial" w:eastAsia="MS PGothic" w:hAnsi="Arial" w:cs="Arial"/>
          <w:bCs/>
          <w:lang w:eastAsia="ja-JP"/>
        </w:rPr>
        <w:t>Person</w:t>
      </w:r>
      <w:r w:rsidRPr="00D556DB">
        <w:rPr>
          <w:rFonts w:ascii="Arial" w:hAnsi="Arial" w:cs="Arial"/>
        </w:rPr>
        <w:t xml:space="preserve"> (HRP)).</w:t>
      </w:r>
    </w:p>
    <w:p w14:paraId="5DFDC64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latest HRRs are as contained in the ONS 2018-based subnational household projections (SNHP). It would be fair to say that recent SNHP (since the 2016-based release) have come under some criticism, this is largely because they are based only on data in the 2001-11 Census period which would suggest that it builds in the suppression of household formation experienced in that time.</w:t>
      </w:r>
    </w:p>
    <w:p w14:paraId="6BACFC7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This suppression can be seen in the figure below, and particularly for the 25-34 age group </w:t>
      </w:r>
      <w:r w:rsidRPr="00DE1AA1">
        <w:rPr>
          <w:rFonts w:ascii="Arial" w:eastAsia="MS PGothic" w:hAnsi="Arial" w:cs="Arial"/>
          <w:bCs/>
          <w:lang w:eastAsia="ja-JP"/>
        </w:rPr>
        <w:t>where</w:t>
      </w:r>
      <w:r w:rsidRPr="00D556DB">
        <w:rPr>
          <w:rFonts w:ascii="Arial" w:hAnsi="Arial" w:cs="Arial"/>
        </w:rPr>
        <w:t xml:space="preserve"> there was a notable drop in formation rates from 2001 to 2011, and ONS are projecting this forward as far as 2021 (following which the rate is held broadly stable). Given the criticisms of the 2018-SNHP a sensitivity analysis has been developed that applies the HRRs from an earlier (2014-based) release. The rates from this projection are also shown on the figure below and it is notable (again for the 25-34 age group) that this projection also appears to build in a degree of suppression (albeit moving forward the projection sees formation rates recover to historical levels).</w:t>
      </w:r>
    </w:p>
    <w:p w14:paraId="665E5D8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2014-based data has the advantage of using more data points for analysis (looking at a </w:t>
      </w:r>
      <w:r w:rsidRPr="00DE1AA1">
        <w:rPr>
          <w:rFonts w:ascii="Arial" w:eastAsia="MS PGothic" w:hAnsi="Arial" w:cs="Arial"/>
          <w:bCs/>
          <w:lang w:eastAsia="ja-JP"/>
        </w:rPr>
        <w:t>time</w:t>
      </w:r>
      <w:r w:rsidRPr="00D556DB">
        <w:rPr>
          <w:rFonts w:ascii="Arial" w:hAnsi="Arial" w:cs="Arial"/>
        </w:rPr>
        <w:t xml:space="preserve"> series back to 1971) although it should be noted that the 2014-based figures do take a slightly different approach to establishing the households reference person. In the 2014-SNHP a male is taken as a default HRP where there is a couple household (of different sexes) whereas the 2018-SNHP uses the Census definition of a HRP which takes account of the economic activity and age of people in a household.</w:t>
      </w:r>
    </w:p>
    <w:p w14:paraId="4D3737C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As well as looking at the 2014-based SNHP, a sensitivity test has been developed to look at an alternative approach to HRRs. In this sensitivity, a ‘part-return-to-trend’ analysis has been developed, where the rate of household formation sits somewhere between figures in the 2014-based projections and those in an older 2008-based version. This adjustment has been applied to age groups up to 44. A similar approach was widely used prior to the 2016-based SNHP being published and was an approach previously suggested by the Local Plans Expert Group (LPEG).</w:t>
      </w:r>
    </w:p>
    <w:p w14:paraId="5A645D9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Therefore</w:t>
      </w:r>
      <w:r w:rsidRPr="00D556DB">
        <w:rPr>
          <w:rFonts w:ascii="Arial" w:hAnsi="Arial" w:cs="Arial"/>
        </w:rPr>
        <w:t>, three HRR scenarios have been used as described below:</w:t>
      </w:r>
    </w:p>
    <w:p w14:paraId="5766FA1D"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t>Linking directly to 2018-based SNHP – 2018-SNHP HRRs;</w:t>
      </w:r>
    </w:p>
    <w:p w14:paraId="24961456"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t>Linking directly to 2014-based SNHP – 2014-SNHP HRRs; and</w:t>
      </w:r>
    </w:p>
    <w:p w14:paraId="2C96ED00"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t>Linking to the 2014-based SNHP but with a part-return to previous trends for younger age groups (up to age 44) – 2014-PRT</w:t>
      </w:r>
    </w:p>
    <w:p w14:paraId="350EF6F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To be clear, in looking at these three scenarios it is considered that the 2018-SNHP are not a robust set of rates to use – this conclusion is reached mainly on the basis of potential suppressed formation in younger age groups and consideration of the </w:t>
      </w:r>
      <w:r w:rsidRPr="00DE1AA1">
        <w:rPr>
          <w:rFonts w:ascii="Arial" w:eastAsia="MS PGothic" w:hAnsi="Arial" w:cs="Arial"/>
          <w:bCs/>
          <w:lang w:eastAsia="ja-JP"/>
        </w:rPr>
        <w:t>projected</w:t>
      </w:r>
      <w:r w:rsidRPr="00D556DB">
        <w:rPr>
          <w:rFonts w:ascii="Arial" w:hAnsi="Arial" w:cs="Arial"/>
        </w:rPr>
        <w:t xml:space="preserve"> rates in older age groups. It is also noted that these figures have been rejected by MHCLG as part of the Standard Method; they are however the most recent published data. The 2014-SNHP data are considered to be reasonably robust but may include some degree of suppression of household formation in younger age groups.</w:t>
      </w:r>
    </w:p>
    <w:p w14:paraId="1A250CA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part-return to trend (2014-PRT) is also considered to be a reasonably robust set of figures, taking account of an apparent suppression in the formation of households from the population aged under 45 (and particularly those aged 25-34).</w:t>
      </w:r>
    </w:p>
    <w:p w14:paraId="1A63B2AC" w14:textId="77777777" w:rsidR="00360825" w:rsidRPr="00D556DB" w:rsidRDefault="00360825" w:rsidP="001A7584">
      <w:pPr>
        <w:pStyle w:val="Heading4"/>
        <w:ind w:firstLine="0"/>
        <w:rPr>
          <w:rFonts w:eastAsiaTheme="majorEastAsia"/>
        </w:rPr>
      </w:pPr>
      <w:r w:rsidRPr="00D556DB">
        <w:lastRenderedPageBreak/>
        <w:t>Projected Household Representative Rates by age of head of household – Chichester District (2008-, 2014- and 2018-based SNHP)</w:t>
      </w:r>
    </w:p>
    <w:tbl>
      <w:tblPr>
        <w:tblStyle w:val="TableGridLight1"/>
        <w:tblW w:w="9554" w:type="dxa"/>
        <w:tblInd w:w="-709" w:type="dxa"/>
        <w:tblLook w:val="04A0" w:firstRow="1" w:lastRow="0" w:firstColumn="1" w:lastColumn="0" w:noHBand="0" w:noVBand="1"/>
      </w:tblPr>
      <w:tblGrid>
        <w:gridCol w:w="4777"/>
        <w:gridCol w:w="4777"/>
      </w:tblGrid>
      <w:tr w:rsidR="00360825" w:rsidRPr="00DE1AA1" w14:paraId="29A30A0E" w14:textId="77777777" w:rsidTr="00C04569">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7DCA2CF3"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16-24</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502B5685"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25-34</w:t>
            </w:r>
          </w:p>
        </w:tc>
      </w:tr>
      <w:tr w:rsidR="00360825" w:rsidRPr="00DE1AA1" w14:paraId="21A3E501" w14:textId="77777777" w:rsidTr="00C04569">
        <w:tc>
          <w:tcPr>
            <w:tcW w:w="0" w:type="auto"/>
            <w:tcBorders>
              <w:top w:val="single" w:sz="4" w:space="0" w:color="auto"/>
              <w:left w:val="single" w:sz="4" w:space="0" w:color="auto"/>
              <w:bottom w:val="single" w:sz="4" w:space="0" w:color="auto"/>
              <w:right w:val="single" w:sz="4" w:space="0" w:color="auto"/>
            </w:tcBorders>
            <w:hideMark/>
          </w:tcPr>
          <w:p w14:paraId="6EC5777A" w14:textId="77777777" w:rsidR="00360825" w:rsidRPr="00DE1AA1" w:rsidRDefault="00360825" w:rsidP="00C04569">
            <w:pPr>
              <w:keepNext/>
              <w:widowControl w:val="0"/>
              <w:spacing w:after="0" w:line="300" w:lineRule="auto"/>
              <w:jc w:val="center"/>
              <w:rPr>
                <w:rFonts w:ascii="Arial" w:hAnsi="Arial" w:cs="Arial"/>
              </w:rPr>
            </w:pPr>
            <w:r w:rsidRPr="00DE1AA1">
              <w:rPr>
                <w:rFonts w:ascii="Arial" w:hAnsi="Arial" w:cs="Arial"/>
                <w:noProof/>
              </w:rPr>
              <w:drawing>
                <wp:inline distT="0" distB="0" distL="0" distR="0" wp14:anchorId="579A52AB" wp14:editId="526AF2F9">
                  <wp:extent cx="2876550" cy="1727200"/>
                  <wp:effectExtent l="0" t="0" r="0" b="6350"/>
                  <wp:docPr id="59" name="Chart 59" descr="HRR of 16-24 year olds.   All flatlining but 2018-based is higher than the others"/>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14:paraId="28856C99"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12ADC7DA" wp14:editId="0A749B2B">
                  <wp:extent cx="2876550" cy="1727200"/>
                  <wp:effectExtent l="0" t="0" r="0" b="6350"/>
                  <wp:docPr id="25" name="Chart 25" descr="HRR of 25-34 Year Olds.  &#10;2018-Based Falling&#10;Increases in 2014 and 2008-based"/>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360825" w:rsidRPr="00DE1AA1" w14:paraId="480A7A63" w14:textId="77777777" w:rsidTr="00C04569">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27950C6A"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35-44</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1C0A0910"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45-54</w:t>
            </w:r>
          </w:p>
        </w:tc>
      </w:tr>
      <w:tr w:rsidR="00360825" w:rsidRPr="00DE1AA1" w14:paraId="5BD25F15" w14:textId="77777777" w:rsidTr="00C04569">
        <w:tc>
          <w:tcPr>
            <w:tcW w:w="0" w:type="auto"/>
            <w:tcBorders>
              <w:top w:val="single" w:sz="4" w:space="0" w:color="auto"/>
              <w:left w:val="single" w:sz="4" w:space="0" w:color="auto"/>
              <w:bottom w:val="single" w:sz="4" w:space="0" w:color="auto"/>
              <w:right w:val="single" w:sz="4" w:space="0" w:color="auto"/>
            </w:tcBorders>
            <w:hideMark/>
          </w:tcPr>
          <w:p w14:paraId="5505FE0E"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28C65C91" wp14:editId="1360ECFC">
                  <wp:extent cx="2876550" cy="1727200"/>
                  <wp:effectExtent l="0" t="0" r="0" b="6350"/>
                  <wp:docPr id="24" name="Chart 24" descr="HRR or "/>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14:paraId="61F053F9"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31D9DF0F" wp14:editId="2D414336">
                  <wp:extent cx="2876550" cy="1727200"/>
                  <wp:effectExtent l="0" t="0" r="0" b="6350"/>
                  <wp:docPr id="23" name="Chart 23" descr="HRR of 45-54 year olds.  All sho similar trends although formation in 2018-based is higher than the others"/>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360825" w:rsidRPr="00DE1AA1" w14:paraId="6149D764" w14:textId="77777777" w:rsidTr="00C04569">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30968A7D"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55-64</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1A4B996E"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65-74</w:t>
            </w:r>
          </w:p>
        </w:tc>
      </w:tr>
      <w:tr w:rsidR="00360825" w:rsidRPr="00DE1AA1" w14:paraId="48D0D516" w14:textId="77777777" w:rsidTr="00C04569">
        <w:tc>
          <w:tcPr>
            <w:tcW w:w="0" w:type="auto"/>
            <w:tcBorders>
              <w:top w:val="single" w:sz="4" w:space="0" w:color="auto"/>
              <w:left w:val="single" w:sz="4" w:space="0" w:color="auto"/>
              <w:bottom w:val="single" w:sz="4" w:space="0" w:color="auto"/>
              <w:right w:val="single" w:sz="4" w:space="0" w:color="auto"/>
            </w:tcBorders>
            <w:hideMark/>
          </w:tcPr>
          <w:p w14:paraId="68D90DA3"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091D35AA" wp14:editId="2E4FDD73">
                  <wp:extent cx="2876550" cy="1727200"/>
                  <wp:effectExtent l="0" t="0" r="0" b="6350"/>
                  <wp:docPr id="20" name="Chart 20" descr="HRR 55-65 year olds, &#10;2018-based modest fall and modest growth in 2014 and 2008-based"/>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14:paraId="69ED1F26"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68806523" wp14:editId="71B33D68">
                  <wp:extent cx="2876550" cy="1727200"/>
                  <wp:effectExtent l="0" t="0" r="0" b="6350"/>
                  <wp:docPr id="14" name="Chart 14" descr="HRR of 65-75 year olds&#10; 2018-based falling and flatling&#10;2008 and 2014 increasing&#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360825" w:rsidRPr="00DE1AA1" w14:paraId="0D541E44" w14:textId="77777777" w:rsidTr="00C04569">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0E8B967F"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75-84</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1C193006"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85 and over</w:t>
            </w:r>
          </w:p>
        </w:tc>
      </w:tr>
      <w:tr w:rsidR="00360825" w:rsidRPr="00DE1AA1" w14:paraId="20CED3A5" w14:textId="77777777" w:rsidTr="00C04569">
        <w:tc>
          <w:tcPr>
            <w:tcW w:w="0" w:type="auto"/>
            <w:tcBorders>
              <w:top w:val="single" w:sz="4" w:space="0" w:color="auto"/>
              <w:left w:val="single" w:sz="4" w:space="0" w:color="auto"/>
              <w:bottom w:val="single" w:sz="4" w:space="0" w:color="auto"/>
              <w:right w:val="single" w:sz="4" w:space="0" w:color="auto"/>
            </w:tcBorders>
            <w:hideMark/>
          </w:tcPr>
          <w:p w14:paraId="6F19C023"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53689576" wp14:editId="7C1FA815">
                  <wp:extent cx="2876550" cy="1727200"/>
                  <wp:effectExtent l="0" t="0" r="0" b="6350"/>
                  <wp:docPr id="10" name="Chart 10" descr="HRR of 75-84 year olds - 2018 Increasing and 2008 and 2014 based declining"/>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14:paraId="49ECE9B6"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5F7B6929" wp14:editId="1DCE902F">
                  <wp:extent cx="2876550" cy="1727200"/>
                  <wp:effectExtent l="0" t="0" r="0" b="6350"/>
                  <wp:docPr id="48" name="Chart 48" descr="HRR for 85 plus &#10;Strong Growth in 2018-based and strong decline in 2008 and 2014-based"/>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399A2354" w14:textId="77777777" w:rsidR="00360825" w:rsidRPr="00DE1AA1" w:rsidRDefault="00360825" w:rsidP="00360825">
      <w:pPr>
        <w:widowControl w:val="0"/>
        <w:spacing w:line="300" w:lineRule="auto"/>
        <w:rPr>
          <w:rFonts w:ascii="Arial" w:hAnsi="Arial" w:cs="Arial"/>
          <w:i/>
          <w:iCs/>
          <w:sz w:val="16"/>
          <w:szCs w:val="16"/>
        </w:rPr>
      </w:pPr>
      <w:r w:rsidRPr="00DE1AA1">
        <w:rPr>
          <w:rFonts w:ascii="Arial" w:hAnsi="Arial" w:cs="Arial"/>
          <w:i/>
          <w:iCs/>
          <w:sz w:val="16"/>
          <w:szCs w:val="16"/>
        </w:rPr>
        <w:t>Source: Derived from ONS and CLG data</w:t>
      </w:r>
    </w:p>
    <w:p w14:paraId="694A24CE" w14:textId="77777777" w:rsidR="00360825" w:rsidRPr="00D556DB" w:rsidRDefault="00360825" w:rsidP="00360825">
      <w:pPr>
        <w:pStyle w:val="Heading2"/>
        <w:rPr>
          <w:rFonts w:ascii="Arial" w:hAnsi="Arial" w:cs="Arial"/>
        </w:rPr>
      </w:pPr>
      <w:r w:rsidRPr="00D556DB">
        <w:rPr>
          <w:rFonts w:ascii="Arial" w:hAnsi="Arial" w:cs="Arial"/>
        </w:rPr>
        <w:lastRenderedPageBreak/>
        <w:t>Household Growth</w:t>
      </w:r>
    </w:p>
    <w:p w14:paraId="5C72E42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shows estimates of household growth with the various HRRs and an estimate of the number of additional dwellings this might equate to. The figures link to </w:t>
      </w:r>
      <w:r w:rsidRPr="00DE1AA1">
        <w:rPr>
          <w:rFonts w:ascii="Arial" w:eastAsia="MS PGothic" w:hAnsi="Arial" w:cs="Arial"/>
          <w:bCs/>
          <w:lang w:eastAsia="ja-JP"/>
        </w:rPr>
        <w:t>population</w:t>
      </w:r>
      <w:r w:rsidRPr="00D556DB">
        <w:rPr>
          <w:rFonts w:ascii="Arial" w:hAnsi="Arial" w:cs="Arial"/>
        </w:rPr>
        <w:t xml:space="preserve"> growth in the 2018-based SNPP (alternative internal migration variant).</w:t>
      </w:r>
    </w:p>
    <w:p w14:paraId="3EA6920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To convert households into dwellings the analysis includes an uplift to take account of vacant homes. For the purposes of analysis, it has been assumed that the number of </w:t>
      </w:r>
      <w:r w:rsidRPr="00DE1AA1">
        <w:rPr>
          <w:rFonts w:ascii="Arial" w:eastAsia="MS PGothic" w:hAnsi="Arial" w:cs="Arial"/>
          <w:bCs/>
          <w:lang w:eastAsia="ja-JP"/>
        </w:rPr>
        <w:t>vacant</w:t>
      </w:r>
      <w:r w:rsidRPr="00D556DB">
        <w:rPr>
          <w:rFonts w:ascii="Arial" w:hAnsi="Arial" w:cs="Arial"/>
        </w:rPr>
        <w:t xml:space="preserve"> homes in new stock would be 3% higher than in the number of occupied homes (which is taken as a proxy for households), and hence household growth figures are uplifted by 3% to provide an estimate of housing need. This figure is a fairly standard assumption when looking at vacancy rates in new stock and will allow for movement within the housing stock.</w:t>
      </w:r>
    </w:p>
    <w:p w14:paraId="173D717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analysis shows an overall housing need for 45</w:t>
      </w:r>
      <w:r w:rsidRPr="00F84545">
        <w:rPr>
          <w:rFonts w:ascii="Arial" w:hAnsi="Arial" w:cs="Arial"/>
        </w:rPr>
        <w:t>3</w:t>
      </w:r>
      <w:r w:rsidRPr="00D556DB">
        <w:rPr>
          <w:rFonts w:ascii="Arial" w:hAnsi="Arial" w:cs="Arial"/>
        </w:rPr>
        <w:t xml:space="preserve"> dwellings per annum (dpa) across the </w:t>
      </w:r>
      <w:r w:rsidRPr="00F84545">
        <w:rPr>
          <w:rFonts w:ascii="Arial" w:eastAsia="MS PGothic" w:hAnsi="Arial" w:cs="Arial"/>
          <w:bCs/>
          <w:lang w:eastAsia="ja-JP"/>
        </w:rPr>
        <w:t>District</w:t>
      </w:r>
      <w:r w:rsidRPr="00D556DB">
        <w:rPr>
          <w:rFonts w:ascii="Arial" w:hAnsi="Arial" w:cs="Arial"/>
        </w:rPr>
        <w:t xml:space="preserve"> when using the 2018-based SNHP as the underlying household projection. With 2014-HRRs the estimated need figure is higher (519 dpa), and this figure increases slightly to 532 dpa with an adjustment to the formation rates of the younger population.</w:t>
      </w:r>
    </w:p>
    <w:p w14:paraId="2B377272" w14:textId="77777777" w:rsidR="00360825" w:rsidRPr="00D556DB" w:rsidRDefault="00360825" w:rsidP="001A7584">
      <w:pPr>
        <w:pStyle w:val="Heading4"/>
        <w:ind w:firstLine="0"/>
        <w:rPr>
          <w:rFonts w:eastAsiaTheme="majorEastAsia"/>
        </w:rPr>
      </w:pPr>
      <w:r w:rsidRPr="00D556DB">
        <w:t>Projected housing need – range of household representative rate assumptions – Chichester District (linked to 2018-based SNPP)</w:t>
      </w:r>
    </w:p>
    <w:tbl>
      <w:tblPr>
        <w:tblStyle w:val="TableGridLight1"/>
        <w:tblW w:w="5000" w:type="pct"/>
        <w:tblInd w:w="-5" w:type="dxa"/>
        <w:tblLayout w:type="fixed"/>
        <w:tblLook w:val="04A0" w:firstRow="1" w:lastRow="0" w:firstColumn="1" w:lastColumn="0" w:noHBand="0" w:noVBand="1"/>
      </w:tblPr>
      <w:tblGrid>
        <w:gridCol w:w="1462"/>
        <w:gridCol w:w="1463"/>
        <w:gridCol w:w="1463"/>
        <w:gridCol w:w="1463"/>
        <w:gridCol w:w="1463"/>
        <w:gridCol w:w="1463"/>
      </w:tblGrid>
      <w:tr w:rsidR="00360825" w:rsidRPr="00F84545" w14:paraId="5F8147B7" w14:textId="77777777" w:rsidTr="00C04569">
        <w:tc>
          <w:tcPr>
            <w:tcW w:w="1462" w:type="dxa"/>
            <w:tcBorders>
              <w:top w:val="single" w:sz="4" w:space="0" w:color="auto"/>
              <w:left w:val="single" w:sz="4" w:space="0" w:color="auto"/>
              <w:bottom w:val="single" w:sz="4" w:space="0" w:color="auto"/>
              <w:right w:val="single" w:sz="4" w:space="0" w:color="auto"/>
            </w:tcBorders>
            <w:shd w:val="clear" w:color="auto" w:fill="002060"/>
          </w:tcPr>
          <w:p w14:paraId="092E556F" w14:textId="77777777" w:rsidR="00360825" w:rsidRPr="00D556DB" w:rsidRDefault="00360825" w:rsidP="00C04569">
            <w:pPr>
              <w:keepNext/>
              <w:spacing w:after="0" w:line="300" w:lineRule="auto"/>
              <w:jc w:val="left"/>
              <w:rPr>
                <w:rFonts w:ascii="Arial" w:hAnsi="Arial" w:cs="Arial"/>
              </w:rPr>
            </w:pP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51904AE1"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Households 2021</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2795857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Households 203</w:t>
            </w:r>
            <w:r>
              <w:rPr>
                <w:rFonts w:ascii="Arial" w:hAnsi="Arial" w:cs="Arial"/>
              </w:rPr>
              <w:t>9</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2E2EC788"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Change in households</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53A96BF2"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Per annum</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259EFDF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Dwellings (per annum)</w:t>
            </w:r>
          </w:p>
        </w:tc>
      </w:tr>
      <w:tr w:rsidR="00360825" w:rsidRPr="00F84545" w14:paraId="0031EE93"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7DA91BA8"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2018-HRRs</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B96F69D" w14:textId="77777777" w:rsidR="00360825" w:rsidRPr="00D556DB" w:rsidRDefault="00360825" w:rsidP="00C04569">
            <w:pPr>
              <w:spacing w:after="0" w:line="300" w:lineRule="auto"/>
              <w:jc w:val="center"/>
              <w:rPr>
                <w:rFonts w:ascii="Arial" w:hAnsi="Arial" w:cs="Arial"/>
              </w:rPr>
            </w:pPr>
            <w:r w:rsidRPr="00F84545">
              <w:rPr>
                <w:rFonts w:ascii="Arial" w:hAnsi="Arial" w:cs="Arial"/>
                <w:color w:val="000000"/>
              </w:rPr>
              <w:t>54,584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97FC52B" w14:textId="77777777" w:rsidR="00360825" w:rsidRPr="00D556DB" w:rsidRDefault="00360825" w:rsidP="00C04569">
            <w:pPr>
              <w:spacing w:after="0" w:line="300" w:lineRule="auto"/>
              <w:jc w:val="center"/>
              <w:rPr>
                <w:rFonts w:ascii="Arial" w:hAnsi="Arial" w:cs="Arial"/>
              </w:rPr>
            </w:pPr>
            <w:r w:rsidRPr="00F84545">
              <w:rPr>
                <w:rFonts w:ascii="Arial" w:hAnsi="Arial" w:cs="Arial"/>
                <w:color w:val="000000"/>
              </w:rPr>
              <w:t>62,498</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5BBDE2F" w14:textId="77777777" w:rsidR="00360825" w:rsidRPr="00D556DB" w:rsidRDefault="00360825" w:rsidP="00C04569">
            <w:pPr>
              <w:spacing w:after="0" w:line="300" w:lineRule="auto"/>
              <w:jc w:val="center"/>
              <w:rPr>
                <w:rFonts w:ascii="Arial" w:hAnsi="Arial" w:cs="Arial"/>
              </w:rPr>
            </w:pPr>
            <w:r w:rsidRPr="00F84545">
              <w:rPr>
                <w:rFonts w:ascii="Arial" w:hAnsi="Arial" w:cs="Arial"/>
              </w:rPr>
              <w:t>7,913</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3478990" w14:textId="77777777" w:rsidR="00360825" w:rsidRPr="00D556DB" w:rsidRDefault="00360825" w:rsidP="00C04569">
            <w:pPr>
              <w:spacing w:after="0" w:line="300" w:lineRule="auto"/>
              <w:jc w:val="center"/>
              <w:rPr>
                <w:rFonts w:ascii="Arial" w:hAnsi="Arial" w:cs="Arial"/>
              </w:rPr>
            </w:pPr>
            <w:r w:rsidRPr="00F84545">
              <w:rPr>
                <w:rFonts w:ascii="Arial" w:hAnsi="Arial" w:cs="Arial"/>
              </w:rPr>
              <w:t>440</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A754701" w14:textId="77777777" w:rsidR="00360825" w:rsidRPr="00D556DB" w:rsidRDefault="00360825" w:rsidP="00C04569">
            <w:pPr>
              <w:spacing w:after="0" w:line="300" w:lineRule="auto"/>
              <w:jc w:val="center"/>
              <w:rPr>
                <w:rFonts w:ascii="Arial" w:hAnsi="Arial" w:cs="Arial"/>
              </w:rPr>
            </w:pPr>
            <w:r w:rsidRPr="00F84545">
              <w:rPr>
                <w:rFonts w:ascii="Arial" w:hAnsi="Arial" w:cs="Arial"/>
              </w:rPr>
              <w:t>453</w:t>
            </w:r>
          </w:p>
        </w:tc>
      </w:tr>
      <w:tr w:rsidR="00360825" w:rsidRPr="00F84545" w14:paraId="6182DD96"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169A1E99"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2014-HRRs</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19498F8" w14:textId="77777777" w:rsidR="00360825" w:rsidRPr="00D556DB" w:rsidRDefault="00360825" w:rsidP="00C04569">
            <w:pPr>
              <w:spacing w:after="0" w:line="300" w:lineRule="auto"/>
              <w:jc w:val="center"/>
              <w:rPr>
                <w:rFonts w:ascii="Arial" w:hAnsi="Arial" w:cs="Arial"/>
              </w:rPr>
            </w:pPr>
            <w:r w:rsidRPr="00F84545">
              <w:rPr>
                <w:rFonts w:ascii="Arial" w:hAnsi="Arial" w:cs="Arial"/>
                <w:color w:val="000000"/>
              </w:rPr>
              <w:t>55,423</w:t>
            </w:r>
          </w:p>
        </w:tc>
        <w:tc>
          <w:tcPr>
            <w:tcW w:w="1463" w:type="dxa"/>
            <w:tcBorders>
              <w:top w:val="single" w:sz="4" w:space="0" w:color="auto"/>
              <w:left w:val="single" w:sz="4" w:space="0" w:color="auto"/>
              <w:bottom w:val="single" w:sz="4" w:space="0" w:color="auto"/>
              <w:right w:val="single" w:sz="4" w:space="0" w:color="auto"/>
            </w:tcBorders>
            <w:vAlign w:val="bottom"/>
            <w:hideMark/>
          </w:tcPr>
          <w:p w14:paraId="2CBD2B95" w14:textId="77777777" w:rsidR="00360825" w:rsidRPr="00D556DB" w:rsidRDefault="00360825" w:rsidP="00C04569">
            <w:pPr>
              <w:spacing w:after="0" w:line="300" w:lineRule="auto"/>
              <w:jc w:val="center"/>
              <w:rPr>
                <w:rFonts w:ascii="Arial" w:hAnsi="Arial" w:cs="Arial"/>
              </w:rPr>
            </w:pPr>
            <w:r w:rsidRPr="00F84545">
              <w:rPr>
                <w:rFonts w:ascii="Arial" w:hAnsi="Arial" w:cs="Arial"/>
                <w:color w:val="000000"/>
              </w:rPr>
              <w:t>64,490</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03DB5BD" w14:textId="77777777" w:rsidR="00360825" w:rsidRPr="00D556DB" w:rsidRDefault="00360825" w:rsidP="00C04569">
            <w:pPr>
              <w:spacing w:after="0" w:line="300" w:lineRule="auto"/>
              <w:jc w:val="center"/>
              <w:rPr>
                <w:rFonts w:ascii="Arial" w:hAnsi="Arial" w:cs="Arial"/>
              </w:rPr>
            </w:pPr>
            <w:r w:rsidRPr="00F84545">
              <w:rPr>
                <w:rFonts w:ascii="Arial" w:hAnsi="Arial" w:cs="Arial"/>
                <w:color w:val="000000"/>
              </w:rPr>
              <w:t>9,066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0A71FFDC" w14:textId="77777777" w:rsidR="00360825" w:rsidRPr="00D556DB" w:rsidRDefault="00360825" w:rsidP="00C04569">
            <w:pPr>
              <w:spacing w:after="0" w:line="300" w:lineRule="auto"/>
              <w:jc w:val="center"/>
              <w:rPr>
                <w:rFonts w:ascii="Arial" w:hAnsi="Arial" w:cs="Arial"/>
              </w:rPr>
            </w:pPr>
            <w:r w:rsidRPr="00F84545">
              <w:rPr>
                <w:rFonts w:ascii="Arial" w:hAnsi="Arial" w:cs="Arial"/>
              </w:rPr>
              <w:t>504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271597C" w14:textId="77777777" w:rsidR="00360825" w:rsidRPr="00D556DB" w:rsidRDefault="00360825" w:rsidP="00C04569">
            <w:pPr>
              <w:spacing w:after="0" w:line="300" w:lineRule="auto"/>
              <w:jc w:val="center"/>
              <w:rPr>
                <w:rFonts w:ascii="Arial" w:hAnsi="Arial" w:cs="Arial"/>
              </w:rPr>
            </w:pPr>
            <w:r w:rsidRPr="00F84545">
              <w:rPr>
                <w:rFonts w:ascii="Arial" w:hAnsi="Arial" w:cs="Arial"/>
              </w:rPr>
              <w:t>519</w:t>
            </w:r>
          </w:p>
        </w:tc>
      </w:tr>
      <w:tr w:rsidR="00360825" w:rsidRPr="00F84545" w14:paraId="12A0DC9A"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747BA0C6"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2014-PRT</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5D3D19A" w14:textId="77777777" w:rsidR="00360825" w:rsidRPr="00D556DB" w:rsidRDefault="00360825" w:rsidP="00C04569">
            <w:pPr>
              <w:spacing w:after="0" w:line="300" w:lineRule="auto"/>
              <w:jc w:val="center"/>
              <w:rPr>
                <w:rFonts w:ascii="Arial" w:hAnsi="Arial" w:cs="Arial"/>
                <w:color w:val="000000"/>
              </w:rPr>
            </w:pPr>
            <w:r w:rsidRPr="00F84545">
              <w:rPr>
                <w:rFonts w:ascii="Arial" w:hAnsi="Arial" w:cs="Arial"/>
                <w:color w:val="000000"/>
              </w:rPr>
              <w:t>55,423</w:t>
            </w:r>
          </w:p>
        </w:tc>
        <w:tc>
          <w:tcPr>
            <w:tcW w:w="1463" w:type="dxa"/>
            <w:tcBorders>
              <w:top w:val="single" w:sz="4" w:space="0" w:color="auto"/>
              <w:left w:val="single" w:sz="4" w:space="0" w:color="auto"/>
              <w:bottom w:val="single" w:sz="4" w:space="0" w:color="auto"/>
              <w:right w:val="single" w:sz="4" w:space="0" w:color="auto"/>
            </w:tcBorders>
            <w:vAlign w:val="bottom"/>
            <w:hideMark/>
          </w:tcPr>
          <w:p w14:paraId="6A1CDC95" w14:textId="77777777" w:rsidR="00360825" w:rsidRPr="00D556DB" w:rsidRDefault="00360825" w:rsidP="00C04569">
            <w:pPr>
              <w:spacing w:after="0" w:line="300" w:lineRule="auto"/>
              <w:jc w:val="center"/>
              <w:rPr>
                <w:rFonts w:ascii="Arial" w:hAnsi="Arial" w:cs="Arial"/>
                <w:color w:val="000000"/>
              </w:rPr>
            </w:pPr>
            <w:r w:rsidRPr="00F84545">
              <w:rPr>
                <w:rFonts w:ascii="Arial" w:hAnsi="Arial" w:cs="Arial"/>
                <w:color w:val="000000"/>
              </w:rPr>
              <w:t>64,725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0471F96" w14:textId="77777777" w:rsidR="00360825" w:rsidRPr="00D556DB" w:rsidRDefault="00360825" w:rsidP="00C04569">
            <w:pPr>
              <w:spacing w:after="0" w:line="300" w:lineRule="auto"/>
              <w:jc w:val="center"/>
              <w:rPr>
                <w:rFonts w:ascii="Arial" w:hAnsi="Arial" w:cs="Arial"/>
                <w:color w:val="000000"/>
              </w:rPr>
            </w:pPr>
            <w:r w:rsidRPr="00F84545">
              <w:rPr>
                <w:rFonts w:ascii="Arial" w:hAnsi="Arial" w:cs="Arial"/>
                <w:color w:val="000000"/>
              </w:rPr>
              <w:t>9,301</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393A710" w14:textId="77777777" w:rsidR="00360825" w:rsidRPr="00D556DB" w:rsidRDefault="00360825" w:rsidP="00C04569">
            <w:pPr>
              <w:spacing w:after="0" w:line="300" w:lineRule="auto"/>
              <w:jc w:val="center"/>
              <w:rPr>
                <w:rFonts w:ascii="Arial" w:hAnsi="Arial" w:cs="Arial"/>
              </w:rPr>
            </w:pPr>
            <w:r w:rsidRPr="00F84545">
              <w:rPr>
                <w:rFonts w:ascii="Arial" w:hAnsi="Arial" w:cs="Arial"/>
              </w:rPr>
              <w:t>517</w:t>
            </w:r>
          </w:p>
        </w:tc>
        <w:tc>
          <w:tcPr>
            <w:tcW w:w="1463" w:type="dxa"/>
            <w:tcBorders>
              <w:top w:val="single" w:sz="4" w:space="0" w:color="auto"/>
              <w:left w:val="single" w:sz="4" w:space="0" w:color="auto"/>
              <w:bottom w:val="single" w:sz="4" w:space="0" w:color="auto"/>
              <w:right w:val="single" w:sz="4" w:space="0" w:color="auto"/>
            </w:tcBorders>
            <w:vAlign w:val="bottom"/>
            <w:hideMark/>
          </w:tcPr>
          <w:p w14:paraId="027D0E79" w14:textId="77777777" w:rsidR="00360825" w:rsidRPr="00D556DB" w:rsidRDefault="00360825" w:rsidP="00C04569">
            <w:pPr>
              <w:spacing w:after="0" w:line="300" w:lineRule="auto"/>
              <w:jc w:val="center"/>
              <w:rPr>
                <w:rFonts w:ascii="Arial" w:hAnsi="Arial" w:cs="Arial"/>
              </w:rPr>
            </w:pPr>
            <w:r w:rsidRPr="00F84545">
              <w:rPr>
                <w:rFonts w:ascii="Arial" w:hAnsi="Arial" w:cs="Arial"/>
              </w:rPr>
              <w:t>532</w:t>
            </w:r>
          </w:p>
        </w:tc>
      </w:tr>
    </w:tbl>
    <w:p w14:paraId="403BAC9B" w14:textId="77777777" w:rsidR="00360825" w:rsidRDefault="00360825" w:rsidP="00360825">
      <w:pPr>
        <w:pStyle w:val="BodyText"/>
        <w:numPr>
          <w:ilvl w:val="0"/>
          <w:numId w:val="0"/>
        </w:numPr>
        <w:rPr>
          <w:rFonts w:ascii="Arial" w:hAnsi="Arial" w:cs="Arial"/>
          <w:i/>
          <w:iCs/>
          <w:sz w:val="16"/>
          <w:szCs w:val="16"/>
        </w:rPr>
      </w:pPr>
      <w:r w:rsidRPr="00D556DB">
        <w:rPr>
          <w:rFonts w:ascii="Arial" w:hAnsi="Arial" w:cs="Arial"/>
          <w:i/>
          <w:iCs/>
          <w:sz w:val="16"/>
          <w:szCs w:val="16"/>
        </w:rPr>
        <w:t>Source: Demographic projections</w:t>
      </w:r>
    </w:p>
    <w:p w14:paraId="4C598AAD" w14:textId="77777777" w:rsidR="00360825" w:rsidRPr="00D556DB" w:rsidRDefault="00360825" w:rsidP="00360825">
      <w:pPr>
        <w:pStyle w:val="Heading2"/>
        <w:rPr>
          <w:rFonts w:ascii="Arial" w:hAnsi="Arial" w:cs="Arial"/>
        </w:rPr>
      </w:pPr>
      <w:r w:rsidRPr="00D556DB">
        <w:rPr>
          <w:rFonts w:ascii="Arial" w:hAnsi="Arial" w:cs="Arial"/>
        </w:rPr>
        <w:t>Summary</w:t>
      </w:r>
    </w:p>
    <w:p w14:paraId="2229FCE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bookmarkStart w:id="14" w:name="_Hlk89082371"/>
      <w:r w:rsidRPr="00D556DB">
        <w:rPr>
          <w:rFonts w:ascii="Arial" w:hAnsi="Arial" w:cs="Arial"/>
        </w:rPr>
        <w:t>Analysis has been undertaken to consider demographic trends, in particular looking at past trends in population growth and future projections. The analysis draws on the 2018-based subnational population projections (SNPP) and the 2018-based household projections (SNHP). The analysis also looks at the most recent population estimates (again from ONS) which date to mid-2020.</w:t>
      </w:r>
    </w:p>
    <w:p w14:paraId="3FD896B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District has a notably older age structure than seen regionally or nationally, with 28% of the population estimated to be aged 65 and over in 2020 (compared to a national average of 19%). The Manhood Peninsula sub-area sees a particularly old population (33% aged 65+).</w:t>
      </w:r>
    </w:p>
    <w:p w14:paraId="7319DD8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Past population growth in Chichester District has been fairly average in a regional and national context, over the past 9-years (since 2011) the population of the District has grown </w:t>
      </w:r>
      <w:r w:rsidRPr="00DE1AA1">
        <w:rPr>
          <w:rFonts w:ascii="Arial" w:eastAsia="MS PGothic" w:hAnsi="Arial" w:cs="Arial"/>
          <w:bCs/>
          <w:lang w:eastAsia="ja-JP"/>
        </w:rPr>
        <w:t>by</w:t>
      </w:r>
      <w:r w:rsidRPr="00D556DB">
        <w:rPr>
          <w:rFonts w:ascii="Arial" w:hAnsi="Arial" w:cs="Arial"/>
        </w:rPr>
        <w:t xml:space="preserve"> 6.6% - compared with a 6.5% increase regionally and nationally over the same period (West Sussex saw </w:t>
      </w:r>
      <w:r w:rsidRPr="00D556DB">
        <w:rPr>
          <w:rFonts w:ascii="Arial" w:hAnsi="Arial" w:cs="Arial"/>
        </w:rPr>
        <w:lastRenderedPageBreak/>
        <w:t>higher growth at 7.3%). Population growth is largely driven by net internal migration (moves from one part of the country to another) with the District seeing a negative level of natural change (i.e. deaths than births).</w:t>
      </w:r>
    </w:p>
    <w:p w14:paraId="4254DDC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Projecting forward the latest ONS subnational population projections (SNPP) continue to see relatively strong population growth, with the 2018-based SNPP showing higher projected changes in Chichester than regionally or nationally (and at a similar level to that projected across West Sussex). Population growth is projected to be concentrated in older age groups (those aged 65 and over) – this age group accounting for in excess of 100% of all projected population change (i.e. there is projected to be a modest population decline in people aged Under 65).</w:t>
      </w:r>
    </w:p>
    <w:p w14:paraId="4CCD3C2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Population growth can be converted into estimates of household growth by using household representative rates (HRR). HRRs can be described in their most simple terms as the number of people who are counted as heads of households (or in this case the </w:t>
      </w:r>
      <w:r w:rsidRPr="00DE1AA1">
        <w:rPr>
          <w:rFonts w:ascii="Arial" w:eastAsia="MS PGothic" w:hAnsi="Arial" w:cs="Arial"/>
          <w:bCs/>
          <w:lang w:eastAsia="ja-JP"/>
        </w:rPr>
        <w:t>more</w:t>
      </w:r>
      <w:r w:rsidRPr="00D556DB">
        <w:rPr>
          <w:rFonts w:ascii="Arial" w:hAnsi="Arial" w:cs="Arial"/>
        </w:rPr>
        <w:t xml:space="preserve"> widely used Household Reference Person (HRP)). Data about HRRs is taken from ONS subnational household projections (SNHP).</w:t>
      </w:r>
    </w:p>
    <w:p w14:paraId="7889F06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In analysing data about HRRs, it was considered that the latest (2018-based) version </w:t>
      </w:r>
      <w:r w:rsidRPr="00DE1AA1">
        <w:rPr>
          <w:rFonts w:ascii="Arial" w:eastAsia="MS PGothic" w:hAnsi="Arial" w:cs="Arial"/>
          <w:bCs/>
          <w:lang w:eastAsia="ja-JP"/>
        </w:rPr>
        <w:t>potentially</w:t>
      </w:r>
      <w:r w:rsidRPr="00D556DB">
        <w:rPr>
          <w:rFonts w:ascii="Arial" w:hAnsi="Arial" w:cs="Arial"/>
        </w:rPr>
        <w:t xml:space="preserve"> build in some degree of suppression of household formation in younger age groups. Analysis was therefore provided linking to an older (2014-based) SNHP (with a further adjustment to younger age groups) – this was to provide projections reflecting the potential for younger households to access the housing market.</w:t>
      </w:r>
    </w:p>
    <w:bookmarkEnd w:id="14"/>
    <w:p w14:paraId="5ED93EEB" w14:textId="77777777" w:rsidR="00360825" w:rsidRPr="00D556DB" w:rsidRDefault="00360825" w:rsidP="00360825">
      <w:pPr>
        <w:pStyle w:val="BodyText"/>
        <w:numPr>
          <w:ilvl w:val="0"/>
          <w:numId w:val="0"/>
        </w:numPr>
        <w:rPr>
          <w:rFonts w:ascii="Arial" w:hAnsi="Arial" w:cs="Arial"/>
        </w:rPr>
      </w:pPr>
    </w:p>
    <w:p w14:paraId="4F4F9590" w14:textId="77777777" w:rsidR="00360825" w:rsidRPr="00D556DB" w:rsidRDefault="00360825" w:rsidP="00360825">
      <w:pPr>
        <w:pStyle w:val="Heading1"/>
        <w:rPr>
          <w:rFonts w:ascii="Arial" w:hAnsi="Arial" w:cs="Arial"/>
        </w:rPr>
      </w:pPr>
      <w:bookmarkStart w:id="15" w:name="_Toc96358135"/>
      <w:bookmarkStart w:id="16" w:name="_Toc97716033"/>
      <w:r w:rsidRPr="00D556DB">
        <w:rPr>
          <w:rFonts w:ascii="Arial" w:hAnsi="Arial" w:cs="Arial"/>
        </w:rPr>
        <w:lastRenderedPageBreak/>
        <w:t>Housing Need</w:t>
      </w:r>
      <w:bookmarkEnd w:id="15"/>
      <w:bookmarkEnd w:id="16"/>
    </w:p>
    <w:p w14:paraId="3B298723"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This section considers overall housing need in District. It considers the basis of the current housing requirement; and then considers what current national policy means regarding the local housing need in Chichester and the potential for a higher housing requirement. It also considers the relationship with the South Downs National Park.</w:t>
      </w:r>
    </w:p>
    <w:p w14:paraId="43320AAE"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 xml:space="preserve">Local Plan Housing Requirement </w:t>
      </w:r>
    </w:p>
    <w:p w14:paraId="71D07B3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The Chichester Local Plan was adopted in July 2015. The Local Plan excludes the area of the District within the National Park for which the South Downs National Park Authority (“SDNPA”) is the planning authority. The adopted Local Plan looks over the period 2014-2029 with a spatial strategy focussed on providing for the delivery of 7,388 homes in total or 435 homes per annum across Chichester District (on land outside of the National Park). </w:t>
      </w:r>
    </w:p>
    <w:p w14:paraId="6612F9A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The Framework (paragraph 33) sets out that policies in local plans should be reviewed at least once every five years and should then be updated where necessary.</w:t>
      </w:r>
      <w:r w:rsidRPr="00D556DB">
        <w:rPr>
          <w:rStyle w:val="FootnoteReference"/>
          <w:rFonts w:ascii="Arial" w:eastAsiaTheme="majorEastAsia" w:hAnsi="Arial" w:cs="Arial"/>
        </w:rPr>
        <w:footnoteReference w:id="1"/>
      </w:r>
      <w:r w:rsidRPr="00D556DB">
        <w:rPr>
          <w:rFonts w:ascii="Arial" w:eastAsiaTheme="majorEastAsia" w:hAnsi="Arial" w:cs="Arial"/>
        </w:rPr>
        <w:t xml:space="preserve"> The Framework directs that where strategic policies are more than five years old and have not been ‘reviewed and found not to require updating,’ housing need should be considered using the standard method in Planning Practice Guidance and this should form the basis for assessing five- year housing land supply and housing delivery.</w:t>
      </w:r>
    </w:p>
    <w:p w14:paraId="0100DA22"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As the Local Plan is beyond its five-year anniversary, it is necessary to consider the latest evidence on housing need. </w:t>
      </w:r>
    </w:p>
    <w:p w14:paraId="18BD08FF"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 xml:space="preserve">Standard Method for Calculating Local Housing Need </w:t>
      </w:r>
    </w:p>
    <w:p w14:paraId="270ECC6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In 2018, the Government amended the NPPF and released new Planning Practice Guidance to introduce the ‘standard method’ for calculating local housing need. This replaced the approach to defining Objectively Assessed Needs (OAN) set out in the 2014 Planning Practice Guidance.</w:t>
      </w:r>
    </w:p>
    <w:p w14:paraId="7DC5098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The Government’s intention in doing so was to introduce a standardised approach using consistent data sources for all local authorities nationally to calculate housing need. Its ambitions were to make </w:t>
      </w:r>
      <w:r w:rsidRPr="00D556DB">
        <w:rPr>
          <w:rFonts w:ascii="Arial" w:eastAsiaTheme="majorEastAsia" w:hAnsi="Arial" w:cs="Arial"/>
        </w:rPr>
        <w:lastRenderedPageBreak/>
        <w:t xml:space="preserve">the process of doing so simpler, quicker and more transparent, with the intention of speeding up plan-making. </w:t>
      </w:r>
    </w:p>
    <w:p w14:paraId="0B0BBB1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The  NPPF (2021) now sets out in Para 61 that to determine the minimum number of homes needed, </w:t>
      </w:r>
      <w:r w:rsidRPr="00D556DB">
        <w:rPr>
          <w:rFonts w:ascii="Arial" w:eastAsiaTheme="majorEastAsia" w:hAnsi="Arial" w:cs="Arial"/>
          <w:i/>
          <w:iCs/>
        </w:rPr>
        <w:t>“strategic policies should be informed by a local housing need assessment, conducted using the standard method in national planning guidance – unless exceptional circumstances justify an alternative approach</w:t>
      </w:r>
      <w:r w:rsidRPr="00D556DB">
        <w:rPr>
          <w:rStyle w:val="FootnoteReference"/>
          <w:rFonts w:ascii="Arial" w:eastAsiaTheme="majorEastAsia" w:hAnsi="Arial" w:cs="Arial"/>
          <w:i/>
          <w:iCs/>
        </w:rPr>
        <w:footnoteReference w:id="2"/>
      </w:r>
      <w:r w:rsidRPr="00D556DB">
        <w:rPr>
          <w:rFonts w:ascii="Arial" w:eastAsiaTheme="majorEastAsia" w:hAnsi="Arial" w:cs="Arial"/>
          <w:i/>
          <w:iCs/>
        </w:rPr>
        <w:t xml:space="preserve"> which also reflects current and future demographic trends and market signals. In addition to the local housing need figure, any need that cannot be met within neighbouring areas should also be taken into account in establishing the amount of housing to be planned for.”</w:t>
      </w:r>
      <w:r w:rsidRPr="00D556DB">
        <w:rPr>
          <w:rFonts w:ascii="Arial" w:eastAsiaTheme="majorEastAsia" w:hAnsi="Arial" w:cs="Arial"/>
        </w:rPr>
        <w:t xml:space="preserve"> </w:t>
      </w:r>
    </w:p>
    <w:p w14:paraId="5C15AD16" w14:textId="77777777" w:rsidR="00360825" w:rsidRPr="00D556DB" w:rsidRDefault="00360825" w:rsidP="00360825">
      <w:pPr>
        <w:pStyle w:val="Heading3"/>
        <w:rPr>
          <w:rFonts w:ascii="Arial" w:hAnsi="Arial" w:cs="Arial"/>
        </w:rPr>
      </w:pPr>
      <w:r w:rsidRPr="00D556DB">
        <w:rPr>
          <w:rFonts w:ascii="Arial" w:hAnsi="Arial" w:cs="Arial"/>
        </w:rPr>
        <w:t xml:space="preserve">The Current Standard Method </w:t>
      </w:r>
    </w:p>
    <w:p w14:paraId="469DFA4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eastAsiaTheme="majorEastAsia" w:hAnsi="Arial" w:cs="Arial"/>
        </w:rPr>
        <w:t xml:space="preserve">The standard method set out at the time of writing in the Planning Practice Guidance adopts a four- stage approach. </w:t>
      </w:r>
      <w:r w:rsidRPr="00D556DB">
        <w:rPr>
          <w:rFonts w:ascii="Arial" w:hAnsi="Arial" w:cs="Arial"/>
        </w:rPr>
        <w:t>The four-step process is set out in the Figure below.</w:t>
      </w:r>
    </w:p>
    <w:p w14:paraId="3596AAF1" w14:textId="77777777" w:rsidR="00360825" w:rsidRPr="00D556DB" w:rsidRDefault="00360825" w:rsidP="001A7584">
      <w:pPr>
        <w:pStyle w:val="Heading4"/>
        <w:ind w:firstLine="0"/>
      </w:pPr>
      <w:r w:rsidRPr="00D556DB">
        <w:t>Overview of the Current Standard Method for Calculating Local Housing Need</w:t>
      </w:r>
    </w:p>
    <w:p w14:paraId="7028A7C7" w14:textId="77777777" w:rsidR="00360825" w:rsidRPr="00D556DB" w:rsidRDefault="00360825" w:rsidP="00360825">
      <w:pPr>
        <w:pStyle w:val="BodyText"/>
        <w:numPr>
          <w:ilvl w:val="0"/>
          <w:numId w:val="0"/>
        </w:numPr>
        <w:tabs>
          <w:tab w:val="left" w:pos="720"/>
        </w:tabs>
        <w:ind w:left="-709"/>
        <w:rPr>
          <w:rFonts w:ascii="Arial" w:hAnsi="Arial" w:cs="Arial"/>
        </w:rPr>
      </w:pPr>
      <w:r w:rsidRPr="00D556DB">
        <w:rPr>
          <w:rFonts w:ascii="Arial" w:hAnsi="Arial" w:cs="Arial"/>
          <w:noProof/>
          <w:color w:val="2B579A"/>
          <w:shd w:val="clear" w:color="auto" w:fill="E6E6E6"/>
        </w:rPr>
        <w:drawing>
          <wp:inline distT="0" distB="0" distL="0" distR="0" wp14:anchorId="306C9B1B" wp14:editId="77024914">
            <wp:extent cx="6198782" cy="2286000"/>
            <wp:effectExtent l="0" t="0" r="0" b="0"/>
            <wp:docPr id="62" name="Diagram 62" descr="Four steps in the Standard Method,&#10;&#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62B98164" w14:textId="7785CC9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Step One, in considering housing need against the standard method is to establish a demographic baseline. This baseline is </w:t>
      </w:r>
      <w:r w:rsidRPr="00D556DB">
        <w:rPr>
          <w:rFonts w:ascii="Arial" w:eastAsiaTheme="majorEastAsia" w:hAnsi="Arial" w:cs="Arial"/>
        </w:rPr>
        <w:t>drawn</w:t>
      </w:r>
      <w:r w:rsidRPr="00D556DB">
        <w:rPr>
          <w:rFonts w:ascii="Arial" w:hAnsi="Arial" w:cs="Arial"/>
        </w:rPr>
        <w:t xml:space="preserve"> from the 2014-based Household Projections and should be the annual average household growth over a ten- year period, with the current year</w:t>
      </w:r>
      <w:r w:rsidR="00167C72">
        <w:rPr>
          <w:rStyle w:val="FootnoteReference"/>
          <w:rFonts w:ascii="Arial" w:hAnsi="Arial" w:cs="Arial"/>
        </w:rPr>
        <w:footnoteReference w:id="3"/>
      </w:r>
      <w:r w:rsidRPr="00D556DB">
        <w:rPr>
          <w:rFonts w:ascii="Arial" w:hAnsi="Arial" w:cs="Arial"/>
        </w:rPr>
        <w:t xml:space="preserve"> being the first year i.e. 2021 to 2031.</w:t>
      </w:r>
      <w:r w:rsidR="00167C72">
        <w:rPr>
          <w:rFonts w:ascii="Arial" w:hAnsi="Arial" w:cs="Arial"/>
        </w:rPr>
        <w:t xml:space="preserve"> </w:t>
      </w:r>
    </w:p>
    <w:p w14:paraId="01A5BC2A" w14:textId="5F5B7588" w:rsidR="00360825" w:rsidRPr="00D556DB" w:rsidRDefault="002B1913"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Step Two</w:t>
      </w:r>
      <w:r w:rsidR="00360825" w:rsidRPr="00D556DB">
        <w:rPr>
          <w:rFonts w:ascii="Arial" w:hAnsi="Arial" w:cs="Arial"/>
        </w:rPr>
        <w:t xml:space="preserve"> is to consider the application of an affordability uplift to the demographic baseline, to take account of market signals (i.e. the relative affordability of housing). The adjustment increases the </w:t>
      </w:r>
      <w:r w:rsidR="00360825" w:rsidRPr="00D556DB">
        <w:rPr>
          <w:rFonts w:ascii="Arial" w:hAnsi="Arial" w:cs="Arial"/>
        </w:rPr>
        <w:lastRenderedPageBreak/>
        <w:t>housing need where house prices are high relative to workplace incomes. It uses the published ONS workplace-based median house price to median earnings ratio for the most recent year for which data is available. The latest (workplace-based) affordability data is currently for 2020 and was published by ONS in March 2021.</w:t>
      </w:r>
    </w:p>
    <w:p w14:paraId="4E303AC6"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The PPG states that for each 1% increase in the ratio of house prices to earnings, where the ratio is above 4, the average household growth </w:t>
      </w:r>
      <w:r w:rsidRPr="00D556DB">
        <w:rPr>
          <w:rFonts w:ascii="Arial" w:eastAsiaTheme="majorEastAsia" w:hAnsi="Arial" w:cs="Arial"/>
        </w:rPr>
        <w:t>should</w:t>
      </w:r>
      <w:r w:rsidRPr="00D556DB">
        <w:rPr>
          <w:rFonts w:ascii="Arial" w:hAnsi="Arial" w:cs="Arial"/>
        </w:rPr>
        <w:t xml:space="preserve"> be increased by a quarter of a per cent, with the calculation being as follows:</w:t>
      </w:r>
    </w:p>
    <w:p w14:paraId="2B4B9B85" w14:textId="77777777" w:rsidR="00360825" w:rsidRPr="00D556DB" w:rsidRDefault="00360825" w:rsidP="00360825">
      <w:pPr>
        <w:pStyle w:val="BodyText"/>
        <w:numPr>
          <w:ilvl w:val="0"/>
          <w:numId w:val="0"/>
        </w:numPr>
        <w:tabs>
          <w:tab w:val="left" w:pos="720"/>
        </w:tabs>
        <w:spacing w:before="360"/>
        <w:ind w:left="1440"/>
        <w:rPr>
          <w:rFonts w:ascii="Arial" w:hAnsi="Arial" w:cs="Arial"/>
          <w:b/>
          <w:bCs/>
        </w:rPr>
      </w:pPr>
      <w:r w:rsidRPr="00D556DB">
        <w:rPr>
          <w:rFonts w:ascii="Arial" w:hAnsi="Arial" w:cs="Arial"/>
          <w:b/>
          <w:bCs/>
        </w:rPr>
        <w:t>[Adjustment Factor = ((local affordability ratio – 4)/4) x 0.25]</w:t>
      </w:r>
    </w:p>
    <w:p w14:paraId="0E99F73D"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eastAsiaTheme="majorEastAsia" w:hAnsi="Arial" w:cs="Arial"/>
        </w:rPr>
        <w:t xml:space="preserve">Step Three </w:t>
      </w:r>
      <w:r w:rsidRPr="00D556DB">
        <w:rPr>
          <w:rFonts w:ascii="Arial" w:hAnsi="Arial" w:cs="Arial"/>
        </w:rPr>
        <w:t xml:space="preserve">is to consider whether a cap should be applied to the affordability adjustment to ensure that </w:t>
      </w:r>
      <w:r w:rsidRPr="00D556DB">
        <w:rPr>
          <w:rFonts w:ascii="Arial" w:eastAsiaTheme="majorEastAsia" w:hAnsi="Arial" w:cs="Arial"/>
        </w:rPr>
        <w:t>the</w:t>
      </w:r>
      <w:r w:rsidRPr="00D556DB">
        <w:rPr>
          <w:rFonts w:ascii="Arial" w:hAnsi="Arial" w:cs="Arial"/>
        </w:rPr>
        <w:t xml:space="preserve"> figure which arises through the first two steps does not exceed a level which can be delivered. There are two situations where a cap is applied; however, it is the second which is relevant in Chichester District Council:</w:t>
      </w:r>
    </w:p>
    <w:p w14:paraId="43AEA24C" w14:textId="77777777" w:rsidR="00360825" w:rsidRPr="00D556DB" w:rsidRDefault="00360825" w:rsidP="00360825">
      <w:pPr>
        <w:pStyle w:val="ListBullet"/>
        <w:ind w:left="360" w:hanging="360"/>
        <w:rPr>
          <w:rFonts w:ascii="Arial" w:hAnsi="Arial" w:cs="Arial"/>
        </w:rPr>
      </w:pPr>
      <w:r w:rsidRPr="00D556DB">
        <w:rPr>
          <w:rFonts w:ascii="Arial" w:hAnsi="Arial" w:cs="Arial"/>
        </w:rPr>
        <w:t xml:space="preserve">The first is where an authority has reviewed its plan (including developing an assessment of housing need) or adopted a plan within the last five years. In this instance the need may be capped at 40% above the requirement figure set out in the Local Development Plan. </w:t>
      </w:r>
    </w:p>
    <w:p w14:paraId="1D950DDC" w14:textId="77777777" w:rsidR="00360825" w:rsidRPr="00D556DB" w:rsidRDefault="00360825" w:rsidP="00360825">
      <w:pPr>
        <w:pStyle w:val="ListBullet"/>
        <w:spacing w:after="360"/>
        <w:ind w:left="360" w:hanging="360"/>
        <w:rPr>
          <w:rFonts w:ascii="Arial" w:hAnsi="Arial" w:cs="Arial"/>
        </w:rPr>
      </w:pPr>
      <w:r w:rsidRPr="00D556DB">
        <w:rPr>
          <w:rFonts w:ascii="Arial" w:hAnsi="Arial" w:cs="Arial"/>
        </w:rPr>
        <w:t>The second situation affects plans and evidence that are more than five years old. In such circumstances, a cap may be applied at 40% of the higher of the projected household growth or the housing requirement in the most recent plan, where this exists.</w:t>
      </w:r>
    </w:p>
    <w:p w14:paraId="7A41790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A final, step four, was introduced by the Government through an amendment to the standard method as set out in the PPG on 16</w:t>
      </w:r>
      <w:r w:rsidRPr="00D556DB">
        <w:rPr>
          <w:rFonts w:ascii="Arial" w:eastAsiaTheme="majorEastAsia" w:hAnsi="Arial" w:cs="Arial"/>
          <w:vertAlign w:val="superscript"/>
        </w:rPr>
        <w:t>th</w:t>
      </w:r>
      <w:r w:rsidRPr="00D556DB">
        <w:rPr>
          <w:rFonts w:ascii="Arial" w:eastAsiaTheme="majorEastAsia" w:hAnsi="Arial" w:cs="Arial"/>
        </w:rPr>
        <w:t xml:space="preserve"> December 2020. This additional step applies only to Cities and urban centres which fall within the top 20 largest in England and it is therefore not relevant for the purpose of assessing housing need in Chichester. For information only, the fourth step would see an uplift of the figure generated by steps 1 to 3 by 35%.</w:t>
      </w:r>
    </w:p>
    <w:p w14:paraId="3CCBEB2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The Table below outlines the calculation of the minimum local housing need using the methodology above, as set out currently in the PPG, drawing on the three relevant steps for Chichester District. </w:t>
      </w:r>
    </w:p>
    <w:p w14:paraId="76096EF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A minimum LHN of 763 homes per annum for the whole of Chichester District is derived based on household growth of 545 per annum, taking from the 2014-based Household Projections, with an affordability uplift of 163% applied to this based on the 2020 median workplace-based affordability ratio. </w:t>
      </w:r>
    </w:p>
    <w:p w14:paraId="62F2E939" w14:textId="77777777" w:rsidR="00360825" w:rsidRPr="00D556DB" w:rsidRDefault="00360825" w:rsidP="00360825">
      <w:pPr>
        <w:spacing w:after="0" w:line="240" w:lineRule="auto"/>
        <w:jc w:val="left"/>
        <w:rPr>
          <w:rFonts w:ascii="Arial" w:eastAsiaTheme="majorEastAsia" w:hAnsi="Arial" w:cs="Arial"/>
          <w:b/>
          <w:color w:val="646464" w:themeColor="background2"/>
        </w:rPr>
      </w:pPr>
      <w:r w:rsidRPr="00D556DB">
        <w:rPr>
          <w:rFonts w:ascii="Arial" w:eastAsiaTheme="majorEastAsia" w:hAnsi="Arial" w:cs="Arial"/>
        </w:rPr>
        <w:br w:type="page"/>
      </w:r>
    </w:p>
    <w:p w14:paraId="1BEA1457" w14:textId="77777777" w:rsidR="00360825" w:rsidRPr="00D556DB" w:rsidRDefault="00360825" w:rsidP="001A7584">
      <w:pPr>
        <w:pStyle w:val="Heading4"/>
        <w:ind w:firstLine="0"/>
        <w:rPr>
          <w:rFonts w:eastAsiaTheme="majorEastAsia"/>
        </w:rPr>
      </w:pPr>
      <w:r w:rsidRPr="00472D63">
        <w:lastRenderedPageBreak/>
        <w:t>Minimum</w:t>
      </w:r>
      <w:r w:rsidRPr="00D556DB">
        <w:rPr>
          <w:rFonts w:eastAsiaTheme="majorEastAsia"/>
        </w:rPr>
        <w:t xml:space="preserve"> Local Housing Need, Standard Method</w:t>
      </w:r>
    </w:p>
    <w:tbl>
      <w:tblPr>
        <w:tblStyle w:val="TableGridLight1"/>
        <w:tblW w:w="8784" w:type="dxa"/>
        <w:tblInd w:w="0" w:type="dxa"/>
        <w:tblLook w:val="04A0" w:firstRow="1" w:lastRow="0" w:firstColumn="1" w:lastColumn="0" w:noHBand="0" w:noVBand="1"/>
      </w:tblPr>
      <w:tblGrid>
        <w:gridCol w:w="6060"/>
        <w:gridCol w:w="2724"/>
      </w:tblGrid>
      <w:tr w:rsidR="00360825" w:rsidRPr="00DE1AA1" w14:paraId="0285E89D" w14:textId="77777777" w:rsidTr="00C04569">
        <w:trPr>
          <w:trHeight w:val="290"/>
        </w:trPr>
        <w:tc>
          <w:tcPr>
            <w:tcW w:w="6060" w:type="dxa"/>
            <w:shd w:val="clear" w:color="auto" w:fill="2C2A6B" w:themeFill="text2"/>
            <w:noWrap/>
            <w:hideMark/>
          </w:tcPr>
          <w:p w14:paraId="7E1AFEE8" w14:textId="77777777" w:rsidR="00360825" w:rsidRPr="00DE1AA1" w:rsidRDefault="00360825" w:rsidP="00C04569">
            <w:pPr>
              <w:spacing w:after="0" w:line="240" w:lineRule="auto"/>
              <w:jc w:val="left"/>
              <w:rPr>
                <w:rFonts w:ascii="Arial" w:hAnsi="Arial" w:cs="Arial"/>
                <w:color w:val="FFFFFF" w:themeColor="background1"/>
              </w:rPr>
            </w:pPr>
            <w:bookmarkStart w:id="17" w:name="_Hlk89090070"/>
            <w:r w:rsidRPr="00DE1AA1">
              <w:rPr>
                <w:rFonts w:ascii="Arial" w:hAnsi="Arial" w:cs="Arial"/>
                <w:color w:val="FFFFFF" w:themeColor="background1"/>
              </w:rPr>
              <w:t>Local Authority</w:t>
            </w:r>
          </w:p>
        </w:tc>
        <w:tc>
          <w:tcPr>
            <w:tcW w:w="2724" w:type="dxa"/>
            <w:shd w:val="clear" w:color="auto" w:fill="2C2A6B" w:themeFill="text2"/>
            <w:noWrap/>
            <w:hideMark/>
          </w:tcPr>
          <w:p w14:paraId="6CB1F80C" w14:textId="77777777" w:rsidR="00360825" w:rsidRPr="00DE1AA1" w:rsidRDefault="00360825" w:rsidP="00C04569">
            <w:pPr>
              <w:spacing w:after="0" w:line="240" w:lineRule="auto"/>
              <w:jc w:val="center"/>
              <w:rPr>
                <w:rFonts w:ascii="Arial" w:hAnsi="Arial" w:cs="Arial"/>
                <w:color w:val="FFFFFF" w:themeColor="background1"/>
              </w:rPr>
            </w:pPr>
            <w:r w:rsidRPr="00DE1AA1">
              <w:rPr>
                <w:rFonts w:ascii="Arial" w:hAnsi="Arial" w:cs="Arial"/>
                <w:color w:val="FFFFFF" w:themeColor="background1"/>
              </w:rPr>
              <w:t>Chichester</w:t>
            </w:r>
          </w:p>
        </w:tc>
      </w:tr>
      <w:tr w:rsidR="00360825" w:rsidRPr="00DE1AA1" w14:paraId="406A9E42" w14:textId="77777777" w:rsidTr="00C04569">
        <w:trPr>
          <w:trHeight w:val="290"/>
        </w:trPr>
        <w:tc>
          <w:tcPr>
            <w:tcW w:w="6060" w:type="dxa"/>
            <w:shd w:val="clear" w:color="auto" w:fill="D9D9D9" w:themeFill="background1" w:themeFillShade="D9"/>
            <w:noWrap/>
            <w:hideMark/>
          </w:tcPr>
          <w:p w14:paraId="66397313"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 xml:space="preserve">Setting the Baseline: </w:t>
            </w:r>
          </w:p>
        </w:tc>
        <w:tc>
          <w:tcPr>
            <w:tcW w:w="2724" w:type="dxa"/>
            <w:shd w:val="clear" w:color="auto" w:fill="D9D9D9" w:themeFill="background1" w:themeFillShade="D9"/>
            <w:noWrap/>
          </w:tcPr>
          <w:p w14:paraId="450087E8" w14:textId="77777777" w:rsidR="00360825" w:rsidRPr="00DE1AA1" w:rsidRDefault="00360825" w:rsidP="00C04569">
            <w:pPr>
              <w:spacing w:after="0" w:line="240" w:lineRule="auto"/>
              <w:jc w:val="left"/>
              <w:rPr>
                <w:rFonts w:ascii="Arial" w:hAnsi="Arial" w:cs="Arial"/>
                <w:b/>
                <w:bCs/>
                <w:color w:val="000000"/>
              </w:rPr>
            </w:pPr>
          </w:p>
        </w:tc>
      </w:tr>
      <w:tr w:rsidR="00360825" w:rsidRPr="00DE1AA1" w14:paraId="66B653CD" w14:textId="77777777" w:rsidTr="00C04569">
        <w:trPr>
          <w:trHeight w:val="290"/>
        </w:trPr>
        <w:tc>
          <w:tcPr>
            <w:tcW w:w="6060" w:type="dxa"/>
            <w:noWrap/>
            <w:hideMark/>
          </w:tcPr>
          <w:p w14:paraId="55460EAF" w14:textId="78FAD75C"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 xml:space="preserve">Household Growth (p.a.) over next 10 years, </w:t>
            </w:r>
            <w:r w:rsidR="00167C72" w:rsidRPr="00DE1AA1">
              <w:rPr>
                <w:rFonts w:ascii="Arial" w:hAnsi="Arial" w:cs="Arial"/>
                <w:color w:val="000000"/>
              </w:rPr>
              <w:t>202</w:t>
            </w:r>
            <w:r w:rsidR="00167C72">
              <w:rPr>
                <w:rFonts w:ascii="Arial" w:hAnsi="Arial" w:cs="Arial"/>
                <w:color w:val="000000"/>
              </w:rPr>
              <w:t>1</w:t>
            </w:r>
            <w:r w:rsidRPr="00DE1AA1">
              <w:rPr>
                <w:rFonts w:ascii="Arial" w:hAnsi="Arial" w:cs="Arial"/>
                <w:color w:val="000000"/>
              </w:rPr>
              <w:t>-</w:t>
            </w:r>
            <w:r w:rsidR="00167C72" w:rsidRPr="00DE1AA1">
              <w:rPr>
                <w:rFonts w:ascii="Arial" w:hAnsi="Arial" w:cs="Arial"/>
                <w:color w:val="000000"/>
              </w:rPr>
              <w:t>3</w:t>
            </w:r>
            <w:r w:rsidR="00167C72">
              <w:rPr>
                <w:rFonts w:ascii="Arial" w:hAnsi="Arial" w:cs="Arial"/>
                <w:color w:val="000000"/>
              </w:rPr>
              <w:t>1</w:t>
            </w:r>
          </w:p>
        </w:tc>
        <w:tc>
          <w:tcPr>
            <w:tcW w:w="2724" w:type="dxa"/>
            <w:noWrap/>
          </w:tcPr>
          <w:p w14:paraId="7BAE3F10"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545</w:t>
            </w:r>
          </w:p>
        </w:tc>
      </w:tr>
      <w:tr w:rsidR="00360825" w:rsidRPr="00DE1AA1" w14:paraId="68474FEA" w14:textId="77777777" w:rsidTr="00C04569">
        <w:trPr>
          <w:trHeight w:val="290"/>
        </w:trPr>
        <w:tc>
          <w:tcPr>
            <w:tcW w:w="6060" w:type="dxa"/>
            <w:noWrap/>
            <w:hideMark/>
          </w:tcPr>
          <w:p w14:paraId="7BB9DD93" w14:textId="77777777" w:rsidR="00360825" w:rsidRPr="00DE1AA1" w:rsidRDefault="00360825" w:rsidP="00C04569">
            <w:pPr>
              <w:spacing w:after="0" w:line="240" w:lineRule="auto"/>
              <w:jc w:val="center"/>
              <w:rPr>
                <w:rFonts w:ascii="Arial" w:hAnsi="Arial" w:cs="Arial"/>
                <w:color w:val="000000"/>
              </w:rPr>
            </w:pPr>
          </w:p>
        </w:tc>
        <w:tc>
          <w:tcPr>
            <w:tcW w:w="2724" w:type="dxa"/>
            <w:noWrap/>
          </w:tcPr>
          <w:p w14:paraId="24764525" w14:textId="77777777" w:rsidR="00360825" w:rsidRPr="00D556DB" w:rsidRDefault="00360825" w:rsidP="00C04569">
            <w:pPr>
              <w:spacing w:after="0" w:line="240" w:lineRule="auto"/>
              <w:jc w:val="left"/>
              <w:rPr>
                <w:rFonts w:ascii="Arial" w:hAnsi="Arial" w:cs="Arial"/>
              </w:rPr>
            </w:pPr>
          </w:p>
        </w:tc>
      </w:tr>
      <w:tr w:rsidR="00360825" w:rsidRPr="00DE1AA1" w14:paraId="78B26330" w14:textId="77777777" w:rsidTr="00C04569">
        <w:trPr>
          <w:trHeight w:val="290"/>
        </w:trPr>
        <w:tc>
          <w:tcPr>
            <w:tcW w:w="6060" w:type="dxa"/>
            <w:shd w:val="clear" w:color="auto" w:fill="D9D9D9" w:themeFill="background1" w:themeFillShade="D9"/>
            <w:noWrap/>
            <w:hideMark/>
          </w:tcPr>
          <w:p w14:paraId="12D1BC0C"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Affordability Adjustment:</w:t>
            </w:r>
          </w:p>
        </w:tc>
        <w:tc>
          <w:tcPr>
            <w:tcW w:w="2724" w:type="dxa"/>
            <w:shd w:val="clear" w:color="auto" w:fill="D9D9D9" w:themeFill="background1" w:themeFillShade="D9"/>
            <w:noWrap/>
          </w:tcPr>
          <w:p w14:paraId="1327CB63" w14:textId="77777777" w:rsidR="00360825" w:rsidRPr="00DE1AA1" w:rsidRDefault="00360825" w:rsidP="00C04569">
            <w:pPr>
              <w:spacing w:after="0" w:line="240" w:lineRule="auto"/>
              <w:jc w:val="left"/>
              <w:rPr>
                <w:rFonts w:ascii="Arial" w:hAnsi="Arial" w:cs="Arial"/>
                <w:b/>
                <w:bCs/>
                <w:color w:val="000000"/>
              </w:rPr>
            </w:pPr>
          </w:p>
        </w:tc>
      </w:tr>
      <w:tr w:rsidR="00360825" w:rsidRPr="00DE1AA1" w14:paraId="14D2A625" w14:textId="77777777" w:rsidTr="00C04569">
        <w:trPr>
          <w:trHeight w:val="290"/>
        </w:trPr>
        <w:tc>
          <w:tcPr>
            <w:tcW w:w="6060" w:type="dxa"/>
            <w:noWrap/>
            <w:hideMark/>
          </w:tcPr>
          <w:p w14:paraId="6E941A8D"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Median workplace-based affordability ratio, 2020</w:t>
            </w:r>
          </w:p>
        </w:tc>
        <w:tc>
          <w:tcPr>
            <w:tcW w:w="2724" w:type="dxa"/>
            <w:noWrap/>
          </w:tcPr>
          <w:p w14:paraId="42CB85A3"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14.09</w:t>
            </w:r>
          </w:p>
        </w:tc>
      </w:tr>
      <w:tr w:rsidR="00360825" w:rsidRPr="00DE1AA1" w14:paraId="2CAA0A12" w14:textId="77777777" w:rsidTr="00C04569">
        <w:trPr>
          <w:trHeight w:val="290"/>
        </w:trPr>
        <w:tc>
          <w:tcPr>
            <w:tcW w:w="6060" w:type="dxa"/>
            <w:noWrap/>
            <w:hideMark/>
          </w:tcPr>
          <w:p w14:paraId="703C8A71"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Adjustment Factor</w:t>
            </w:r>
          </w:p>
        </w:tc>
        <w:tc>
          <w:tcPr>
            <w:tcW w:w="2724" w:type="dxa"/>
            <w:noWrap/>
          </w:tcPr>
          <w:p w14:paraId="5D98094F"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163%</w:t>
            </w:r>
          </w:p>
        </w:tc>
      </w:tr>
      <w:tr w:rsidR="00360825" w:rsidRPr="00DE1AA1" w14:paraId="5DBEAEDA" w14:textId="77777777" w:rsidTr="00C04569">
        <w:trPr>
          <w:trHeight w:val="290"/>
        </w:trPr>
        <w:tc>
          <w:tcPr>
            <w:tcW w:w="6060" w:type="dxa"/>
            <w:noWrap/>
            <w:hideMark/>
          </w:tcPr>
          <w:p w14:paraId="12511D5F"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Step 2 Housing Need Figure</w:t>
            </w:r>
          </w:p>
        </w:tc>
        <w:tc>
          <w:tcPr>
            <w:tcW w:w="2724" w:type="dxa"/>
            <w:noWrap/>
          </w:tcPr>
          <w:p w14:paraId="4CE08E44"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889</w:t>
            </w:r>
          </w:p>
        </w:tc>
      </w:tr>
      <w:tr w:rsidR="00360825" w:rsidRPr="00DE1AA1" w14:paraId="64D3CD0B" w14:textId="77777777" w:rsidTr="00C04569">
        <w:trPr>
          <w:trHeight w:val="290"/>
        </w:trPr>
        <w:tc>
          <w:tcPr>
            <w:tcW w:w="6060" w:type="dxa"/>
            <w:noWrap/>
            <w:hideMark/>
          </w:tcPr>
          <w:p w14:paraId="7746CD77" w14:textId="77777777" w:rsidR="00360825" w:rsidRPr="00DE1AA1" w:rsidRDefault="00360825" w:rsidP="00C04569">
            <w:pPr>
              <w:spacing w:after="0" w:line="240" w:lineRule="auto"/>
              <w:jc w:val="center"/>
              <w:rPr>
                <w:rFonts w:ascii="Arial" w:hAnsi="Arial" w:cs="Arial"/>
                <w:color w:val="000000"/>
              </w:rPr>
            </w:pPr>
          </w:p>
        </w:tc>
        <w:tc>
          <w:tcPr>
            <w:tcW w:w="2724" w:type="dxa"/>
            <w:noWrap/>
          </w:tcPr>
          <w:p w14:paraId="72453A20" w14:textId="77777777" w:rsidR="00360825" w:rsidRPr="00D556DB" w:rsidRDefault="00360825" w:rsidP="00C04569">
            <w:pPr>
              <w:spacing w:after="0" w:line="240" w:lineRule="auto"/>
              <w:jc w:val="left"/>
              <w:rPr>
                <w:rFonts w:ascii="Arial" w:hAnsi="Arial" w:cs="Arial"/>
              </w:rPr>
            </w:pPr>
          </w:p>
        </w:tc>
      </w:tr>
      <w:tr w:rsidR="00360825" w:rsidRPr="00DE1AA1" w14:paraId="24DA6D37" w14:textId="77777777" w:rsidTr="00C04569">
        <w:trPr>
          <w:trHeight w:val="290"/>
        </w:trPr>
        <w:tc>
          <w:tcPr>
            <w:tcW w:w="6060" w:type="dxa"/>
            <w:shd w:val="clear" w:color="auto" w:fill="D9D9D9" w:themeFill="background1" w:themeFillShade="D9"/>
            <w:noWrap/>
            <w:hideMark/>
          </w:tcPr>
          <w:p w14:paraId="2C6DFCBC"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Cap:</w:t>
            </w:r>
          </w:p>
        </w:tc>
        <w:tc>
          <w:tcPr>
            <w:tcW w:w="2724" w:type="dxa"/>
            <w:shd w:val="clear" w:color="auto" w:fill="D9D9D9" w:themeFill="background1" w:themeFillShade="D9"/>
            <w:noWrap/>
          </w:tcPr>
          <w:p w14:paraId="128574B1" w14:textId="77777777" w:rsidR="00360825" w:rsidRPr="00DE1AA1" w:rsidRDefault="00360825" w:rsidP="00C04569">
            <w:pPr>
              <w:spacing w:after="0" w:line="240" w:lineRule="auto"/>
              <w:jc w:val="left"/>
              <w:rPr>
                <w:rFonts w:ascii="Arial" w:hAnsi="Arial" w:cs="Arial"/>
                <w:b/>
                <w:bCs/>
                <w:color w:val="000000"/>
              </w:rPr>
            </w:pPr>
          </w:p>
        </w:tc>
      </w:tr>
      <w:tr w:rsidR="00360825" w:rsidRPr="00DE1AA1" w14:paraId="6E221241" w14:textId="77777777" w:rsidTr="00C04569">
        <w:trPr>
          <w:trHeight w:val="290"/>
        </w:trPr>
        <w:tc>
          <w:tcPr>
            <w:tcW w:w="6060" w:type="dxa"/>
            <w:noWrap/>
            <w:hideMark/>
          </w:tcPr>
          <w:p w14:paraId="6A9C9252"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 xml:space="preserve">Date of plan adoption </w:t>
            </w:r>
          </w:p>
        </w:tc>
        <w:tc>
          <w:tcPr>
            <w:tcW w:w="2724" w:type="dxa"/>
            <w:noWrap/>
          </w:tcPr>
          <w:p w14:paraId="13A64E99"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14</w:t>
            </w:r>
            <w:r w:rsidRPr="00DE1AA1">
              <w:rPr>
                <w:rFonts w:ascii="Arial" w:hAnsi="Arial" w:cs="Arial"/>
                <w:color w:val="000000"/>
                <w:vertAlign w:val="superscript"/>
              </w:rPr>
              <w:t>th</w:t>
            </w:r>
            <w:r w:rsidRPr="00DE1AA1">
              <w:rPr>
                <w:rFonts w:ascii="Arial" w:hAnsi="Arial" w:cs="Arial"/>
                <w:color w:val="000000"/>
              </w:rPr>
              <w:t xml:space="preserve"> July 2015</w:t>
            </w:r>
          </w:p>
        </w:tc>
      </w:tr>
      <w:tr w:rsidR="00360825" w:rsidRPr="00DE1AA1" w14:paraId="0870605F" w14:textId="77777777" w:rsidTr="00C04569">
        <w:trPr>
          <w:trHeight w:val="290"/>
        </w:trPr>
        <w:tc>
          <w:tcPr>
            <w:tcW w:w="6060" w:type="dxa"/>
            <w:noWrap/>
            <w:hideMark/>
          </w:tcPr>
          <w:p w14:paraId="2C233D2D"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Plan more than 5 years old</w:t>
            </w:r>
          </w:p>
        </w:tc>
        <w:tc>
          <w:tcPr>
            <w:tcW w:w="2724" w:type="dxa"/>
            <w:noWrap/>
          </w:tcPr>
          <w:p w14:paraId="5EEEC109"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Yes</w:t>
            </w:r>
          </w:p>
        </w:tc>
      </w:tr>
      <w:tr w:rsidR="00360825" w:rsidRPr="00DE1AA1" w14:paraId="61B8A825" w14:textId="77777777" w:rsidTr="00C04569">
        <w:trPr>
          <w:trHeight w:val="290"/>
        </w:trPr>
        <w:tc>
          <w:tcPr>
            <w:tcW w:w="6060" w:type="dxa"/>
            <w:noWrap/>
            <w:hideMark/>
          </w:tcPr>
          <w:p w14:paraId="5A2DD7C7"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Housing requirement in last adopted plan*</w:t>
            </w:r>
          </w:p>
        </w:tc>
        <w:tc>
          <w:tcPr>
            <w:tcW w:w="2724" w:type="dxa"/>
            <w:noWrap/>
          </w:tcPr>
          <w:p w14:paraId="2BBBE122"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435</w:t>
            </w:r>
          </w:p>
        </w:tc>
      </w:tr>
      <w:tr w:rsidR="00360825" w:rsidRPr="00DE1AA1" w14:paraId="03047C80" w14:textId="77777777" w:rsidTr="00C04569">
        <w:trPr>
          <w:trHeight w:val="290"/>
        </w:trPr>
        <w:tc>
          <w:tcPr>
            <w:tcW w:w="6060" w:type="dxa"/>
            <w:noWrap/>
          </w:tcPr>
          <w:p w14:paraId="041788A2" w14:textId="77777777" w:rsidR="00360825" w:rsidRPr="00DE1AA1" w:rsidRDefault="00360825" w:rsidP="00C04569">
            <w:pPr>
              <w:spacing w:after="0" w:line="240" w:lineRule="auto"/>
              <w:jc w:val="left"/>
              <w:rPr>
                <w:rFonts w:ascii="Arial" w:hAnsi="Arial" w:cs="Arial"/>
                <w:color w:val="000000"/>
              </w:rPr>
            </w:pPr>
          </w:p>
        </w:tc>
        <w:tc>
          <w:tcPr>
            <w:tcW w:w="2724" w:type="dxa"/>
            <w:noWrap/>
          </w:tcPr>
          <w:p w14:paraId="15E165A1" w14:textId="77777777" w:rsidR="00360825" w:rsidRPr="00DE1AA1" w:rsidRDefault="00360825" w:rsidP="00C04569">
            <w:pPr>
              <w:spacing w:after="0" w:line="240" w:lineRule="auto"/>
              <w:jc w:val="center"/>
              <w:rPr>
                <w:rFonts w:ascii="Arial" w:hAnsi="Arial" w:cs="Arial"/>
                <w:color w:val="000000"/>
              </w:rPr>
            </w:pPr>
          </w:p>
        </w:tc>
      </w:tr>
      <w:tr w:rsidR="00360825" w:rsidRPr="00DE1AA1" w14:paraId="240A7C84" w14:textId="77777777" w:rsidTr="00C04569">
        <w:trPr>
          <w:trHeight w:val="290"/>
        </w:trPr>
        <w:tc>
          <w:tcPr>
            <w:tcW w:w="6060" w:type="dxa"/>
            <w:noWrap/>
            <w:hideMark/>
          </w:tcPr>
          <w:p w14:paraId="5E28F804"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Higher Cap @ 40% above the household growth figure</w:t>
            </w:r>
          </w:p>
        </w:tc>
        <w:tc>
          <w:tcPr>
            <w:tcW w:w="2724" w:type="dxa"/>
            <w:noWrap/>
          </w:tcPr>
          <w:p w14:paraId="64BF902A"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763</w:t>
            </w:r>
          </w:p>
        </w:tc>
      </w:tr>
      <w:tr w:rsidR="00360825" w:rsidRPr="00DE1AA1" w14:paraId="2BFB112A" w14:textId="77777777" w:rsidTr="00C04569">
        <w:trPr>
          <w:trHeight w:val="290"/>
        </w:trPr>
        <w:tc>
          <w:tcPr>
            <w:tcW w:w="6060" w:type="dxa"/>
            <w:noWrap/>
            <w:hideMark/>
          </w:tcPr>
          <w:p w14:paraId="4157A4F3" w14:textId="77777777" w:rsidR="00360825" w:rsidRPr="00DE1AA1" w:rsidRDefault="00360825" w:rsidP="00C04569">
            <w:pPr>
              <w:spacing w:after="0" w:line="240" w:lineRule="auto"/>
              <w:jc w:val="center"/>
              <w:rPr>
                <w:rFonts w:ascii="Arial" w:hAnsi="Arial" w:cs="Arial"/>
                <w:color w:val="000000"/>
              </w:rPr>
            </w:pPr>
          </w:p>
        </w:tc>
        <w:tc>
          <w:tcPr>
            <w:tcW w:w="2724" w:type="dxa"/>
            <w:noWrap/>
          </w:tcPr>
          <w:p w14:paraId="5A5FE5AD" w14:textId="77777777" w:rsidR="00360825" w:rsidRPr="00D556DB" w:rsidRDefault="00360825" w:rsidP="00C04569">
            <w:pPr>
              <w:spacing w:after="0" w:line="240" w:lineRule="auto"/>
              <w:jc w:val="left"/>
              <w:rPr>
                <w:rFonts w:ascii="Arial" w:hAnsi="Arial" w:cs="Arial"/>
              </w:rPr>
            </w:pPr>
          </w:p>
        </w:tc>
      </w:tr>
      <w:tr w:rsidR="00360825" w:rsidRPr="00DE1AA1" w14:paraId="0B0016FB" w14:textId="77777777" w:rsidTr="00C04569">
        <w:trPr>
          <w:trHeight w:val="290"/>
        </w:trPr>
        <w:tc>
          <w:tcPr>
            <w:tcW w:w="6060" w:type="dxa"/>
            <w:shd w:val="clear" w:color="auto" w:fill="BFBFBF" w:themeFill="background1" w:themeFillShade="BF"/>
            <w:noWrap/>
            <w:hideMark/>
          </w:tcPr>
          <w:p w14:paraId="59CE40A3" w14:textId="73156093" w:rsidR="00360825" w:rsidRPr="00DE1AA1" w:rsidRDefault="00360825" w:rsidP="00C04569">
            <w:pPr>
              <w:spacing w:after="0" w:line="240" w:lineRule="auto"/>
              <w:jc w:val="left"/>
              <w:rPr>
                <w:rFonts w:ascii="Arial" w:hAnsi="Arial" w:cs="Arial"/>
                <w:b/>
                <w:bCs/>
                <w:color w:val="000000"/>
              </w:rPr>
            </w:pPr>
            <w:r w:rsidRPr="00DE1AA1">
              <w:rPr>
                <w:rFonts w:ascii="Arial" w:hAnsi="Arial" w:cs="Arial"/>
                <w:b/>
                <w:bCs/>
                <w:color w:val="000000"/>
              </w:rPr>
              <w:t>Minimum Local Housing Need (p.a.)</w:t>
            </w:r>
            <w:r w:rsidR="002A7FB5">
              <w:rPr>
                <w:rFonts w:ascii="Arial" w:hAnsi="Arial" w:cs="Arial"/>
                <w:b/>
                <w:bCs/>
                <w:color w:val="000000"/>
              </w:rPr>
              <w:t xml:space="preserve"> – District</w:t>
            </w:r>
          </w:p>
        </w:tc>
        <w:tc>
          <w:tcPr>
            <w:tcW w:w="2724" w:type="dxa"/>
            <w:shd w:val="clear" w:color="auto" w:fill="BFBFBF" w:themeFill="background1" w:themeFillShade="BF"/>
            <w:noWrap/>
          </w:tcPr>
          <w:p w14:paraId="589298E3" w14:textId="77777777" w:rsidR="00360825" w:rsidRPr="00DE1AA1" w:rsidRDefault="00360825" w:rsidP="00C04569">
            <w:pPr>
              <w:spacing w:after="0" w:line="240" w:lineRule="auto"/>
              <w:jc w:val="center"/>
              <w:rPr>
                <w:rFonts w:ascii="Arial" w:hAnsi="Arial" w:cs="Arial"/>
                <w:b/>
                <w:bCs/>
                <w:color w:val="000000"/>
              </w:rPr>
            </w:pPr>
            <w:r w:rsidRPr="00DE1AA1">
              <w:rPr>
                <w:rFonts w:ascii="Arial" w:hAnsi="Arial" w:cs="Arial"/>
                <w:b/>
                <w:bCs/>
                <w:color w:val="000000"/>
              </w:rPr>
              <w:t>763</w:t>
            </w:r>
          </w:p>
        </w:tc>
      </w:tr>
      <w:tr w:rsidR="002A7FB5" w:rsidRPr="00DE1AA1" w14:paraId="61AD3F30" w14:textId="77777777" w:rsidTr="00C04569">
        <w:trPr>
          <w:trHeight w:val="290"/>
        </w:trPr>
        <w:tc>
          <w:tcPr>
            <w:tcW w:w="6060" w:type="dxa"/>
            <w:shd w:val="clear" w:color="auto" w:fill="BFBFBF" w:themeFill="background1" w:themeFillShade="BF"/>
            <w:noWrap/>
          </w:tcPr>
          <w:p w14:paraId="78C27C48" w14:textId="43687945" w:rsidR="002A7FB5" w:rsidRPr="00DE1AA1" w:rsidRDefault="002A7FB5" w:rsidP="002A7FB5">
            <w:pPr>
              <w:spacing w:after="0" w:line="240" w:lineRule="auto"/>
              <w:jc w:val="left"/>
              <w:rPr>
                <w:rFonts w:ascii="Arial" w:hAnsi="Arial" w:cs="Arial"/>
                <w:b/>
                <w:bCs/>
                <w:color w:val="000000"/>
              </w:rPr>
            </w:pPr>
            <w:r w:rsidRPr="00DE1AA1">
              <w:rPr>
                <w:rFonts w:ascii="Arial" w:hAnsi="Arial" w:cs="Arial"/>
                <w:b/>
                <w:bCs/>
                <w:color w:val="000000"/>
              </w:rPr>
              <w:t>Minimum Local Housing Need (p.a.)</w:t>
            </w:r>
            <w:r>
              <w:rPr>
                <w:rFonts w:ascii="Arial" w:hAnsi="Arial" w:cs="Arial"/>
                <w:b/>
                <w:bCs/>
                <w:color w:val="000000"/>
              </w:rPr>
              <w:t xml:space="preserve"> – Plan Area</w:t>
            </w:r>
          </w:p>
        </w:tc>
        <w:tc>
          <w:tcPr>
            <w:tcW w:w="2724" w:type="dxa"/>
            <w:shd w:val="clear" w:color="auto" w:fill="BFBFBF" w:themeFill="background1" w:themeFillShade="BF"/>
            <w:noWrap/>
          </w:tcPr>
          <w:p w14:paraId="5826C054" w14:textId="6325929A" w:rsidR="002A7FB5" w:rsidRPr="00DE1AA1" w:rsidRDefault="002A7FB5" w:rsidP="002A7FB5">
            <w:pPr>
              <w:spacing w:after="0" w:line="240" w:lineRule="auto"/>
              <w:jc w:val="center"/>
              <w:rPr>
                <w:rFonts w:ascii="Arial" w:hAnsi="Arial" w:cs="Arial"/>
                <w:b/>
                <w:bCs/>
                <w:color w:val="000000"/>
              </w:rPr>
            </w:pPr>
            <w:r>
              <w:rPr>
                <w:rFonts w:ascii="Arial" w:hAnsi="Arial" w:cs="Arial"/>
                <w:b/>
                <w:bCs/>
                <w:color w:val="000000"/>
              </w:rPr>
              <w:t>638</w:t>
            </w:r>
          </w:p>
        </w:tc>
      </w:tr>
    </w:tbl>
    <w:bookmarkEnd w:id="17"/>
    <w:p w14:paraId="1D7E5ED9" w14:textId="2CAEB942" w:rsidR="00360825" w:rsidRPr="00D556DB" w:rsidRDefault="00472D63" w:rsidP="00472D63">
      <w:pPr>
        <w:pStyle w:val="ListBullet"/>
        <w:numPr>
          <w:ilvl w:val="0"/>
          <w:numId w:val="0"/>
        </w:numPr>
        <w:ind w:left="357" w:hanging="357"/>
        <w:rPr>
          <w:rFonts w:ascii="Arial" w:eastAsiaTheme="majorEastAsia" w:hAnsi="Arial" w:cs="Arial"/>
        </w:rPr>
      </w:pPr>
      <w:r>
        <w:rPr>
          <w:rFonts w:ascii="Arial" w:eastAsiaTheme="majorEastAsia" w:hAnsi="Arial" w:cs="Arial"/>
        </w:rPr>
        <w:t>*</w:t>
      </w:r>
      <w:r w:rsidR="00360825" w:rsidRPr="00D556DB">
        <w:rPr>
          <w:rFonts w:ascii="Arial" w:eastAsiaTheme="majorEastAsia" w:hAnsi="Arial" w:cs="Arial"/>
        </w:rPr>
        <w:t xml:space="preserve">This is a figure for the Plan Area </w:t>
      </w:r>
    </w:p>
    <w:p w14:paraId="14095F23" w14:textId="77777777" w:rsidR="00360825" w:rsidRPr="00D556DB" w:rsidRDefault="00360825" w:rsidP="001A7584">
      <w:pPr>
        <w:pStyle w:val="BodyText"/>
        <w:numPr>
          <w:ilvl w:val="1"/>
          <w:numId w:val="6"/>
        </w:numPr>
        <w:tabs>
          <w:tab w:val="clear" w:pos="1134"/>
          <w:tab w:val="num" w:pos="0"/>
        </w:tabs>
        <w:spacing w:before="360"/>
        <w:ind w:left="0" w:hanging="709"/>
        <w:rPr>
          <w:rFonts w:ascii="Arial" w:eastAsiaTheme="majorEastAsia" w:hAnsi="Arial" w:cs="Arial"/>
        </w:rPr>
      </w:pPr>
      <w:r w:rsidRPr="00D556DB">
        <w:rPr>
          <w:rFonts w:ascii="Arial" w:eastAsiaTheme="majorEastAsia" w:hAnsi="Arial" w:cs="Arial"/>
        </w:rPr>
        <w:t>Notably, the minimum local housing need generated by the current LHN methodology is 74% above the adopted housing requirement figure of 435 homes per annum. However, for the avoidance of doubt, the standard method figure includes the area of the District falling within the South Downs National Park. We have set out below how the Plan Area calculations should be addressed.</w:t>
      </w:r>
    </w:p>
    <w:p w14:paraId="46936CF3"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The Relationship with the South Downs National Park</w:t>
      </w:r>
    </w:p>
    <w:p w14:paraId="20C778B3"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Chichester District Council has historically worked to meet overall housing need for the district with the South Downs National Park Authority (SDNPA). It should however be noted that the SDNPA adopted its own Local Plan in July 2019 which covers the area of Chichester District within the National Park.</w:t>
      </w:r>
    </w:p>
    <w:p w14:paraId="1F6E3D6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In February 2018, and during the course of the preparation of its South Downs National Park Local Plan, the SDNPA formally requested that Chichester District Council considered whether it could accommodate some, or all, of the unmet housing need arising from the part of the National Park within Chichester District</w:t>
      </w:r>
      <w:r w:rsidRPr="00D556DB">
        <w:rPr>
          <w:rFonts w:ascii="Arial" w:eastAsiaTheme="majorEastAsia" w:hAnsi="Arial" w:cs="Arial"/>
        </w:rPr>
        <w:t>.</w:t>
      </w:r>
    </w:p>
    <w:p w14:paraId="6335574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To inform its housing need, a HEDNA for the National Park area was prepared which suggested a demographic-led housing requirement for the area of Chichester District within the National Park of 125 homes per annum for the period 2014-2033. As this report looks at need rather than supply it is assumed that any SDNP contribution to district wide need would be 125 dpa. </w:t>
      </w:r>
    </w:p>
    <w:p w14:paraId="1061281E" w14:textId="4F33421A"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lastRenderedPageBreak/>
        <w:t>Applying this apportionment to the SDNPA therefore results in the standard method figure of 763 dpa being apportioned as 125 dpa for the SDNP and 638 dpa for the District outside of the National Park.</w:t>
      </w:r>
      <w:r w:rsidR="002A7FB5">
        <w:rPr>
          <w:rFonts w:ascii="Arial" w:eastAsiaTheme="majorEastAsia" w:hAnsi="Arial" w:cs="Arial"/>
        </w:rPr>
        <w:t xml:space="preserve">  The figure of 638 dpa for the district is the key figure examined in the remainder of the report.</w:t>
      </w:r>
    </w:p>
    <w:p w14:paraId="7A4CAFA8"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Any provision below 125 dpa in the SDNP would be considered as unmet need and the district Council would need to consider whether it can be accommodated within the Chichester Plan Area. This will be informed by a</w:t>
      </w:r>
      <w:r w:rsidRPr="00D556DB">
        <w:rPr>
          <w:rFonts w:ascii="Arial" w:eastAsiaTheme="majorEastAsia" w:hAnsi="Arial" w:cs="Arial"/>
        </w:rPr>
        <w:t xml:space="preserve"> final decision on the capacity of the Chichester Plan Area. </w:t>
      </w:r>
    </w:p>
    <w:p w14:paraId="6AFBB90A"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Wider Considerations in Assessing Housing Need</w:t>
      </w:r>
    </w:p>
    <w:p w14:paraId="55F69BF5" w14:textId="77777777" w:rsidR="00360825" w:rsidRPr="00D556DB" w:rsidRDefault="00360825" w:rsidP="001A7584">
      <w:pPr>
        <w:pStyle w:val="BodyText"/>
        <w:numPr>
          <w:ilvl w:val="1"/>
          <w:numId w:val="6"/>
        </w:numPr>
        <w:tabs>
          <w:tab w:val="num" w:pos="0"/>
        </w:tabs>
        <w:spacing w:before="240"/>
        <w:ind w:left="0" w:hanging="709"/>
        <w:rPr>
          <w:rFonts w:ascii="Arial" w:hAnsi="Arial" w:cs="Arial"/>
        </w:rPr>
      </w:pPr>
      <w:r w:rsidRPr="00D556DB">
        <w:rPr>
          <w:rFonts w:ascii="Arial" w:hAnsi="Arial" w:cs="Arial"/>
        </w:rPr>
        <w:t>The PPG sets out that the standard method does not predict the impact that future Government policies, changing economic circumstances or other factors may have. The PPG</w:t>
      </w:r>
      <w:r w:rsidRPr="00D556DB">
        <w:rPr>
          <w:rFonts w:ascii="Arial" w:hAnsi="Arial" w:cs="Arial"/>
          <w:vertAlign w:val="superscript"/>
        </w:rPr>
        <w:footnoteReference w:id="4"/>
      </w:r>
      <w:r w:rsidRPr="00D556DB">
        <w:rPr>
          <w:rFonts w:ascii="Arial" w:hAnsi="Arial" w:cs="Arial"/>
        </w:rPr>
        <w:t xml:space="preserve"> states that there will be circumstances where it is appropriate to consider whether actual housing need is higher than the standard method indicates. It outlines the circumstances where this may be appropriate, which include:</w:t>
      </w:r>
    </w:p>
    <w:p w14:paraId="70C9F26C" w14:textId="77777777" w:rsidR="00360825" w:rsidRPr="00D556DB" w:rsidRDefault="00360825" w:rsidP="00360825">
      <w:pPr>
        <w:pStyle w:val="ListBullet2"/>
        <w:rPr>
          <w:rFonts w:ascii="Arial" w:hAnsi="Arial" w:cs="Arial"/>
        </w:rPr>
      </w:pPr>
      <w:r w:rsidRPr="00D556DB">
        <w:rPr>
          <w:rFonts w:ascii="Arial" w:hAnsi="Arial" w:cs="Arial"/>
        </w:rPr>
        <w:t>Where funding is in place to promote and facilitate additional growth (i.e. Housing Deals, City Growth Deals, etc.); or</w:t>
      </w:r>
    </w:p>
    <w:p w14:paraId="0E661312" w14:textId="77777777" w:rsidR="00360825" w:rsidRPr="00D556DB" w:rsidRDefault="00360825" w:rsidP="00360825">
      <w:pPr>
        <w:pStyle w:val="ListBullet2"/>
        <w:rPr>
          <w:rFonts w:ascii="Arial" w:hAnsi="Arial" w:cs="Arial"/>
        </w:rPr>
      </w:pPr>
      <w:r w:rsidRPr="00D556DB">
        <w:rPr>
          <w:rFonts w:ascii="Arial" w:hAnsi="Arial" w:cs="Arial"/>
        </w:rPr>
        <w:t>Where strategic infrastructure improvements are likely to drive an increase in the homes needed locally; or</w:t>
      </w:r>
    </w:p>
    <w:p w14:paraId="7CF65A80" w14:textId="77777777" w:rsidR="00360825" w:rsidRPr="00D556DB" w:rsidRDefault="00360825" w:rsidP="00360825">
      <w:pPr>
        <w:pStyle w:val="ListBullet2"/>
        <w:spacing w:after="360"/>
        <w:rPr>
          <w:rFonts w:ascii="Arial" w:hAnsi="Arial" w:cs="Arial"/>
        </w:rPr>
      </w:pPr>
      <w:r w:rsidRPr="00D556DB">
        <w:rPr>
          <w:rFonts w:ascii="Arial" w:hAnsi="Arial" w:cs="Arial"/>
        </w:rPr>
        <w:t>An authority agreeing to take on unmet need from neighbouring authorities, as set out in a Statement of Common Ground.</w:t>
      </w:r>
    </w:p>
    <w:p w14:paraId="11FACCD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The PPG</w:t>
      </w:r>
      <w:r w:rsidRPr="00D556DB">
        <w:rPr>
          <w:rStyle w:val="FootnoteReference"/>
          <w:rFonts w:ascii="Arial" w:eastAsiaTheme="majorEastAsia" w:hAnsi="Arial" w:cs="Arial"/>
        </w:rPr>
        <w:footnoteReference w:id="5"/>
      </w:r>
      <w:r w:rsidRPr="00D556DB">
        <w:rPr>
          <w:rFonts w:ascii="Arial" w:eastAsiaTheme="majorEastAsia" w:hAnsi="Arial" w:cs="Arial"/>
        </w:rPr>
        <w:t xml:space="preserve"> also requires consideration to be given to the inter-relationship with the assessed need for affordable housing. It sets out that:</w:t>
      </w:r>
    </w:p>
    <w:p w14:paraId="5D916D7B" w14:textId="77777777" w:rsidR="00360825" w:rsidRPr="00D556DB" w:rsidRDefault="00360825" w:rsidP="00360825">
      <w:pPr>
        <w:pStyle w:val="BodyText"/>
        <w:numPr>
          <w:ilvl w:val="0"/>
          <w:numId w:val="0"/>
        </w:numPr>
        <w:ind w:left="720"/>
        <w:rPr>
          <w:rFonts w:ascii="Arial" w:eastAsiaTheme="majorEastAsia" w:hAnsi="Arial" w:cs="Arial"/>
        </w:rPr>
      </w:pPr>
      <w:r w:rsidRPr="00D556DB">
        <w:rPr>
          <w:rFonts w:ascii="Arial" w:eastAsiaTheme="majorEastAsia" w:hAnsi="Arial" w:cs="Arial"/>
        </w:rPr>
        <w:t>“</w:t>
      </w:r>
      <w:r w:rsidRPr="00D556DB">
        <w:rPr>
          <w:rFonts w:ascii="Arial" w:eastAsiaTheme="majorEastAsia" w:hAnsi="Arial" w:cs="Arial"/>
          <w:i/>
          <w:iCs/>
        </w:rPr>
        <w:t>The total affordable housing need [once assessed] can then be considered in the context of its likely delivery as a proportion of mixed market and affordable housing developments, taking into account the probable percentage of affordable housing to be delivered by eligible market housing led developments. An increase in the total housing figures included in the plan may need to be considered where it could help deliver the required number of affordable homes.</w:t>
      </w:r>
      <w:r w:rsidRPr="00D556DB">
        <w:rPr>
          <w:rFonts w:ascii="Arial" w:eastAsiaTheme="majorEastAsia" w:hAnsi="Arial" w:cs="Arial"/>
        </w:rPr>
        <w:t>”</w:t>
      </w:r>
    </w:p>
    <w:p w14:paraId="2F2200EB" w14:textId="77777777" w:rsidR="00360825" w:rsidRPr="00D556DB" w:rsidRDefault="00360825" w:rsidP="00360825">
      <w:pPr>
        <w:pStyle w:val="Heading3"/>
        <w:rPr>
          <w:rFonts w:ascii="Arial" w:eastAsiaTheme="majorEastAsia" w:hAnsi="Arial" w:cs="Arial"/>
        </w:rPr>
      </w:pPr>
      <w:r w:rsidRPr="00D556DB">
        <w:rPr>
          <w:rFonts w:ascii="Arial" w:eastAsiaTheme="majorEastAsia" w:hAnsi="Arial" w:cs="Arial"/>
        </w:rPr>
        <w:lastRenderedPageBreak/>
        <w:t>Growth Funding</w:t>
      </w:r>
    </w:p>
    <w:p w14:paraId="468A0D2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There is currently no funding in place to facilitate additional growth in Chichester District. </w:t>
      </w:r>
      <w:r w:rsidRPr="00D556DB">
        <w:rPr>
          <w:rFonts w:ascii="Arial" w:hAnsi="Arial" w:cs="Arial"/>
        </w:rPr>
        <w:t>There are also no discussions ongoing relating to growth funding or housing deals at this time and therefore Iceni has not considered this to be relevant to the potential for higher housing need in the District.</w:t>
      </w:r>
    </w:p>
    <w:p w14:paraId="3927DD46" w14:textId="77777777" w:rsidR="00360825" w:rsidRPr="00D556DB" w:rsidRDefault="00360825" w:rsidP="00360825">
      <w:pPr>
        <w:pStyle w:val="Heading3"/>
        <w:rPr>
          <w:rFonts w:ascii="Arial" w:hAnsi="Arial" w:cs="Arial"/>
        </w:rPr>
      </w:pPr>
      <w:r w:rsidRPr="00D556DB">
        <w:rPr>
          <w:rFonts w:ascii="Arial" w:eastAsiaTheme="majorEastAsia" w:hAnsi="Arial" w:cs="Arial"/>
        </w:rPr>
        <w:t>Strategic Infrastructure Improvements:</w:t>
      </w:r>
    </w:p>
    <w:p w14:paraId="4960982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Iceni is not aware of any strategic infrastructure improvement schemes directly influencing Chichester District. Iceni does however acknowledge that within the wider area, the recent announcement that the Solent Freeport area covering parts of Southampton, Portsmouth and surrounds has been awarded ‘freeport’ status is significant in the context of strategic infrastructure. </w:t>
      </w:r>
    </w:p>
    <w:p w14:paraId="19BAD6B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Freeport sites benefit from common customs rules, planning policies and business taxes being lifted so businesses can import materials and components and then export them without the normal tariffs or regulations. Solent Local Enterprise Partnership (“LEP”) has noted that 26,000 new jobs could be created within the Solent area with an additional 26,000 new jobs in the wider UK supply Chain including neighbouring areas such as Chichester. Iceni’s analysis around economic growth in the District will factor this in as appropriate.</w:t>
      </w:r>
    </w:p>
    <w:p w14:paraId="2FCBA7DC" w14:textId="77777777" w:rsidR="00360825" w:rsidRPr="00D556DB" w:rsidRDefault="00360825" w:rsidP="00360825">
      <w:pPr>
        <w:pStyle w:val="Heading3"/>
        <w:rPr>
          <w:rFonts w:ascii="Arial" w:eastAsiaTheme="majorEastAsia" w:hAnsi="Arial" w:cs="Arial"/>
        </w:rPr>
      </w:pPr>
      <w:r w:rsidRPr="00D556DB">
        <w:rPr>
          <w:rFonts w:ascii="Arial" w:eastAsiaTheme="majorEastAsia" w:hAnsi="Arial" w:cs="Arial"/>
        </w:rPr>
        <w:t xml:space="preserve">Affordable Housing Need </w:t>
      </w:r>
    </w:p>
    <w:p w14:paraId="32F36F0D" w14:textId="77777777" w:rsidR="00360825" w:rsidRPr="00D556DB" w:rsidRDefault="00360825" w:rsidP="001A7584">
      <w:pPr>
        <w:pStyle w:val="BodyText"/>
        <w:numPr>
          <w:ilvl w:val="1"/>
          <w:numId w:val="6"/>
        </w:numPr>
        <w:tabs>
          <w:tab w:val="clear" w:pos="1134"/>
        </w:tabs>
        <w:ind w:left="0" w:hanging="709"/>
        <w:rPr>
          <w:rFonts w:ascii="Arial" w:eastAsiaTheme="majorEastAsia" w:hAnsi="Arial" w:cs="Arial"/>
        </w:rPr>
      </w:pPr>
      <w:r w:rsidRPr="00D556DB">
        <w:rPr>
          <w:rFonts w:ascii="Arial" w:eastAsiaTheme="majorEastAsia" w:hAnsi="Arial" w:cs="Arial"/>
        </w:rPr>
        <w:t xml:space="preserve">The adopted Local Plan under Policy 34 sets out a policy target for 30% of all new homes to be provided as affordable housing. This applies to all sites providing 11 homes or more. On sites of 6 to 10 homes in areas designated as rural areas, a financial contribution for the provision of affordable housing is sought. Since 2011, the delivery of affordable housing has equated to 33% of housing completions across all sites. </w:t>
      </w:r>
    </w:p>
    <w:p w14:paraId="3FF80E2E" w14:textId="77777777" w:rsidR="00360825" w:rsidRPr="00D556DB" w:rsidRDefault="00360825" w:rsidP="001A7584">
      <w:pPr>
        <w:pStyle w:val="Heading4"/>
        <w:ind w:firstLine="0"/>
        <w:rPr>
          <w:rFonts w:eastAsiaTheme="majorEastAsia"/>
        </w:rPr>
      </w:pPr>
      <w:r w:rsidRPr="00D556DB">
        <w:rPr>
          <w:rFonts w:eastAsiaTheme="majorEastAsia"/>
        </w:rPr>
        <w:t xml:space="preserve">- </w:t>
      </w:r>
      <w:r w:rsidRPr="00472D63">
        <w:t>Affordable</w:t>
      </w:r>
      <w:r w:rsidRPr="00D556DB">
        <w:rPr>
          <w:rFonts w:eastAsiaTheme="majorEastAsia"/>
        </w:rPr>
        <w:t xml:space="preserve"> Housing Completions – Chichester Plan Area (2011/12-2020/21)</w:t>
      </w:r>
    </w:p>
    <w:p w14:paraId="2A44C6FD" w14:textId="77777777" w:rsidR="00360825" w:rsidRPr="00D556DB" w:rsidRDefault="00360825" w:rsidP="00360825">
      <w:pPr>
        <w:pStyle w:val="BodyText"/>
        <w:numPr>
          <w:ilvl w:val="0"/>
          <w:numId w:val="0"/>
        </w:numPr>
        <w:spacing w:after="0" w:line="240" w:lineRule="auto"/>
        <w:rPr>
          <w:rFonts w:ascii="Arial" w:eastAsiaTheme="majorEastAsia" w:hAnsi="Arial" w:cs="Arial"/>
        </w:rPr>
      </w:pPr>
      <w:r w:rsidRPr="00D556DB">
        <w:rPr>
          <w:rFonts w:ascii="Arial" w:hAnsi="Arial" w:cs="Arial"/>
          <w:noProof/>
        </w:rPr>
        <w:drawing>
          <wp:inline distT="0" distB="0" distL="0" distR="0" wp14:anchorId="482176D3" wp14:editId="52190EC5">
            <wp:extent cx="5515336" cy="2743200"/>
            <wp:effectExtent l="0" t="0" r="9525" b="0"/>
            <wp:docPr id="71" name="Chart 71" descr="Since 2011, the delivery of affordable housing has equated to 33% of housing completions across all sites. &#10;&#10;Although this has fallen over time as overall completions have increased while affordable completions have not to the same degree.">
              <a:extLst xmlns:a="http://schemas.openxmlformats.org/drawingml/2006/main">
                <a:ext uri="{FF2B5EF4-FFF2-40B4-BE49-F238E27FC236}">
                  <a16:creationId xmlns:a16="http://schemas.microsoft.com/office/drawing/2014/main" id="{BEEC99AC-8F64-460E-932B-A77796A4E5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B92AE4E" w14:textId="77777777" w:rsidR="00360825" w:rsidRPr="00D556DB" w:rsidRDefault="00360825" w:rsidP="00360825">
      <w:pPr>
        <w:pStyle w:val="BodyText"/>
        <w:numPr>
          <w:ilvl w:val="0"/>
          <w:numId w:val="0"/>
        </w:numPr>
        <w:rPr>
          <w:rFonts w:ascii="Arial" w:eastAsiaTheme="majorEastAsia" w:hAnsi="Arial" w:cs="Arial"/>
        </w:rPr>
      </w:pPr>
      <w:r w:rsidRPr="00D556DB">
        <w:rPr>
          <w:rFonts w:ascii="Arial" w:eastAsiaTheme="majorEastAsia" w:hAnsi="Arial" w:cs="Arial"/>
        </w:rPr>
        <w:t>Source: Based on CDC Monitoring Data</w:t>
      </w:r>
    </w:p>
    <w:p w14:paraId="3535AA5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The PPG</w:t>
      </w:r>
      <w:r w:rsidRPr="00D556DB">
        <w:rPr>
          <w:rStyle w:val="FootnoteReference"/>
          <w:rFonts w:ascii="Arial" w:hAnsi="Arial" w:cs="Arial"/>
        </w:rPr>
        <w:footnoteReference w:id="6"/>
      </w:r>
      <w:r w:rsidRPr="00D556DB">
        <w:rPr>
          <w:rFonts w:ascii="Arial" w:hAnsi="Arial" w:cs="Arial"/>
        </w:rPr>
        <w:t xml:space="preserve"> outlines that an increase in the total housing figures included within a Local Plan should be considered where it could help deliver the required number of affordable homes. The analysis in this report at Section 4 shows a total need for 587 affordable homes per annum. This equates to 77% of the standard method local housing need figure – a level which is unrealistic to achieve and would ultimately constrain the delivery of market housing.</w:t>
      </w:r>
    </w:p>
    <w:p w14:paraId="66D5D5A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Furthermore, on the basis of the Council’s adopted affordable housing policy at 30%, overall housing need would have to be equal to 1,370 homes per annum if the full extent of affordable housing need were to be met. On the basis of historic average affordable housing delivery at 33%, local housing need would have to be equal to an even higher 1,778 homes per annum.</w:t>
      </w:r>
    </w:p>
    <w:p w14:paraId="34724B0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Iceni considers that neither of these scenarios are realistic and ultimately, it is inappropriate to use a mechanical relationship to consider how affordable housing provision and overall housing need relate to one another. </w:t>
      </w:r>
    </w:p>
    <w:p w14:paraId="1FB4F97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The affordable housing need is a point-in-time assessment based on current housing costs relative to earnings and takes account of current supply. The reality is that many households with an affordable housing need, including those who aspire to own a home, are existing households who would vacant their existing homes should an appropriate affordable home be found for them.</w:t>
      </w:r>
      <w:r>
        <w:rPr>
          <w:rFonts w:ascii="Arial" w:eastAsiaTheme="majorEastAsia" w:hAnsi="Arial" w:cs="Arial"/>
        </w:rPr>
        <w:t xml:space="preserve"> </w:t>
      </w:r>
      <w:r w:rsidRPr="00D556DB">
        <w:rPr>
          <w:rFonts w:ascii="Arial" w:eastAsiaTheme="majorEastAsia" w:hAnsi="Arial" w:cs="Arial"/>
        </w:rPr>
        <w:t>Furthermore, newly forming households form part of both the overall need and the affordable housing need and would thus be double counted.</w:t>
      </w:r>
    </w:p>
    <w:p w14:paraId="7CD37E0E"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It is also the case that the intention behind the affordability uplift in the standard method is to improve the affordability of market housing over time. This envisages reducing the cost of market housing relative to earnings, and in doing so would reduce the affordable housing need.</w:t>
      </w:r>
    </w:p>
    <w:p w14:paraId="5897DCE4" w14:textId="77777777" w:rsidR="00360825" w:rsidRPr="00D556DB" w:rsidRDefault="00360825" w:rsidP="00360825">
      <w:pPr>
        <w:pStyle w:val="Heading3"/>
        <w:rPr>
          <w:rFonts w:ascii="Arial" w:eastAsiaTheme="majorEastAsia" w:hAnsi="Arial" w:cs="Arial"/>
        </w:rPr>
      </w:pPr>
      <w:r w:rsidRPr="00D556DB">
        <w:rPr>
          <w:rFonts w:ascii="Arial" w:eastAsiaTheme="majorEastAsia" w:hAnsi="Arial" w:cs="Arial"/>
        </w:rPr>
        <w:t>Unmet Housing Need</w:t>
      </w:r>
    </w:p>
    <w:p w14:paraId="5501EFC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Chichester is largely formed by the Coastal West Sussex Housing Market Area, although smaller parts of the District relate to the Guildford and Horsham Housing Market Area. The Coastal West Sussex Housing Market Area is largely comprised of Brighton and Hove, Adur, Worthing and Arun districts.</w:t>
      </w:r>
    </w:p>
    <w:p w14:paraId="6675EEC2" w14:textId="641C2FF0" w:rsidR="00CE36AF" w:rsidRPr="00C14995" w:rsidRDefault="00CE36AF" w:rsidP="001A7584">
      <w:pPr>
        <w:pStyle w:val="BodyText"/>
        <w:numPr>
          <w:ilvl w:val="1"/>
          <w:numId w:val="6"/>
        </w:numPr>
        <w:tabs>
          <w:tab w:val="clear" w:pos="1134"/>
          <w:tab w:val="num" w:pos="0"/>
        </w:tabs>
        <w:ind w:left="0" w:hanging="709"/>
        <w:rPr>
          <w:rFonts w:ascii="Arial" w:eastAsiaTheme="majorEastAsia" w:hAnsi="Arial" w:cs="Arial"/>
        </w:rPr>
      </w:pPr>
      <w:r w:rsidRPr="00C14995">
        <w:rPr>
          <w:rFonts w:ascii="Arial" w:eastAsiaTheme="majorEastAsia" w:hAnsi="Arial" w:cs="Arial"/>
        </w:rPr>
        <w:t>Arun is Chichester’s closest neighbour and adopted its Local Plan in July 2018.  The local plan seeks to provide 20,000 additional homes by 2031. This includes a provision</w:t>
      </w:r>
      <w:r>
        <w:rPr>
          <w:rFonts w:ascii="Arial" w:eastAsiaTheme="majorEastAsia" w:hAnsi="Arial" w:cs="Arial"/>
        </w:rPr>
        <w:t xml:space="preserve"> of 81 dpa or 1620 dwellings</w:t>
      </w:r>
      <w:r w:rsidRPr="00C14995">
        <w:rPr>
          <w:rFonts w:ascii="Arial" w:eastAsiaTheme="majorEastAsia" w:hAnsi="Arial" w:cs="Arial"/>
        </w:rPr>
        <w:t xml:space="preserve"> to “meet the needs of neighbouring authorities who cannot meet their needs, mainly Chichester and Worthing</w:t>
      </w:r>
      <w:r>
        <w:rPr>
          <w:rFonts w:ascii="Arial" w:eastAsiaTheme="majorEastAsia" w:hAnsi="Arial" w:cs="Arial"/>
        </w:rPr>
        <w:t xml:space="preserve">. </w:t>
      </w:r>
      <w:r w:rsidR="00C14995">
        <w:rPr>
          <w:rFonts w:ascii="Arial" w:eastAsiaTheme="majorEastAsia" w:hAnsi="Arial" w:cs="Arial"/>
        </w:rPr>
        <w:t xml:space="preserve">  Although this is not disaggregated to any specific local authority.</w:t>
      </w:r>
    </w:p>
    <w:p w14:paraId="46582358" w14:textId="17CB1F21"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lastRenderedPageBreak/>
        <w:t>Brighton and Hove’s City Plan was adopted in March 2016 and makes “provision for at least 13,200 new homes to be built over the plan period 2010 – 2030 (this equates to an annual average rate of provision of 660 dwellings).”</w:t>
      </w:r>
      <w:r>
        <w:rPr>
          <w:rFonts w:ascii="Arial" w:hAnsi="Arial" w:cs="Arial"/>
        </w:rPr>
        <w:t xml:space="preserve"> </w:t>
      </w:r>
      <w:r w:rsidRPr="00D556DB">
        <w:rPr>
          <w:rFonts w:ascii="Arial" w:hAnsi="Arial" w:cs="Arial"/>
        </w:rPr>
        <w:t>This is against a housing need of “1,506 dwellings per annum or 30,120 dwellings to 2030.”</w:t>
      </w:r>
      <w:r>
        <w:rPr>
          <w:rFonts w:ascii="Arial" w:hAnsi="Arial" w:cs="Arial"/>
        </w:rPr>
        <w:t xml:space="preserve"> </w:t>
      </w:r>
      <w:r w:rsidRPr="00D556DB">
        <w:rPr>
          <w:rFonts w:ascii="Arial" w:hAnsi="Arial" w:cs="Arial"/>
        </w:rPr>
        <w:t>There is therefore likely to be some unmet need from Brighton and Hove.</w:t>
      </w:r>
    </w:p>
    <w:p w14:paraId="3E50CB73" w14:textId="1B43C745"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The Adur </w:t>
      </w:r>
      <w:r w:rsidRPr="00D556DB">
        <w:rPr>
          <w:rFonts w:ascii="Arial" w:eastAsiaTheme="majorEastAsia" w:hAnsi="Arial" w:cs="Arial"/>
        </w:rPr>
        <w:t>Local</w:t>
      </w:r>
      <w:r w:rsidRPr="00D556DB">
        <w:rPr>
          <w:rFonts w:ascii="Arial" w:hAnsi="Arial" w:cs="Arial"/>
        </w:rPr>
        <w:t xml:space="preserve"> Plan</w:t>
      </w:r>
      <w:r w:rsidRPr="00D556DB">
        <w:rPr>
          <w:rStyle w:val="FootnoteReference"/>
          <w:rFonts w:ascii="Arial" w:hAnsi="Arial" w:cs="Arial"/>
        </w:rPr>
        <w:footnoteReference w:id="7"/>
      </w:r>
      <w:r w:rsidRPr="00D556DB">
        <w:rPr>
          <w:rFonts w:ascii="Arial" w:hAnsi="Arial" w:cs="Arial"/>
        </w:rPr>
        <w:t xml:space="preserve"> was adopted in July 2018. The Plan “allocates a number of Strategic Site Allocations across the District which will provide an important contribution to the future housing supply and also provide a contribution to the unmet housing needs which exist within the wider Housing Market Area</w:t>
      </w:r>
      <w:r w:rsidR="002B1913" w:rsidRPr="00D556DB">
        <w:rPr>
          <w:rFonts w:ascii="Arial" w:hAnsi="Arial" w:cs="Arial"/>
        </w:rPr>
        <w:t>.”</w:t>
      </w:r>
      <w:r>
        <w:rPr>
          <w:rFonts w:ascii="Arial" w:hAnsi="Arial" w:cs="Arial"/>
        </w:rPr>
        <w:t xml:space="preserve"> </w:t>
      </w:r>
      <w:r w:rsidRPr="00D556DB">
        <w:rPr>
          <w:rFonts w:ascii="Arial" w:hAnsi="Arial" w:cs="Arial"/>
        </w:rPr>
        <w:t xml:space="preserve">It is therefore unlikely that Adur will have an unmet need. </w:t>
      </w:r>
    </w:p>
    <w:p w14:paraId="3C99C482"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Worthing has submitted a new local plan and hearing sessions have commenced.</w:t>
      </w:r>
      <w:r>
        <w:rPr>
          <w:rFonts w:ascii="Arial" w:hAnsi="Arial" w:cs="Arial"/>
        </w:rPr>
        <w:t xml:space="preserve"> </w:t>
      </w:r>
      <w:r w:rsidRPr="00D556DB">
        <w:rPr>
          <w:rFonts w:ascii="Arial" w:hAnsi="Arial" w:cs="Arial"/>
        </w:rPr>
        <w:t>It is not known as yet how long it will take for this plan to be adopted.</w:t>
      </w:r>
      <w:r>
        <w:rPr>
          <w:rFonts w:ascii="Arial" w:hAnsi="Arial" w:cs="Arial"/>
        </w:rPr>
        <w:t xml:space="preserve"> </w:t>
      </w:r>
      <w:r w:rsidRPr="00D556DB">
        <w:rPr>
          <w:rFonts w:ascii="Arial" w:hAnsi="Arial" w:cs="Arial"/>
        </w:rPr>
        <w:t>However, the submission document</w:t>
      </w:r>
      <w:r w:rsidRPr="00D556DB">
        <w:rPr>
          <w:rStyle w:val="FootnoteReference"/>
          <w:rFonts w:ascii="Arial" w:hAnsi="Arial" w:cs="Arial"/>
        </w:rPr>
        <w:footnoteReference w:id="8"/>
      </w:r>
      <w:r w:rsidRPr="00D556DB">
        <w:rPr>
          <w:rFonts w:ascii="Arial" w:hAnsi="Arial" w:cs="Arial"/>
        </w:rPr>
        <w:t xml:space="preserve"> suggests that only 26% of overall housing need will be met.</w:t>
      </w:r>
    </w:p>
    <w:p w14:paraId="72147EDF" w14:textId="75369044" w:rsidR="00360825" w:rsidRPr="00D556DB" w:rsidRDefault="00857740"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A</w:t>
      </w:r>
      <w:r>
        <w:rPr>
          <w:rFonts w:ascii="Arial" w:hAnsi="Arial" w:cs="Arial"/>
        </w:rPr>
        <w:t>dur’s</w:t>
      </w:r>
      <w:r w:rsidRPr="00D556DB">
        <w:rPr>
          <w:rFonts w:ascii="Arial" w:hAnsi="Arial" w:cs="Arial"/>
        </w:rPr>
        <w:t xml:space="preserve"> </w:t>
      </w:r>
      <w:r w:rsidR="00360825" w:rsidRPr="00D556DB">
        <w:rPr>
          <w:rFonts w:ascii="Arial" w:hAnsi="Arial" w:cs="Arial"/>
        </w:rPr>
        <w:t>Local Plan</w:t>
      </w:r>
      <w:r w:rsidR="00360825" w:rsidRPr="00D556DB">
        <w:rPr>
          <w:rStyle w:val="FootnoteReference"/>
          <w:rFonts w:ascii="Arial" w:hAnsi="Arial" w:cs="Arial"/>
        </w:rPr>
        <w:footnoteReference w:id="9"/>
      </w:r>
      <w:r w:rsidR="00360825" w:rsidRPr="00D556DB">
        <w:rPr>
          <w:rFonts w:ascii="Arial" w:hAnsi="Arial" w:cs="Arial"/>
        </w:rPr>
        <w:t xml:space="preserve"> was adopted in December 2017. It states that “the most up-to-date work on OAN, and that which is used in this Local Plan, is the Objectively Assessed Housing Need Update 2016”. As a result, the district has a housing need and requirement of 325 dwellings per annum (6,825 dwellings over the Plan period).</w:t>
      </w:r>
    </w:p>
    <w:p w14:paraId="17543470" w14:textId="49496854"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However, Adur is unable to meet that need “having regard to the identified constraints and potential development capacity.”</w:t>
      </w:r>
      <w:r>
        <w:rPr>
          <w:rFonts w:ascii="Arial" w:hAnsi="Arial" w:cs="Arial"/>
        </w:rPr>
        <w:t xml:space="preserve"> </w:t>
      </w:r>
      <w:r w:rsidR="00393E1C">
        <w:rPr>
          <w:rFonts w:ascii="Arial" w:hAnsi="Arial" w:cs="Arial"/>
        </w:rPr>
        <w:t xml:space="preserve">They </w:t>
      </w:r>
      <w:r w:rsidRPr="00D556DB">
        <w:rPr>
          <w:rFonts w:ascii="Arial" w:hAnsi="Arial" w:cs="Arial"/>
        </w:rPr>
        <w:t>along with Arun, Worthing and Brighton and Hove are continuing to work with neighbouring authorities including Chichester to meet its housing need. Chichester should consider any unmet need from neighbouring authorities when setting their housing need in their Local Plan.</w:t>
      </w:r>
    </w:p>
    <w:p w14:paraId="146C773E"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In addition, Chichester District also adjoins the Partnership for South Hampshire (“</w:t>
      </w:r>
      <w:proofErr w:type="spellStart"/>
      <w:r w:rsidRPr="00D556DB">
        <w:rPr>
          <w:rFonts w:ascii="Arial" w:eastAsiaTheme="majorEastAsia" w:hAnsi="Arial" w:cs="Arial"/>
        </w:rPr>
        <w:t>PfSH</w:t>
      </w:r>
      <w:proofErr w:type="spellEnd"/>
      <w:r w:rsidRPr="00D556DB">
        <w:rPr>
          <w:rFonts w:ascii="Arial" w:eastAsiaTheme="majorEastAsia" w:hAnsi="Arial" w:cs="Arial"/>
        </w:rPr>
        <w:t xml:space="preserve">”) which includes a number of local authorities including Portsmouth City Council, Eastleigh Borough Council and Southampton City Council. </w:t>
      </w:r>
    </w:p>
    <w:p w14:paraId="2027551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In a recent Statement of Common Ground (October 2021), </w:t>
      </w:r>
      <w:proofErr w:type="spellStart"/>
      <w:r w:rsidRPr="00D556DB">
        <w:rPr>
          <w:rFonts w:ascii="Arial" w:eastAsiaTheme="majorEastAsia" w:hAnsi="Arial" w:cs="Arial"/>
        </w:rPr>
        <w:t>PfSH</w:t>
      </w:r>
      <w:proofErr w:type="spellEnd"/>
      <w:r w:rsidRPr="00D556DB">
        <w:rPr>
          <w:rFonts w:ascii="Arial" w:eastAsiaTheme="majorEastAsia" w:hAnsi="Arial" w:cs="Arial"/>
        </w:rPr>
        <w:t xml:space="preserve"> has set out that the majority of </w:t>
      </w:r>
      <w:r w:rsidRPr="00D556DB">
        <w:rPr>
          <w:rFonts w:ascii="Arial" w:hAnsi="Arial" w:cs="Arial"/>
        </w:rPr>
        <w:t xml:space="preserve">needs for housing development up to 2036 are already planned to be met through existing planning permissions and allocations in Local Plans and Neighbourhood Plans whilst also acknowledging that there remains unmet housing needs which are not currently being planned for. </w:t>
      </w:r>
    </w:p>
    <w:p w14:paraId="1FF8762D"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 xml:space="preserve">In response, </w:t>
      </w:r>
      <w:proofErr w:type="spellStart"/>
      <w:r w:rsidRPr="00D556DB">
        <w:rPr>
          <w:rFonts w:ascii="Arial" w:hAnsi="Arial" w:cs="Arial"/>
        </w:rPr>
        <w:t>PfSH</w:t>
      </w:r>
      <w:proofErr w:type="spellEnd"/>
      <w:r w:rsidRPr="00D556DB">
        <w:rPr>
          <w:rFonts w:ascii="Arial" w:hAnsi="Arial" w:cs="Arial"/>
        </w:rPr>
        <w:t xml:space="preserve"> has set out the intention to address the issue of unmet housing need through the preparation of a new Joint Strategy. A programme of work to review the Spatial Position Statement for the </w:t>
      </w:r>
      <w:proofErr w:type="spellStart"/>
      <w:r w:rsidRPr="00D556DB">
        <w:rPr>
          <w:rFonts w:ascii="Arial" w:hAnsi="Arial" w:cs="Arial"/>
        </w:rPr>
        <w:t>PfSH</w:t>
      </w:r>
      <w:proofErr w:type="spellEnd"/>
      <w:r w:rsidRPr="00D556DB">
        <w:rPr>
          <w:rFonts w:ascii="Arial" w:hAnsi="Arial" w:cs="Arial"/>
        </w:rPr>
        <w:t xml:space="preserve"> area has been agreed in the first instance. </w:t>
      </w:r>
    </w:p>
    <w:p w14:paraId="19DA6AE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position should continue to be monitored as work progresses with </w:t>
      </w:r>
      <w:proofErr w:type="spellStart"/>
      <w:r w:rsidRPr="00D556DB">
        <w:rPr>
          <w:rFonts w:ascii="Arial" w:hAnsi="Arial" w:cs="Arial"/>
        </w:rPr>
        <w:t>PfSH</w:t>
      </w:r>
      <w:proofErr w:type="spellEnd"/>
      <w:r w:rsidRPr="00D556DB">
        <w:rPr>
          <w:rFonts w:ascii="Arial" w:hAnsi="Arial" w:cs="Arial"/>
        </w:rPr>
        <w:t xml:space="preserve">; however, at the time of writing, </w:t>
      </w:r>
      <w:r w:rsidRPr="00D556DB">
        <w:rPr>
          <w:rFonts w:ascii="Arial" w:eastAsiaTheme="majorEastAsia" w:hAnsi="Arial" w:cs="Arial"/>
        </w:rPr>
        <w:t xml:space="preserve">the Council has not been approached by any neighbouring Districts in </w:t>
      </w:r>
      <w:proofErr w:type="spellStart"/>
      <w:r w:rsidRPr="00D556DB">
        <w:rPr>
          <w:rFonts w:ascii="Arial" w:eastAsiaTheme="majorEastAsia" w:hAnsi="Arial" w:cs="Arial"/>
        </w:rPr>
        <w:t>PfSH</w:t>
      </w:r>
      <w:proofErr w:type="spellEnd"/>
      <w:r w:rsidRPr="00D556DB">
        <w:rPr>
          <w:rFonts w:ascii="Arial" w:eastAsiaTheme="majorEastAsia" w:hAnsi="Arial" w:cs="Arial"/>
        </w:rPr>
        <w:t xml:space="preserve"> regarding unmet housing need.</w:t>
      </w:r>
    </w:p>
    <w:p w14:paraId="34C145E8" w14:textId="77777777" w:rsidR="00360825" w:rsidRPr="00D556DB" w:rsidRDefault="00360825" w:rsidP="00360825">
      <w:pPr>
        <w:pStyle w:val="Heading2"/>
        <w:rPr>
          <w:rFonts w:ascii="Arial" w:hAnsi="Arial" w:cs="Arial"/>
        </w:rPr>
      </w:pPr>
      <w:r w:rsidRPr="00D556DB">
        <w:rPr>
          <w:rFonts w:ascii="Arial" w:hAnsi="Arial" w:cs="Arial"/>
        </w:rPr>
        <w:t>Developing Projections linking to 763 dwellings per Annum</w:t>
      </w:r>
    </w:p>
    <w:p w14:paraId="75A3AEE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shd w:val="clear" w:color="auto" w:fill="FFFFFF"/>
        </w:rPr>
        <w:t>T</w:t>
      </w:r>
      <w:r w:rsidRPr="00D556DB">
        <w:rPr>
          <w:rFonts w:ascii="Arial" w:hAnsi="Arial" w:cs="Arial"/>
        </w:rPr>
        <w:t xml:space="preserve">he section </w:t>
      </w:r>
      <w:r w:rsidRPr="00D556DB">
        <w:rPr>
          <w:rFonts w:ascii="Arial" w:eastAsiaTheme="majorEastAsia" w:hAnsi="Arial" w:cs="Arial"/>
        </w:rPr>
        <w:t>considers</w:t>
      </w:r>
      <w:r w:rsidRPr="00D556DB">
        <w:rPr>
          <w:rFonts w:ascii="Arial" w:hAnsi="Arial" w:cs="Arial"/>
        </w:rPr>
        <w:t xml:space="preserve"> the implications of delivering housing in-line with the </w:t>
      </w:r>
      <w:r>
        <w:rPr>
          <w:rFonts w:ascii="Arial" w:hAnsi="Arial" w:cs="Arial"/>
        </w:rPr>
        <w:t>S</w:t>
      </w:r>
      <w:r w:rsidRPr="00D556DB">
        <w:rPr>
          <w:rFonts w:ascii="Arial" w:hAnsi="Arial" w:cs="Arial"/>
        </w:rPr>
        <w:t xml:space="preserve">tandard </w:t>
      </w:r>
      <w:r>
        <w:rPr>
          <w:rFonts w:ascii="Arial" w:hAnsi="Arial" w:cs="Arial"/>
        </w:rPr>
        <w:t>M</w:t>
      </w:r>
      <w:r w:rsidRPr="00D556DB">
        <w:rPr>
          <w:rFonts w:ascii="Arial" w:hAnsi="Arial" w:cs="Arial"/>
        </w:rPr>
        <w:t>ethod (763 dwellings per annum across the District (638 dpa in the LPA area and 125 dpa in SDNP)).</w:t>
      </w:r>
    </w:p>
    <w:p w14:paraId="23796A53"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This includes understanding potential population growth and changes to population/</w:t>
      </w:r>
      <w:r w:rsidRPr="00D556DB">
        <w:rPr>
          <w:rFonts w:ascii="Arial" w:eastAsiaTheme="majorEastAsia" w:hAnsi="Arial" w:cs="Arial"/>
        </w:rPr>
        <w:t>household</w:t>
      </w:r>
      <w:r w:rsidRPr="00D556DB">
        <w:rPr>
          <w:rFonts w:ascii="Arial" w:hAnsi="Arial" w:cs="Arial"/>
        </w:rPr>
        <w:t xml:space="preserve"> structures. Projections have been developed for the 2021-39 period. The projections developed are then used for other analysis in this report (such as to consider changes to the older person population and their potential needs).</w:t>
      </w:r>
    </w:p>
    <w:p w14:paraId="03F0B19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It can be seen from the analysis in Chapter 3, that even with the fairly positive HRRs modelled there </w:t>
      </w:r>
      <w:r w:rsidRPr="00D556DB">
        <w:rPr>
          <w:rFonts w:ascii="Arial" w:eastAsiaTheme="majorEastAsia" w:hAnsi="Arial" w:cs="Arial"/>
        </w:rPr>
        <w:t>would</w:t>
      </w:r>
      <w:r w:rsidRPr="00D556DB">
        <w:rPr>
          <w:rFonts w:ascii="Arial" w:hAnsi="Arial" w:cs="Arial"/>
        </w:rPr>
        <w:t xml:space="preserve"> not be the level of household growth required to fill this number of homes associated with the standard method. </w:t>
      </w:r>
    </w:p>
    <w:p w14:paraId="43DACE78"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Therefore, two scenarios have been developed which increases migration to the District such that there is sufficient population for 763 additional homes each year. The modelling is split </w:t>
      </w:r>
      <w:r w:rsidRPr="00D556DB">
        <w:rPr>
          <w:rFonts w:ascii="Arial" w:eastAsiaTheme="majorEastAsia" w:hAnsi="Arial" w:cs="Arial"/>
        </w:rPr>
        <w:t>between</w:t>
      </w:r>
      <w:r w:rsidRPr="00D556DB">
        <w:rPr>
          <w:rFonts w:ascii="Arial" w:hAnsi="Arial" w:cs="Arial"/>
        </w:rPr>
        <w:t xml:space="preserve"> the LPA and the SDNP with an assumption of delivery of 125 dwellings per annum in the Park area. The latter is kept at a constant throughout the report to reflect the National Park Authorities calculation.</w:t>
      </w:r>
    </w:p>
    <w:p w14:paraId="3C2FA3C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In summary, an approach has therefore been developed that increases migration to project how population and household structures might change with delivery of 763 homes each year (</w:t>
      </w:r>
      <w:r w:rsidRPr="00D556DB">
        <w:rPr>
          <w:rFonts w:ascii="Arial" w:eastAsiaTheme="majorEastAsia" w:hAnsi="Arial" w:cs="Arial"/>
        </w:rPr>
        <w:t>2021</w:t>
      </w:r>
      <w:r w:rsidRPr="00D556DB">
        <w:rPr>
          <w:rFonts w:ascii="Arial" w:hAnsi="Arial" w:cs="Arial"/>
        </w:rPr>
        <w:t>-39). This approach is consistent with that set out in the PPG (2a-006).</w:t>
      </w:r>
    </w:p>
    <w:p w14:paraId="0AAB603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Within the modelling, migration assumptions have been changed so that across the District the increase in households matches the housing need (including the 3% vacancy allowance). The changes to migration have been applied on a proportionate basis; the methodology assumes that the age/sex profile of both in- and out-migrants is the same as underpins the 2018-based SNPP (alternative internal migration variant) with </w:t>
      </w:r>
      <w:r w:rsidRPr="00D556DB">
        <w:rPr>
          <w:rFonts w:ascii="Arial" w:eastAsiaTheme="majorEastAsia" w:hAnsi="Arial" w:cs="Arial"/>
        </w:rPr>
        <w:t>adjustments</w:t>
      </w:r>
      <w:r w:rsidRPr="00D556DB">
        <w:rPr>
          <w:rFonts w:ascii="Arial" w:hAnsi="Arial" w:cs="Arial"/>
        </w:rPr>
        <w:t xml:space="preserve"> being consistently applied to both internal (domestic) and international migration. Adjustments are made to both in- and out-migration (e.g. if in-migration is increased by 1% then out-migration is reduced by 1%). In summary the method includes the following assumptions:</w:t>
      </w:r>
    </w:p>
    <w:p w14:paraId="6B95E92D"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lastRenderedPageBreak/>
        <w:t>Base population in 2020 from the latest mid-year population estimates rolled forward to 2021 using assumptions underpinning the 2018-SNPP;</w:t>
      </w:r>
    </w:p>
    <w:p w14:paraId="711F5815"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t>Household representative rates from the 2014-based SNHP with an adjustment in younger age groups; and</w:t>
      </w:r>
    </w:p>
    <w:p w14:paraId="5A831DD4" w14:textId="77777777" w:rsidR="00360825" w:rsidRPr="00903B36"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t>The migration profile (by age and sex) in the same proportions as the 2018-based SNPP (alternative internal migration variant)</w:t>
      </w:r>
    </w:p>
    <w:p w14:paraId="731C461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In developing the projection, a higher level of population growth is derived (</w:t>
      </w:r>
      <w:r w:rsidRPr="00903B36">
        <w:rPr>
          <w:rFonts w:ascii="Arial" w:hAnsi="Arial" w:cs="Arial"/>
        </w:rPr>
        <w:t>21,700</w:t>
      </w:r>
      <w:r w:rsidRPr="00D556DB">
        <w:rPr>
          <w:rFonts w:ascii="Arial" w:hAnsi="Arial" w:cs="Arial"/>
        </w:rPr>
        <w:t xml:space="preserve"> additional people compared with </w:t>
      </w:r>
      <w:r w:rsidRPr="00903B36">
        <w:rPr>
          <w:rFonts w:ascii="Arial" w:hAnsi="Arial" w:cs="Arial"/>
        </w:rPr>
        <w:t>11,300</w:t>
      </w:r>
      <w:r w:rsidRPr="00D556DB">
        <w:rPr>
          <w:rFonts w:ascii="Arial" w:hAnsi="Arial" w:cs="Arial"/>
        </w:rPr>
        <w:t xml:space="preserve"> in the SNPP as published). The age structure of the </w:t>
      </w:r>
      <w:r w:rsidRPr="00D556DB">
        <w:rPr>
          <w:rFonts w:ascii="Arial" w:eastAsiaTheme="majorEastAsia" w:hAnsi="Arial" w:cs="Arial"/>
        </w:rPr>
        <w:t>projection</w:t>
      </w:r>
      <w:r w:rsidRPr="00D556DB">
        <w:rPr>
          <w:rFonts w:ascii="Arial" w:hAnsi="Arial" w:cs="Arial"/>
        </w:rPr>
        <w:t xml:space="preserve"> is also slightly different, with the higher projection showing stronger growth in what might be considered as ‘working-age’ groups. This arises due to the fact that ONS data shows that migrants are heavily concentrated in those age groups (along with their associated children).</w:t>
      </w:r>
    </w:p>
    <w:p w14:paraId="1EBB19F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w:t>
      </w:r>
      <w:r w:rsidRPr="00D556DB">
        <w:rPr>
          <w:rFonts w:ascii="Arial" w:eastAsiaTheme="majorEastAsia" w:hAnsi="Arial" w:cs="Arial"/>
        </w:rPr>
        <w:t>summarises</w:t>
      </w:r>
      <w:r w:rsidRPr="00D556DB">
        <w:rPr>
          <w:rFonts w:ascii="Arial" w:hAnsi="Arial" w:cs="Arial"/>
        </w:rPr>
        <w:t xml:space="preserve"> this information into three broad age bands. This confirms that increases in the older person population are projected to be the most significant but does also show that the increase in the population aged 16-64 is higher than is projected by the official projections. The 2018-based SNPP suggest a decrease of around </w:t>
      </w:r>
      <w:r w:rsidRPr="00903B36">
        <w:rPr>
          <w:rFonts w:ascii="Arial" w:hAnsi="Arial" w:cs="Arial"/>
        </w:rPr>
        <w:t>800</w:t>
      </w:r>
      <w:r w:rsidRPr="00D556DB">
        <w:rPr>
          <w:rFonts w:ascii="Arial" w:hAnsi="Arial" w:cs="Arial"/>
        </w:rPr>
        <w:t xml:space="preserve"> people aged 16-64 (2021-39), whereas the projection linked to the standard method increase</w:t>
      </w:r>
      <w:r w:rsidRPr="00903B36">
        <w:rPr>
          <w:rFonts w:ascii="Arial" w:hAnsi="Arial" w:cs="Arial"/>
        </w:rPr>
        <w:t>s</w:t>
      </w:r>
      <w:r w:rsidRPr="00D556DB">
        <w:rPr>
          <w:rFonts w:ascii="Arial" w:hAnsi="Arial" w:cs="Arial"/>
        </w:rPr>
        <w:t xml:space="preserve"> this notably – to a figure of around </w:t>
      </w:r>
      <w:r w:rsidRPr="00903B36">
        <w:rPr>
          <w:rFonts w:ascii="Arial" w:hAnsi="Arial" w:cs="Arial"/>
        </w:rPr>
        <w:t>6,200</w:t>
      </w:r>
      <w:r w:rsidRPr="00D556DB">
        <w:rPr>
          <w:rFonts w:ascii="Arial" w:hAnsi="Arial" w:cs="Arial"/>
        </w:rPr>
        <w:t xml:space="preserve"> people).</w:t>
      </w:r>
    </w:p>
    <w:p w14:paraId="0AE0A2CE" w14:textId="77777777" w:rsidR="00360825" w:rsidRPr="00D556DB" w:rsidRDefault="00360825" w:rsidP="001A7584">
      <w:pPr>
        <w:pStyle w:val="Heading4"/>
        <w:ind w:firstLine="0"/>
      </w:pPr>
      <w:r w:rsidRPr="00D556DB">
        <w:t>Population change 2021 to 2039 by broad age bands – Chichester (linked to delivery of 763 dwellings per annum (Standard Method))</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rsidRPr="00903B36" w14:paraId="5D47C3C9"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66D26C89" w14:textId="77777777" w:rsidR="00360825" w:rsidRPr="00D556DB"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319AAA59"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1585E55C"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4CBCC9C5"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0195721F"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 from 2021</w:t>
            </w:r>
          </w:p>
        </w:tc>
      </w:tr>
      <w:tr w:rsidR="00360825" w:rsidRPr="00903B36" w14:paraId="0F82D65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252EDC86"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1CED23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20,193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662E058"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21,156</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A45666F"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963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3377A1B1"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4.8%</w:t>
            </w:r>
          </w:p>
        </w:tc>
      </w:tr>
      <w:tr w:rsidR="00360825" w:rsidRPr="00903B36" w14:paraId="569B92B4"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2964EB85"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FAC1E17"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67,894</w:t>
            </w:r>
          </w:p>
        </w:tc>
        <w:tc>
          <w:tcPr>
            <w:tcW w:w="1756" w:type="dxa"/>
            <w:tcBorders>
              <w:top w:val="single" w:sz="4" w:space="0" w:color="auto"/>
              <w:left w:val="single" w:sz="4" w:space="0" w:color="auto"/>
              <w:bottom w:val="single" w:sz="4" w:space="0" w:color="auto"/>
              <w:right w:val="single" w:sz="4" w:space="0" w:color="auto"/>
            </w:tcBorders>
            <w:vAlign w:val="center"/>
            <w:hideMark/>
          </w:tcPr>
          <w:p w14:paraId="290B2ADA"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74,128</w:t>
            </w:r>
          </w:p>
        </w:tc>
        <w:tc>
          <w:tcPr>
            <w:tcW w:w="1755" w:type="dxa"/>
            <w:tcBorders>
              <w:top w:val="single" w:sz="4" w:space="0" w:color="auto"/>
              <w:left w:val="single" w:sz="4" w:space="0" w:color="auto"/>
              <w:bottom w:val="single" w:sz="4" w:space="0" w:color="auto"/>
              <w:right w:val="single" w:sz="4" w:space="0" w:color="auto"/>
            </w:tcBorders>
            <w:vAlign w:val="center"/>
            <w:hideMark/>
          </w:tcPr>
          <w:p w14:paraId="2C77C683"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6,234</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A0756DA"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9.2%</w:t>
            </w:r>
          </w:p>
        </w:tc>
      </w:tr>
      <w:tr w:rsidR="00360825" w:rsidRPr="00903B36" w14:paraId="13E54081"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2957F55C"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center"/>
            <w:hideMark/>
          </w:tcPr>
          <w:p w14:paraId="2E6C8877"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34,256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14BBFFFF"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48,785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0B58870C"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14,529</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E418DAE"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42.4%</w:t>
            </w:r>
          </w:p>
        </w:tc>
      </w:tr>
      <w:tr w:rsidR="00360825" w:rsidRPr="00903B36" w14:paraId="247C460A"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CE844BE"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5A2097C"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122,343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452B96E"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144,069</w:t>
            </w:r>
          </w:p>
        </w:tc>
        <w:tc>
          <w:tcPr>
            <w:tcW w:w="1755" w:type="dxa"/>
            <w:tcBorders>
              <w:top w:val="single" w:sz="4" w:space="0" w:color="auto"/>
              <w:left w:val="single" w:sz="4" w:space="0" w:color="auto"/>
              <w:bottom w:val="single" w:sz="4" w:space="0" w:color="auto"/>
              <w:right w:val="single" w:sz="4" w:space="0" w:color="auto"/>
            </w:tcBorders>
            <w:vAlign w:val="center"/>
            <w:hideMark/>
          </w:tcPr>
          <w:p w14:paraId="34A09391"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21,726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F49FD0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17.8%</w:t>
            </w:r>
          </w:p>
        </w:tc>
      </w:tr>
    </w:tbl>
    <w:p w14:paraId="4E97C154" w14:textId="77777777" w:rsidR="00360825" w:rsidRPr="00DE1AA1" w:rsidRDefault="00360825" w:rsidP="00360825">
      <w:pPr>
        <w:spacing w:line="300" w:lineRule="auto"/>
        <w:rPr>
          <w:rFonts w:ascii="Arial" w:hAnsi="Arial" w:cs="Arial"/>
          <w:i/>
          <w:iCs/>
          <w:sz w:val="16"/>
          <w:szCs w:val="16"/>
        </w:rPr>
      </w:pPr>
      <w:r w:rsidRPr="00D556DB">
        <w:rPr>
          <w:rFonts w:ascii="Arial" w:hAnsi="Arial" w:cs="Arial"/>
          <w:i/>
          <w:iCs/>
          <w:sz w:val="16"/>
          <w:szCs w:val="16"/>
        </w:rPr>
        <w:t>Source: Demographic Projections</w:t>
      </w:r>
    </w:p>
    <w:p w14:paraId="2EE0893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above shows data for the whole of the District (i.e. including areas both within and </w:t>
      </w:r>
      <w:r w:rsidRPr="00D556DB">
        <w:rPr>
          <w:rFonts w:ascii="Arial" w:eastAsiaTheme="majorEastAsia" w:hAnsi="Arial" w:cs="Arial"/>
        </w:rPr>
        <w:t>outside</w:t>
      </w:r>
      <w:r w:rsidRPr="00D556DB">
        <w:rPr>
          <w:rFonts w:ascii="Arial" w:hAnsi="Arial" w:cs="Arial"/>
        </w:rPr>
        <w:t xml:space="preserve"> of the National Park). It is of interest to see the projected changes for the LPA areas and the Park separately and this is shown in tables below.</w:t>
      </w:r>
    </w:p>
    <w:p w14:paraId="76FD94D7" w14:textId="77777777" w:rsidR="00360825" w:rsidRPr="00D556DB" w:rsidRDefault="00360825" w:rsidP="001A7584">
      <w:pPr>
        <w:pStyle w:val="Heading4"/>
        <w:ind w:firstLine="0"/>
      </w:pPr>
      <w:r w:rsidRPr="00D556DB">
        <w:lastRenderedPageBreak/>
        <w:t>Population change 2021 to 2039 by broad age bands – Chichester LPA (linked to delivery of 638 dwellings per annum)</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rsidRPr="00903B36" w14:paraId="2EAAB30B"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7943F855" w14:textId="77777777" w:rsidR="00360825" w:rsidRPr="00D556DB"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3F9ADB60"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32DECD83"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w:t>
            </w:r>
            <w:r>
              <w:rPr>
                <w:rFonts w:ascii="Arial" w:hAnsi="Arial" w:cs="Arial"/>
              </w:rPr>
              <w:t>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287EFA0D"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2A4B87EF"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 from 2021</w:t>
            </w:r>
          </w:p>
        </w:tc>
      </w:tr>
      <w:tr w:rsidR="00360825" w:rsidRPr="00903B36" w14:paraId="7394A08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65A370F4"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A31372D"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14,879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D1EA0D2"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16,250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B0C9292"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1,371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C5FD5AA"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9.2%</w:t>
            </w:r>
          </w:p>
        </w:tc>
      </w:tr>
      <w:tr w:rsidR="00360825" w:rsidRPr="00903B36" w14:paraId="3B1A8088"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27DEC5EA"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285B7375"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50,851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76913FD"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57,666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530AB7F"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6,815</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7301820"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13.4%</w:t>
            </w:r>
          </w:p>
        </w:tc>
      </w:tr>
      <w:tr w:rsidR="00360825" w:rsidRPr="00903B36" w14:paraId="008A1D97"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02C1B362"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C0B5F23"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24,854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B4DA5D2"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35,898</w:t>
            </w:r>
          </w:p>
        </w:tc>
        <w:tc>
          <w:tcPr>
            <w:tcW w:w="1755" w:type="dxa"/>
            <w:tcBorders>
              <w:top w:val="single" w:sz="4" w:space="0" w:color="auto"/>
              <w:left w:val="single" w:sz="4" w:space="0" w:color="auto"/>
              <w:bottom w:val="single" w:sz="4" w:space="0" w:color="auto"/>
              <w:right w:val="single" w:sz="4" w:space="0" w:color="auto"/>
            </w:tcBorders>
            <w:vAlign w:val="bottom"/>
            <w:hideMark/>
          </w:tcPr>
          <w:p w14:paraId="2CDF4D8B"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11,043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DAEA8B0"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44.4%</w:t>
            </w:r>
          </w:p>
        </w:tc>
      </w:tr>
      <w:tr w:rsidR="00360825" w:rsidRPr="00903B36" w14:paraId="0F9D891A"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D9DDF6E"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C9153EE"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90,584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E4DB60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109,814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64C8826"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19,229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1100BB1"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21.2%</w:t>
            </w:r>
          </w:p>
        </w:tc>
      </w:tr>
    </w:tbl>
    <w:p w14:paraId="29A17167" w14:textId="77777777" w:rsidR="00360825" w:rsidRPr="00D556DB" w:rsidRDefault="00360825" w:rsidP="00360825">
      <w:pPr>
        <w:spacing w:line="300" w:lineRule="auto"/>
        <w:rPr>
          <w:rFonts w:ascii="Arial" w:hAnsi="Arial" w:cs="Arial"/>
          <w:i/>
          <w:iCs/>
          <w:sz w:val="16"/>
          <w:szCs w:val="16"/>
        </w:rPr>
      </w:pPr>
      <w:r w:rsidRPr="00D556DB">
        <w:rPr>
          <w:rFonts w:ascii="Arial" w:hAnsi="Arial" w:cs="Arial"/>
          <w:i/>
          <w:iCs/>
          <w:sz w:val="16"/>
          <w:szCs w:val="16"/>
        </w:rPr>
        <w:t>Source: Demographic Projections</w:t>
      </w:r>
    </w:p>
    <w:p w14:paraId="318856C8" w14:textId="77777777" w:rsidR="00360825" w:rsidRPr="00D556DB" w:rsidRDefault="00360825" w:rsidP="001A7584">
      <w:pPr>
        <w:pStyle w:val="Heading4"/>
        <w:ind w:firstLine="0"/>
      </w:pPr>
      <w:r w:rsidRPr="00D556DB">
        <w:t>Population change 2021 to 2039 by broad age bands – National Park area within Chichester (linked to delivery of 125 dwellings per annum)</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rsidRPr="00903B36" w14:paraId="0E1455C7"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567612BE" w14:textId="77777777" w:rsidR="00360825" w:rsidRPr="00D556DB"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0AB9E5EF"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18B6AC50"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w:t>
            </w:r>
            <w:r>
              <w:rPr>
                <w:rFonts w:ascii="Arial" w:hAnsi="Arial" w:cs="Arial"/>
              </w:rPr>
              <w:t>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32FD2C2A"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35941C74"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 from 2021</w:t>
            </w:r>
          </w:p>
        </w:tc>
      </w:tr>
      <w:tr w:rsidR="00360825" w:rsidRPr="00903B36" w14:paraId="5501BA39"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3D2B5948"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30CFC8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5,314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4403A3A"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4,906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F06C0F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-408</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1250A1D"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-7.7%</w:t>
            </w:r>
          </w:p>
        </w:tc>
      </w:tr>
      <w:tr w:rsidR="00360825" w:rsidRPr="00903B36" w14:paraId="6E6E198C"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3E5205AF"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BB0D068"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17,043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9380AB5"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16,461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5FFB55E"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-581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DDDBB7A"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-3.4%</w:t>
            </w:r>
          </w:p>
        </w:tc>
      </w:tr>
      <w:tr w:rsidR="00360825" w:rsidRPr="00903B36" w14:paraId="20EF10C6"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10D71529"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26537EC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9,402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C32F9DF"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12,888</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AA8C397"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3,486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7646121"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37.1%</w:t>
            </w:r>
          </w:p>
        </w:tc>
      </w:tr>
      <w:tr w:rsidR="00360825" w:rsidRPr="00903B36" w14:paraId="1712B55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0E6330FB"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E5AD7BE"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31,759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E133D3C"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34,255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320FCE3"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2,496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392855B" w14:textId="77777777" w:rsidR="00360825" w:rsidRPr="00903B36" w:rsidRDefault="00360825" w:rsidP="00C04569">
            <w:pPr>
              <w:keepNext/>
              <w:spacing w:after="0" w:line="300" w:lineRule="auto"/>
              <w:jc w:val="center"/>
              <w:rPr>
                <w:rFonts w:ascii="Arial" w:hAnsi="Arial" w:cs="Arial"/>
              </w:rPr>
            </w:pPr>
            <w:r w:rsidRPr="00903B36">
              <w:rPr>
                <w:rFonts w:ascii="Arial" w:hAnsi="Arial" w:cs="Arial"/>
                <w:color w:val="000000"/>
              </w:rPr>
              <w:t>7.9%</w:t>
            </w:r>
          </w:p>
        </w:tc>
      </w:tr>
    </w:tbl>
    <w:p w14:paraId="43C2ECA5" w14:textId="77777777" w:rsidR="00360825" w:rsidRPr="00DE1AA1" w:rsidRDefault="00360825" w:rsidP="00360825">
      <w:pPr>
        <w:spacing w:line="300" w:lineRule="auto"/>
        <w:rPr>
          <w:rFonts w:ascii="Arial" w:hAnsi="Arial" w:cs="Arial"/>
          <w:i/>
          <w:iCs/>
          <w:sz w:val="16"/>
          <w:szCs w:val="16"/>
        </w:rPr>
      </w:pPr>
      <w:r w:rsidRPr="00903B36">
        <w:rPr>
          <w:rFonts w:ascii="Arial" w:hAnsi="Arial" w:cs="Arial"/>
          <w:i/>
          <w:iCs/>
          <w:sz w:val="16"/>
          <w:szCs w:val="16"/>
        </w:rPr>
        <w:t>Source: Demographic Projections</w:t>
      </w:r>
    </w:p>
    <w:p w14:paraId="27FD5853" w14:textId="77777777" w:rsidR="00360825" w:rsidRPr="00D556DB" w:rsidRDefault="00360825" w:rsidP="00360825">
      <w:pPr>
        <w:pStyle w:val="Heading2"/>
        <w:rPr>
          <w:rFonts w:ascii="Arial" w:eastAsiaTheme="majorEastAsia" w:hAnsi="Arial" w:cs="Arial"/>
        </w:rPr>
      </w:pPr>
      <w:r w:rsidRPr="00D556DB">
        <w:rPr>
          <w:rFonts w:ascii="Arial" w:hAnsi="Arial" w:cs="Arial"/>
        </w:rPr>
        <w:t>Summary</w:t>
      </w:r>
    </w:p>
    <w:p w14:paraId="3D322E96" w14:textId="378C01C9"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bookmarkStart w:id="18" w:name="_Hlk89089158"/>
      <w:r w:rsidRPr="00D556DB">
        <w:rPr>
          <w:rFonts w:ascii="Arial" w:eastAsiaTheme="majorEastAsia" w:hAnsi="Arial" w:cs="Arial"/>
        </w:rPr>
        <w:t>In line with the standard method for calculating housing need as set out in the current PPG, a minimum local housing need of 763 homes per annum is identified for Chichester District.</w:t>
      </w:r>
      <w:r w:rsidR="003005A3" w:rsidRPr="003005A3">
        <w:rPr>
          <w:rFonts w:ascii="Arial" w:eastAsiaTheme="majorEastAsia" w:hAnsi="Arial" w:cs="Arial"/>
        </w:rPr>
        <w:t xml:space="preserve"> </w:t>
      </w:r>
      <w:r w:rsidR="003005A3">
        <w:rPr>
          <w:rFonts w:ascii="Arial" w:eastAsiaTheme="majorEastAsia" w:hAnsi="Arial" w:cs="Arial"/>
        </w:rPr>
        <w:t xml:space="preserve">This </w:t>
      </w:r>
      <w:r w:rsidR="003005A3" w:rsidRPr="00D556DB">
        <w:rPr>
          <w:rFonts w:ascii="Arial" w:eastAsiaTheme="majorEastAsia" w:hAnsi="Arial" w:cs="Arial"/>
        </w:rPr>
        <w:t>is derived from household growth of 545 per annum taken from the 2014-based Household Projections and applying an affordability uplift of 163% based on the 2020 affordability ratio. However, as per the guidance this increase is capped to 40%.</w:t>
      </w:r>
    </w:p>
    <w:p w14:paraId="4932007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latest </w:t>
      </w:r>
      <w:r w:rsidRPr="00D556DB">
        <w:rPr>
          <w:rFonts w:ascii="Arial" w:eastAsiaTheme="majorEastAsia" w:hAnsi="Arial" w:cs="Arial"/>
        </w:rPr>
        <w:t>HEDNA</w:t>
      </w:r>
      <w:r w:rsidRPr="00D556DB">
        <w:rPr>
          <w:rFonts w:ascii="Arial" w:hAnsi="Arial" w:cs="Arial"/>
        </w:rPr>
        <w:t xml:space="preserve"> prepared for the National Park sets out a need of 125 homes in the SDNP area of the District. As a result, 638 homes per annum are needed in the Chichester Plan Area i.e. outside of the National Park.</w:t>
      </w:r>
    </w:p>
    <w:p w14:paraId="41DBD10B"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eastAsiaTheme="majorEastAsia" w:hAnsi="Arial" w:cs="Arial"/>
        </w:rPr>
        <w:t xml:space="preserve">There are no </w:t>
      </w:r>
      <w:r w:rsidRPr="00D556DB">
        <w:rPr>
          <w:rFonts w:ascii="Arial" w:hAnsi="Arial" w:cs="Arial"/>
        </w:rPr>
        <w:t xml:space="preserve">circumstances in Chichester District relating to growth funding, strategic infrastructure improvements or affordable housing need which indicate that ‘actual’ housing </w:t>
      </w:r>
      <w:r w:rsidRPr="00D556DB">
        <w:rPr>
          <w:rFonts w:ascii="Arial" w:eastAsiaTheme="majorEastAsia" w:hAnsi="Arial" w:cs="Arial"/>
        </w:rPr>
        <w:t>need</w:t>
      </w:r>
      <w:r w:rsidRPr="00D556DB">
        <w:rPr>
          <w:rFonts w:ascii="Arial" w:hAnsi="Arial" w:cs="Arial"/>
        </w:rPr>
        <w:t xml:space="preserve"> is higher than the standard method indicates.</w:t>
      </w:r>
    </w:p>
    <w:p w14:paraId="28EF7C7F"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Beyond the core considerations around local housing need across the District as a whole, it is also acknowledged that a proportion of the standard method derived figure will be delivered in the area of the District falling within the South Downs National Park (“SDNP”).</w:t>
      </w:r>
    </w:p>
    <w:p w14:paraId="0687E46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Using the information from the published SNPP and SNHP, bespoke projections were developed </w:t>
      </w:r>
      <w:r w:rsidRPr="00D556DB">
        <w:rPr>
          <w:rFonts w:ascii="Arial" w:eastAsiaTheme="majorEastAsia" w:hAnsi="Arial" w:cs="Arial"/>
        </w:rPr>
        <w:t>that</w:t>
      </w:r>
      <w:r w:rsidRPr="00D556DB">
        <w:rPr>
          <w:rFonts w:ascii="Arial" w:hAnsi="Arial" w:cs="Arial"/>
        </w:rPr>
        <w:t xml:space="preserve"> link to the Standard Method (638 dwellings per annum in the LPA and 125 in the SDNP) – the </w:t>
      </w:r>
      <w:r w:rsidRPr="00D556DB">
        <w:rPr>
          <w:rFonts w:ascii="Arial" w:hAnsi="Arial" w:cs="Arial"/>
        </w:rPr>
        <w:lastRenderedPageBreak/>
        <w:t xml:space="preserve">modelling considers the level of population growth and household formation that might be expected if these levels of delivery are achieved (in the 2021-39 period). </w:t>
      </w:r>
    </w:p>
    <w:p w14:paraId="2651720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This bespoke projection suggests that population growth might be expected to be higher than suggested </w:t>
      </w:r>
      <w:r w:rsidRPr="00D556DB">
        <w:rPr>
          <w:rFonts w:ascii="Arial" w:eastAsiaTheme="majorEastAsia" w:hAnsi="Arial" w:cs="Arial"/>
        </w:rPr>
        <w:t>in</w:t>
      </w:r>
      <w:r w:rsidRPr="00D556DB">
        <w:rPr>
          <w:rFonts w:ascii="Arial" w:hAnsi="Arial" w:cs="Arial"/>
        </w:rPr>
        <w:t xml:space="preserve"> the latest official projections and that the age structure changes will proportionally include more people aged under 65. Overall, in the 2021-39 period, delivery of 638+125=763 dpa is projected to see an increase in population of 18% (21,700 more people) compared with a </w:t>
      </w:r>
      <w:r>
        <w:rPr>
          <w:rFonts w:ascii="Arial" w:hAnsi="Arial" w:cs="Arial"/>
        </w:rPr>
        <w:t>9</w:t>
      </w:r>
      <w:r w:rsidRPr="00D556DB">
        <w:rPr>
          <w:rFonts w:ascii="Arial" w:hAnsi="Arial" w:cs="Arial"/>
        </w:rPr>
        <w:t>% increase (</w:t>
      </w:r>
      <w:r>
        <w:rPr>
          <w:rFonts w:ascii="Arial" w:hAnsi="Arial" w:cs="Arial"/>
        </w:rPr>
        <w:t>11,300</w:t>
      </w:r>
      <w:r w:rsidRPr="00D556DB">
        <w:rPr>
          <w:rFonts w:ascii="Arial" w:hAnsi="Arial" w:cs="Arial"/>
        </w:rPr>
        <w:t>) in the 2018-based SNPP. Most of the difference is accounted for by a projected uplift in the number of people aged 16-64 (and children).</w:t>
      </w:r>
    </w:p>
    <w:p w14:paraId="1D910629" w14:textId="77777777" w:rsidR="00360825" w:rsidRPr="00D556DB" w:rsidRDefault="00360825" w:rsidP="00360825">
      <w:pPr>
        <w:pStyle w:val="Heading1"/>
        <w:rPr>
          <w:rFonts w:ascii="Arial" w:hAnsi="Arial" w:cs="Arial"/>
        </w:rPr>
      </w:pPr>
      <w:bookmarkStart w:id="19" w:name="_Toc96358136"/>
      <w:bookmarkStart w:id="20" w:name="_Toc97716034"/>
      <w:bookmarkEnd w:id="18"/>
      <w:r w:rsidRPr="00D556DB">
        <w:rPr>
          <w:rFonts w:ascii="Arial" w:hAnsi="Arial" w:cs="Arial"/>
        </w:rPr>
        <w:lastRenderedPageBreak/>
        <w:t>Labour Supply and Economic Led HOusing Need</w:t>
      </w:r>
      <w:bookmarkEnd w:id="19"/>
      <w:bookmarkEnd w:id="20"/>
    </w:p>
    <w:p w14:paraId="5FA6178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bookmarkStart w:id="21" w:name="_Hlk89089373"/>
      <w:r w:rsidRPr="00D556DB">
        <w:rPr>
          <w:rFonts w:ascii="Arial" w:hAnsi="Arial" w:cs="Arial"/>
        </w:rPr>
        <w:t xml:space="preserve">The analysis below considers the link between housing and economic growth; seeking to understand what level of jobs might be supported by changes to the local labour supply (which </w:t>
      </w:r>
      <w:r w:rsidRPr="00D556DB">
        <w:rPr>
          <w:rFonts w:ascii="Arial" w:eastAsiaTheme="majorEastAsia" w:hAnsi="Arial" w:cs="Arial"/>
        </w:rPr>
        <w:t>will</w:t>
      </w:r>
      <w:r w:rsidRPr="00D556DB">
        <w:rPr>
          <w:rFonts w:ascii="Arial" w:hAnsi="Arial" w:cs="Arial"/>
        </w:rPr>
        <w:t xml:space="preserve"> be influenced by population change which in turn will to some extent link to levels of housing delivery. To look at estimates of the job growth to be supported, a series of stages are undertaken. These can be summarised as:</w:t>
      </w:r>
    </w:p>
    <w:p w14:paraId="01E17E92" w14:textId="77777777" w:rsidR="00360825" w:rsidRPr="00DE1AA1" w:rsidRDefault="00360825" w:rsidP="00360825">
      <w:pPr>
        <w:pStyle w:val="ListBullet2"/>
        <w:tabs>
          <w:tab w:val="clear" w:pos="643"/>
          <w:tab w:val="left" w:pos="720"/>
        </w:tabs>
        <w:jc w:val="left"/>
        <w:rPr>
          <w:rFonts w:ascii="Arial" w:hAnsi="Arial" w:cs="Arial"/>
        </w:rPr>
      </w:pPr>
      <w:r w:rsidRPr="00D556DB">
        <w:rPr>
          <w:rFonts w:ascii="Arial" w:hAnsi="Arial" w:cs="Arial"/>
        </w:rPr>
        <w:t>Estimate changes to the economically active population (this provides an estimate of the change in labour-supply);</w:t>
      </w:r>
    </w:p>
    <w:p w14:paraId="42C1696D" w14:textId="77777777" w:rsidR="00360825" w:rsidRPr="00DE1AA1" w:rsidRDefault="00360825" w:rsidP="00360825">
      <w:pPr>
        <w:pStyle w:val="ListBullet2"/>
        <w:tabs>
          <w:tab w:val="clear" w:pos="643"/>
          <w:tab w:val="left" w:pos="720"/>
        </w:tabs>
        <w:jc w:val="left"/>
        <w:rPr>
          <w:rFonts w:ascii="Arial" w:hAnsi="Arial" w:cs="Arial"/>
        </w:rPr>
      </w:pPr>
      <w:r w:rsidRPr="00D556DB">
        <w:rPr>
          <w:rFonts w:ascii="Arial" w:hAnsi="Arial" w:cs="Arial"/>
        </w:rPr>
        <w:t>Overlay information about commuting patterns, double jobbing (i.e. the fact that some people have more than one job) and potential changes to unemployment; and</w:t>
      </w:r>
    </w:p>
    <w:p w14:paraId="10F651E5" w14:textId="77777777" w:rsidR="00360825" w:rsidRPr="00DE1AA1" w:rsidRDefault="00360825" w:rsidP="00360825">
      <w:pPr>
        <w:pStyle w:val="ListBullet2"/>
        <w:tabs>
          <w:tab w:val="clear" w:pos="643"/>
          <w:tab w:val="left" w:pos="720"/>
        </w:tabs>
        <w:jc w:val="left"/>
        <w:rPr>
          <w:rFonts w:ascii="Arial" w:hAnsi="Arial" w:cs="Arial"/>
        </w:rPr>
      </w:pPr>
      <w:r w:rsidRPr="00D556DB">
        <w:rPr>
          <w:rFonts w:ascii="Arial" w:hAnsi="Arial" w:cs="Arial"/>
        </w:rPr>
        <w:t>Bringing together this information will provide an estimate of the potential job growth supported by the population projections</w:t>
      </w:r>
    </w:p>
    <w:p w14:paraId="54B079C2"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A second analysis is then carried out to consider what level of housing delivery might be required to meet job growth forecasts; this essentially looks at the bullet points above in reverse order – considering what level of change in the economically active population is </w:t>
      </w:r>
      <w:r w:rsidRPr="00D556DB">
        <w:rPr>
          <w:rFonts w:ascii="Arial" w:eastAsiaTheme="majorEastAsia" w:hAnsi="Arial" w:cs="Arial"/>
        </w:rPr>
        <w:t>required</w:t>
      </w:r>
      <w:r w:rsidRPr="00D556DB">
        <w:rPr>
          <w:rFonts w:ascii="Arial" w:hAnsi="Arial" w:cs="Arial"/>
        </w:rPr>
        <w:t xml:space="preserve"> to fill additional jobs and then to estimate the number of homes required for the changing workforce.</w:t>
      </w:r>
    </w:p>
    <w:p w14:paraId="113BF0D4"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Growth in Resident Labour Supply</w:t>
      </w:r>
    </w:p>
    <w:p w14:paraId="4392B75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approach taken in this report is to derive a series of age and sex specific economic activity rates and use these to estimate how many people in the population will be </w:t>
      </w:r>
      <w:r w:rsidRPr="00D556DB">
        <w:rPr>
          <w:rFonts w:ascii="Arial" w:eastAsiaTheme="majorEastAsia" w:hAnsi="Arial" w:cs="Arial"/>
        </w:rPr>
        <w:t>economically</w:t>
      </w:r>
      <w:r w:rsidRPr="00D556DB">
        <w:rPr>
          <w:rFonts w:ascii="Arial" w:hAnsi="Arial" w:cs="Arial"/>
        </w:rPr>
        <w:t xml:space="preserve"> active as projections develop. This is a fairly typical approach with data being drawn in this instance from the Office for Budget Responsibility (OBR) – July 2018 (Fiscal Sustainability Report).</w:t>
      </w:r>
    </w:p>
    <w:p w14:paraId="6E8FE1D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figure and table below show the assumptions made (for Chichester district). The analysis shows that the main changes to economic activity rates are projected to be in the 60-69 age groups – this will to a considerable degree link to changes to pensionable age, as well as general trends in the number of older people working for longer (which in itself is linked to general reductions in pension provision).</w:t>
      </w:r>
    </w:p>
    <w:p w14:paraId="20D7C428" w14:textId="77777777" w:rsidR="00360825" w:rsidRPr="00D556DB" w:rsidRDefault="00360825" w:rsidP="001A7584">
      <w:pPr>
        <w:pStyle w:val="Heading4"/>
        <w:ind w:firstLine="0"/>
      </w:pPr>
      <w:r w:rsidRPr="00D556DB">
        <w:lastRenderedPageBreak/>
        <w:t>-</w:t>
      </w:r>
      <w:r w:rsidRPr="00D556DB">
        <w:tab/>
        <w:t>Projected changes to economic activity rates (2021 and 2039) – Chichester</w:t>
      </w:r>
    </w:p>
    <w:tbl>
      <w:tblPr>
        <w:tblStyle w:val="TableTheme"/>
        <w:tblW w:w="9554" w:type="dxa"/>
        <w:tblInd w:w="-709" w:type="dxa"/>
        <w:tblLook w:val="04A0" w:firstRow="1" w:lastRow="0" w:firstColumn="1" w:lastColumn="0" w:noHBand="0" w:noVBand="1"/>
      </w:tblPr>
      <w:tblGrid>
        <w:gridCol w:w="4777"/>
        <w:gridCol w:w="4777"/>
      </w:tblGrid>
      <w:tr w:rsidR="00360825" w:rsidRPr="00DE1AA1" w14:paraId="10E0A306" w14:textId="77777777" w:rsidTr="00C04569">
        <w:tc>
          <w:tcPr>
            <w:tcW w:w="4819" w:type="dxa"/>
            <w:shd w:val="clear" w:color="auto" w:fill="002060"/>
          </w:tcPr>
          <w:p w14:paraId="108CFE49" w14:textId="77777777" w:rsidR="00360825" w:rsidRPr="00DE1AA1" w:rsidRDefault="00360825" w:rsidP="00C04569">
            <w:pPr>
              <w:keepNext/>
              <w:spacing w:before="60" w:after="60" w:line="300" w:lineRule="auto"/>
              <w:jc w:val="center"/>
              <w:rPr>
                <w:rFonts w:ascii="Arial" w:hAnsi="Arial" w:cs="Arial"/>
              </w:rPr>
            </w:pPr>
            <w:bookmarkStart w:id="22" w:name="_Hlk488224098"/>
            <w:r w:rsidRPr="00DE1AA1">
              <w:rPr>
                <w:rFonts w:ascii="Arial" w:hAnsi="Arial" w:cs="Arial"/>
              </w:rPr>
              <w:t>Males</w:t>
            </w:r>
          </w:p>
        </w:tc>
        <w:tc>
          <w:tcPr>
            <w:tcW w:w="4820" w:type="dxa"/>
            <w:shd w:val="clear" w:color="auto" w:fill="002060"/>
          </w:tcPr>
          <w:p w14:paraId="0C040280"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Females</w:t>
            </w:r>
          </w:p>
        </w:tc>
      </w:tr>
      <w:tr w:rsidR="00360825" w:rsidRPr="00DE1AA1" w14:paraId="217F0A8C" w14:textId="77777777" w:rsidTr="00C04569">
        <w:tc>
          <w:tcPr>
            <w:tcW w:w="4819" w:type="dxa"/>
          </w:tcPr>
          <w:p w14:paraId="14DACB5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noProof/>
              </w:rPr>
              <w:drawing>
                <wp:inline distT="0" distB="0" distL="0" distR="0" wp14:anchorId="760D5F56" wp14:editId="403A42ED">
                  <wp:extent cx="2880000" cy="2880000"/>
                  <wp:effectExtent l="0" t="0" r="0" b="0"/>
                  <wp:docPr id="340" name="Chart 340" descr="The analysis shows that the main changes to economic activity rates are projected to be in the 60-69 age groups – this will to a considerable degree link to changes to pensionable age, as well as general trends in the number of older people working for longer (which in itself is linked to general reductions in pension provis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4820" w:type="dxa"/>
          </w:tcPr>
          <w:p w14:paraId="28B777E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noProof/>
              </w:rPr>
              <w:drawing>
                <wp:inline distT="0" distB="0" distL="0" distR="0" wp14:anchorId="3B8F3886" wp14:editId="290D5E7D">
                  <wp:extent cx="2880000" cy="2880000"/>
                  <wp:effectExtent l="0" t="0" r="0" b="0"/>
                  <wp:docPr id="79" name="Chart 79" descr="Increase in Economic Activity Rate particularly in those in early retir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21C4507D"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Based on OBR and Census (2011) data</w:t>
      </w:r>
    </w:p>
    <w:p w14:paraId="035084A9" w14:textId="77777777" w:rsidR="00360825" w:rsidRPr="00D556DB" w:rsidRDefault="00360825" w:rsidP="001A7584">
      <w:pPr>
        <w:pStyle w:val="Heading4"/>
        <w:ind w:firstLine="0"/>
      </w:pPr>
      <w:r w:rsidRPr="00DE1AA1">
        <w:t>Projected changes to economic activity rates (2021 and 2039) – Chichester</w:t>
      </w:r>
    </w:p>
    <w:tbl>
      <w:tblPr>
        <w:tblStyle w:val="TableTheme"/>
        <w:tblW w:w="5000" w:type="pct"/>
        <w:tblInd w:w="0" w:type="dxa"/>
        <w:tblLook w:val="04A0" w:firstRow="1" w:lastRow="0" w:firstColumn="1" w:lastColumn="0" w:noHBand="0" w:noVBand="1"/>
      </w:tblPr>
      <w:tblGrid>
        <w:gridCol w:w="1198"/>
        <w:gridCol w:w="1255"/>
        <w:gridCol w:w="1254"/>
        <w:gridCol w:w="1281"/>
        <w:gridCol w:w="1254"/>
        <w:gridCol w:w="1254"/>
        <w:gridCol w:w="1281"/>
      </w:tblGrid>
      <w:tr w:rsidR="00821ADC" w:rsidRPr="00DE1AA1" w14:paraId="4FCC7ABB" w14:textId="77777777" w:rsidTr="00C04569">
        <w:tc>
          <w:tcPr>
            <w:tcW w:w="1198" w:type="dxa"/>
            <w:vMerge w:val="restart"/>
            <w:shd w:val="clear" w:color="auto" w:fill="002060"/>
          </w:tcPr>
          <w:p w14:paraId="42FDF22E" w14:textId="77777777" w:rsidR="00821ADC" w:rsidRPr="00DE1AA1" w:rsidRDefault="00821ADC" w:rsidP="00C04569">
            <w:pPr>
              <w:keepNext/>
              <w:spacing w:after="0" w:line="300" w:lineRule="auto"/>
              <w:jc w:val="left"/>
              <w:rPr>
                <w:rFonts w:ascii="Arial" w:hAnsi="Arial" w:cs="Arial"/>
                <w:color w:val="FFFFFF" w:themeColor="background1"/>
              </w:rPr>
            </w:pPr>
          </w:p>
        </w:tc>
        <w:tc>
          <w:tcPr>
            <w:tcW w:w="3790" w:type="dxa"/>
            <w:gridSpan w:val="3"/>
            <w:shd w:val="clear" w:color="auto" w:fill="002060"/>
          </w:tcPr>
          <w:p w14:paraId="23409DB1"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Males</w:t>
            </w:r>
          </w:p>
        </w:tc>
        <w:tc>
          <w:tcPr>
            <w:tcW w:w="3789" w:type="dxa"/>
            <w:gridSpan w:val="3"/>
            <w:shd w:val="clear" w:color="auto" w:fill="002060"/>
          </w:tcPr>
          <w:p w14:paraId="00EE44A7"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Females</w:t>
            </w:r>
          </w:p>
        </w:tc>
      </w:tr>
      <w:tr w:rsidR="00821ADC" w:rsidRPr="00DE1AA1" w14:paraId="7D926D2C" w14:textId="77777777" w:rsidTr="00C04569">
        <w:tc>
          <w:tcPr>
            <w:tcW w:w="1198" w:type="dxa"/>
            <w:vMerge/>
            <w:shd w:val="clear" w:color="auto" w:fill="002060"/>
          </w:tcPr>
          <w:p w14:paraId="728D3D63" w14:textId="77777777" w:rsidR="00821ADC" w:rsidRPr="00DE1AA1" w:rsidRDefault="00821ADC" w:rsidP="00C04569">
            <w:pPr>
              <w:keepNext/>
              <w:spacing w:after="0" w:line="300" w:lineRule="auto"/>
              <w:rPr>
                <w:rFonts w:ascii="Arial" w:hAnsi="Arial" w:cs="Arial"/>
                <w:color w:val="FFFFFF" w:themeColor="background1"/>
              </w:rPr>
            </w:pPr>
          </w:p>
        </w:tc>
        <w:tc>
          <w:tcPr>
            <w:tcW w:w="1255" w:type="dxa"/>
            <w:shd w:val="clear" w:color="auto" w:fill="002060"/>
          </w:tcPr>
          <w:p w14:paraId="2F78E205"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2021</w:t>
            </w:r>
          </w:p>
        </w:tc>
        <w:tc>
          <w:tcPr>
            <w:tcW w:w="1254" w:type="dxa"/>
            <w:shd w:val="clear" w:color="auto" w:fill="002060"/>
          </w:tcPr>
          <w:p w14:paraId="4B83B8C0"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2039</w:t>
            </w:r>
          </w:p>
        </w:tc>
        <w:tc>
          <w:tcPr>
            <w:tcW w:w="1281" w:type="dxa"/>
            <w:shd w:val="clear" w:color="auto" w:fill="002060"/>
          </w:tcPr>
          <w:p w14:paraId="17537CE9"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Change</w:t>
            </w:r>
          </w:p>
        </w:tc>
        <w:tc>
          <w:tcPr>
            <w:tcW w:w="1254" w:type="dxa"/>
            <w:shd w:val="clear" w:color="auto" w:fill="002060"/>
          </w:tcPr>
          <w:p w14:paraId="78EBC458"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2021</w:t>
            </w:r>
          </w:p>
        </w:tc>
        <w:tc>
          <w:tcPr>
            <w:tcW w:w="1254" w:type="dxa"/>
            <w:shd w:val="clear" w:color="auto" w:fill="002060"/>
          </w:tcPr>
          <w:p w14:paraId="07D84BAC"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2039</w:t>
            </w:r>
          </w:p>
        </w:tc>
        <w:tc>
          <w:tcPr>
            <w:tcW w:w="1281" w:type="dxa"/>
            <w:shd w:val="clear" w:color="auto" w:fill="002060"/>
          </w:tcPr>
          <w:p w14:paraId="0FDBC7F3"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Change</w:t>
            </w:r>
          </w:p>
        </w:tc>
      </w:tr>
      <w:tr w:rsidR="00360825" w:rsidRPr="00DE1AA1" w14:paraId="1A8436AE" w14:textId="77777777" w:rsidTr="00C04569">
        <w:tc>
          <w:tcPr>
            <w:tcW w:w="1198" w:type="dxa"/>
          </w:tcPr>
          <w:p w14:paraId="75731E27"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16-19</w:t>
            </w:r>
          </w:p>
        </w:tc>
        <w:tc>
          <w:tcPr>
            <w:tcW w:w="1255" w:type="dxa"/>
            <w:vAlign w:val="bottom"/>
          </w:tcPr>
          <w:p w14:paraId="5C58B10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50.0%</w:t>
            </w:r>
          </w:p>
        </w:tc>
        <w:tc>
          <w:tcPr>
            <w:tcW w:w="1254" w:type="dxa"/>
            <w:vAlign w:val="bottom"/>
          </w:tcPr>
          <w:p w14:paraId="518C6B4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49.9%</w:t>
            </w:r>
          </w:p>
        </w:tc>
        <w:tc>
          <w:tcPr>
            <w:tcW w:w="1281" w:type="dxa"/>
            <w:vAlign w:val="bottom"/>
          </w:tcPr>
          <w:p w14:paraId="12FC67C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-0.1%</w:t>
            </w:r>
          </w:p>
        </w:tc>
        <w:tc>
          <w:tcPr>
            <w:tcW w:w="1254" w:type="dxa"/>
            <w:vAlign w:val="bottom"/>
          </w:tcPr>
          <w:p w14:paraId="7826D14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50.5%</w:t>
            </w:r>
          </w:p>
        </w:tc>
        <w:tc>
          <w:tcPr>
            <w:tcW w:w="1254" w:type="dxa"/>
            <w:vAlign w:val="bottom"/>
          </w:tcPr>
          <w:p w14:paraId="043683C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50.5%</w:t>
            </w:r>
          </w:p>
        </w:tc>
        <w:tc>
          <w:tcPr>
            <w:tcW w:w="1281" w:type="dxa"/>
            <w:vAlign w:val="bottom"/>
          </w:tcPr>
          <w:p w14:paraId="3A6A492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-0.1%</w:t>
            </w:r>
          </w:p>
        </w:tc>
      </w:tr>
      <w:tr w:rsidR="00360825" w:rsidRPr="00DE1AA1" w14:paraId="552409AE" w14:textId="77777777" w:rsidTr="00C04569">
        <w:tc>
          <w:tcPr>
            <w:tcW w:w="1198" w:type="dxa"/>
          </w:tcPr>
          <w:p w14:paraId="5D3273D2"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20-24</w:t>
            </w:r>
          </w:p>
        </w:tc>
        <w:tc>
          <w:tcPr>
            <w:tcW w:w="1255" w:type="dxa"/>
            <w:vAlign w:val="bottom"/>
          </w:tcPr>
          <w:p w14:paraId="73922B7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83.2%</w:t>
            </w:r>
          </w:p>
        </w:tc>
        <w:tc>
          <w:tcPr>
            <w:tcW w:w="1254" w:type="dxa"/>
            <w:vAlign w:val="bottom"/>
          </w:tcPr>
          <w:p w14:paraId="499B18F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83.0%</w:t>
            </w:r>
          </w:p>
        </w:tc>
        <w:tc>
          <w:tcPr>
            <w:tcW w:w="1281" w:type="dxa"/>
            <w:vAlign w:val="bottom"/>
          </w:tcPr>
          <w:p w14:paraId="5E19FC1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-0.2%</w:t>
            </w:r>
          </w:p>
        </w:tc>
        <w:tc>
          <w:tcPr>
            <w:tcW w:w="1254" w:type="dxa"/>
            <w:vAlign w:val="bottom"/>
          </w:tcPr>
          <w:p w14:paraId="25E822C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78.2%</w:t>
            </w:r>
          </w:p>
        </w:tc>
        <w:tc>
          <w:tcPr>
            <w:tcW w:w="1254" w:type="dxa"/>
            <w:vAlign w:val="bottom"/>
          </w:tcPr>
          <w:p w14:paraId="558BA0E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78.0%</w:t>
            </w:r>
          </w:p>
        </w:tc>
        <w:tc>
          <w:tcPr>
            <w:tcW w:w="1281" w:type="dxa"/>
            <w:vAlign w:val="bottom"/>
          </w:tcPr>
          <w:p w14:paraId="68A9CCD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-0.2%</w:t>
            </w:r>
          </w:p>
        </w:tc>
      </w:tr>
      <w:tr w:rsidR="00360825" w:rsidRPr="00DE1AA1" w14:paraId="380F6379" w14:textId="77777777" w:rsidTr="00C04569">
        <w:tc>
          <w:tcPr>
            <w:tcW w:w="1198" w:type="dxa"/>
          </w:tcPr>
          <w:p w14:paraId="62942D2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25-29</w:t>
            </w:r>
          </w:p>
        </w:tc>
        <w:tc>
          <w:tcPr>
            <w:tcW w:w="1255" w:type="dxa"/>
            <w:vAlign w:val="bottom"/>
          </w:tcPr>
          <w:p w14:paraId="699616C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94.8%</w:t>
            </w:r>
          </w:p>
        </w:tc>
        <w:tc>
          <w:tcPr>
            <w:tcW w:w="1254" w:type="dxa"/>
            <w:vAlign w:val="bottom"/>
          </w:tcPr>
          <w:p w14:paraId="3DF58F3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94.8%</w:t>
            </w:r>
          </w:p>
        </w:tc>
        <w:tc>
          <w:tcPr>
            <w:tcW w:w="1281" w:type="dxa"/>
            <w:vAlign w:val="bottom"/>
          </w:tcPr>
          <w:p w14:paraId="108300A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0.0%</w:t>
            </w:r>
          </w:p>
        </w:tc>
        <w:tc>
          <w:tcPr>
            <w:tcW w:w="1254" w:type="dxa"/>
            <w:vAlign w:val="bottom"/>
          </w:tcPr>
          <w:p w14:paraId="0CBDB75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86.8%</w:t>
            </w:r>
          </w:p>
        </w:tc>
        <w:tc>
          <w:tcPr>
            <w:tcW w:w="1254" w:type="dxa"/>
            <w:vAlign w:val="bottom"/>
          </w:tcPr>
          <w:p w14:paraId="652EDA1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86.9%</w:t>
            </w:r>
          </w:p>
        </w:tc>
        <w:tc>
          <w:tcPr>
            <w:tcW w:w="1281" w:type="dxa"/>
            <w:vAlign w:val="bottom"/>
          </w:tcPr>
          <w:p w14:paraId="5172B17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0.0%</w:t>
            </w:r>
          </w:p>
        </w:tc>
      </w:tr>
      <w:tr w:rsidR="00360825" w:rsidRPr="00DE1AA1" w14:paraId="79321C9E" w14:textId="77777777" w:rsidTr="00C04569">
        <w:tc>
          <w:tcPr>
            <w:tcW w:w="1198" w:type="dxa"/>
          </w:tcPr>
          <w:p w14:paraId="4167DDB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30-34</w:t>
            </w:r>
          </w:p>
        </w:tc>
        <w:tc>
          <w:tcPr>
            <w:tcW w:w="1255" w:type="dxa"/>
            <w:vAlign w:val="bottom"/>
          </w:tcPr>
          <w:p w14:paraId="48B2921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94.4%</w:t>
            </w:r>
          </w:p>
        </w:tc>
        <w:tc>
          <w:tcPr>
            <w:tcW w:w="1254" w:type="dxa"/>
            <w:vAlign w:val="bottom"/>
          </w:tcPr>
          <w:p w14:paraId="059C8FC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94.2%</w:t>
            </w:r>
          </w:p>
        </w:tc>
        <w:tc>
          <w:tcPr>
            <w:tcW w:w="1281" w:type="dxa"/>
            <w:vAlign w:val="bottom"/>
          </w:tcPr>
          <w:p w14:paraId="6244509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-0.2%</w:t>
            </w:r>
          </w:p>
        </w:tc>
        <w:tc>
          <w:tcPr>
            <w:tcW w:w="1254" w:type="dxa"/>
            <w:vAlign w:val="bottom"/>
          </w:tcPr>
          <w:p w14:paraId="71D5348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85.2%</w:t>
            </w:r>
          </w:p>
        </w:tc>
        <w:tc>
          <w:tcPr>
            <w:tcW w:w="1254" w:type="dxa"/>
            <w:vAlign w:val="bottom"/>
          </w:tcPr>
          <w:p w14:paraId="1B4E1B2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85.7%</w:t>
            </w:r>
          </w:p>
        </w:tc>
        <w:tc>
          <w:tcPr>
            <w:tcW w:w="1281" w:type="dxa"/>
            <w:vAlign w:val="bottom"/>
          </w:tcPr>
          <w:p w14:paraId="1E7492D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0.5%</w:t>
            </w:r>
          </w:p>
        </w:tc>
      </w:tr>
      <w:tr w:rsidR="00360825" w:rsidRPr="00DE1AA1" w14:paraId="56DF0AB1" w14:textId="77777777" w:rsidTr="00C04569">
        <w:tc>
          <w:tcPr>
            <w:tcW w:w="1198" w:type="dxa"/>
          </w:tcPr>
          <w:p w14:paraId="1280C36D"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35-39</w:t>
            </w:r>
          </w:p>
        </w:tc>
        <w:tc>
          <w:tcPr>
            <w:tcW w:w="1255" w:type="dxa"/>
            <w:vAlign w:val="bottom"/>
          </w:tcPr>
          <w:p w14:paraId="70D5E0F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95.2%</w:t>
            </w:r>
          </w:p>
        </w:tc>
        <w:tc>
          <w:tcPr>
            <w:tcW w:w="1254" w:type="dxa"/>
            <w:vAlign w:val="bottom"/>
          </w:tcPr>
          <w:p w14:paraId="5824890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94.8%</w:t>
            </w:r>
          </w:p>
        </w:tc>
        <w:tc>
          <w:tcPr>
            <w:tcW w:w="1281" w:type="dxa"/>
            <w:vAlign w:val="bottom"/>
          </w:tcPr>
          <w:p w14:paraId="0CA979A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-0.4%</w:t>
            </w:r>
          </w:p>
        </w:tc>
        <w:tc>
          <w:tcPr>
            <w:tcW w:w="1254" w:type="dxa"/>
            <w:vAlign w:val="bottom"/>
          </w:tcPr>
          <w:p w14:paraId="5CABF62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84.4%</w:t>
            </w:r>
          </w:p>
        </w:tc>
        <w:tc>
          <w:tcPr>
            <w:tcW w:w="1254" w:type="dxa"/>
            <w:vAlign w:val="bottom"/>
          </w:tcPr>
          <w:p w14:paraId="4C0ECF6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86.0%</w:t>
            </w:r>
          </w:p>
        </w:tc>
        <w:tc>
          <w:tcPr>
            <w:tcW w:w="1281" w:type="dxa"/>
            <w:vAlign w:val="bottom"/>
          </w:tcPr>
          <w:p w14:paraId="6F381DE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w:t>
            </w:r>
          </w:p>
        </w:tc>
      </w:tr>
      <w:tr w:rsidR="00360825" w:rsidRPr="00DE1AA1" w14:paraId="165CBB4A" w14:textId="77777777" w:rsidTr="00C04569">
        <w:tc>
          <w:tcPr>
            <w:tcW w:w="1198" w:type="dxa"/>
          </w:tcPr>
          <w:p w14:paraId="45AA0CE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40-44</w:t>
            </w:r>
          </w:p>
        </w:tc>
        <w:tc>
          <w:tcPr>
            <w:tcW w:w="1255" w:type="dxa"/>
            <w:vAlign w:val="bottom"/>
          </w:tcPr>
          <w:p w14:paraId="27BEDE2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95.2%</w:t>
            </w:r>
          </w:p>
        </w:tc>
        <w:tc>
          <w:tcPr>
            <w:tcW w:w="1254" w:type="dxa"/>
            <w:vAlign w:val="bottom"/>
          </w:tcPr>
          <w:p w14:paraId="605C5F6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94.0%</w:t>
            </w:r>
          </w:p>
        </w:tc>
        <w:tc>
          <w:tcPr>
            <w:tcW w:w="1281" w:type="dxa"/>
            <w:vAlign w:val="bottom"/>
          </w:tcPr>
          <w:p w14:paraId="52C4838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-1.3%</w:t>
            </w:r>
          </w:p>
        </w:tc>
        <w:tc>
          <w:tcPr>
            <w:tcW w:w="1254" w:type="dxa"/>
            <w:vAlign w:val="bottom"/>
          </w:tcPr>
          <w:p w14:paraId="57F5AF3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84.3%</w:t>
            </w:r>
          </w:p>
        </w:tc>
        <w:tc>
          <w:tcPr>
            <w:tcW w:w="1254" w:type="dxa"/>
            <w:vAlign w:val="bottom"/>
          </w:tcPr>
          <w:p w14:paraId="075002D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87.4%</w:t>
            </w:r>
          </w:p>
        </w:tc>
        <w:tc>
          <w:tcPr>
            <w:tcW w:w="1281" w:type="dxa"/>
            <w:vAlign w:val="bottom"/>
          </w:tcPr>
          <w:p w14:paraId="238A940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w:t>
            </w:r>
          </w:p>
        </w:tc>
      </w:tr>
      <w:tr w:rsidR="00360825" w:rsidRPr="00DE1AA1" w14:paraId="039FBD01" w14:textId="77777777" w:rsidTr="00C04569">
        <w:tc>
          <w:tcPr>
            <w:tcW w:w="1198" w:type="dxa"/>
          </w:tcPr>
          <w:p w14:paraId="7E89BFF3" w14:textId="77777777" w:rsidR="00360825" w:rsidRPr="00DE1AA1" w:rsidRDefault="00360825" w:rsidP="00C04569">
            <w:pPr>
              <w:keepNext/>
              <w:spacing w:after="0" w:line="300" w:lineRule="auto"/>
              <w:rPr>
                <w:rFonts w:ascii="Arial" w:hAnsi="Arial" w:cs="Arial"/>
                <w:color w:val="000000"/>
              </w:rPr>
            </w:pPr>
            <w:r w:rsidRPr="00DE1AA1">
              <w:rPr>
                <w:rFonts w:ascii="Arial" w:hAnsi="Arial" w:cs="Arial"/>
                <w:color w:val="000000"/>
              </w:rPr>
              <w:t>45-49</w:t>
            </w:r>
          </w:p>
        </w:tc>
        <w:tc>
          <w:tcPr>
            <w:tcW w:w="1255" w:type="dxa"/>
            <w:vAlign w:val="bottom"/>
          </w:tcPr>
          <w:p w14:paraId="0595C4B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93.3%</w:t>
            </w:r>
          </w:p>
        </w:tc>
        <w:tc>
          <w:tcPr>
            <w:tcW w:w="1254" w:type="dxa"/>
            <w:vAlign w:val="bottom"/>
          </w:tcPr>
          <w:p w14:paraId="5DA868A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92.6%</w:t>
            </w:r>
          </w:p>
        </w:tc>
        <w:tc>
          <w:tcPr>
            <w:tcW w:w="1281" w:type="dxa"/>
            <w:vAlign w:val="bottom"/>
          </w:tcPr>
          <w:p w14:paraId="20C30BF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-0.7%</w:t>
            </w:r>
          </w:p>
        </w:tc>
        <w:tc>
          <w:tcPr>
            <w:tcW w:w="1254" w:type="dxa"/>
            <w:vAlign w:val="bottom"/>
          </w:tcPr>
          <w:p w14:paraId="75AF830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84.2%</w:t>
            </w:r>
          </w:p>
        </w:tc>
        <w:tc>
          <w:tcPr>
            <w:tcW w:w="1254" w:type="dxa"/>
            <w:vAlign w:val="bottom"/>
          </w:tcPr>
          <w:p w14:paraId="6943BF5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88.4%</w:t>
            </w:r>
          </w:p>
        </w:tc>
        <w:tc>
          <w:tcPr>
            <w:tcW w:w="1281" w:type="dxa"/>
            <w:vAlign w:val="bottom"/>
          </w:tcPr>
          <w:p w14:paraId="67109E8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4.2%</w:t>
            </w:r>
          </w:p>
        </w:tc>
      </w:tr>
      <w:tr w:rsidR="00360825" w:rsidRPr="00DE1AA1" w14:paraId="299659D4" w14:textId="77777777" w:rsidTr="00C04569">
        <w:tc>
          <w:tcPr>
            <w:tcW w:w="1198" w:type="dxa"/>
          </w:tcPr>
          <w:p w14:paraId="222275C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50-54</w:t>
            </w:r>
          </w:p>
        </w:tc>
        <w:tc>
          <w:tcPr>
            <w:tcW w:w="1255" w:type="dxa"/>
            <w:vAlign w:val="bottom"/>
          </w:tcPr>
          <w:p w14:paraId="1F0E1A4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92.8%</w:t>
            </w:r>
          </w:p>
        </w:tc>
        <w:tc>
          <w:tcPr>
            <w:tcW w:w="1254" w:type="dxa"/>
            <w:vAlign w:val="bottom"/>
          </w:tcPr>
          <w:p w14:paraId="7B1309B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91.8%</w:t>
            </w:r>
          </w:p>
        </w:tc>
        <w:tc>
          <w:tcPr>
            <w:tcW w:w="1281" w:type="dxa"/>
            <w:vAlign w:val="bottom"/>
          </w:tcPr>
          <w:p w14:paraId="24683E8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w:t>
            </w:r>
          </w:p>
        </w:tc>
        <w:tc>
          <w:tcPr>
            <w:tcW w:w="1254" w:type="dxa"/>
            <w:vAlign w:val="bottom"/>
          </w:tcPr>
          <w:p w14:paraId="4E333F2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82.5%</w:t>
            </w:r>
          </w:p>
        </w:tc>
        <w:tc>
          <w:tcPr>
            <w:tcW w:w="1254" w:type="dxa"/>
            <w:vAlign w:val="bottom"/>
          </w:tcPr>
          <w:p w14:paraId="1F0B401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85.7%</w:t>
            </w:r>
          </w:p>
        </w:tc>
        <w:tc>
          <w:tcPr>
            <w:tcW w:w="1281" w:type="dxa"/>
            <w:vAlign w:val="bottom"/>
          </w:tcPr>
          <w:p w14:paraId="0DA5B82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3.2%</w:t>
            </w:r>
          </w:p>
        </w:tc>
      </w:tr>
      <w:tr w:rsidR="00360825" w:rsidRPr="00DE1AA1" w14:paraId="0FCC7992" w14:textId="77777777" w:rsidTr="00C04569">
        <w:tc>
          <w:tcPr>
            <w:tcW w:w="1198" w:type="dxa"/>
          </w:tcPr>
          <w:p w14:paraId="0800F38F"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55-59</w:t>
            </w:r>
          </w:p>
        </w:tc>
        <w:tc>
          <w:tcPr>
            <w:tcW w:w="1255" w:type="dxa"/>
            <w:vAlign w:val="bottom"/>
          </w:tcPr>
          <w:p w14:paraId="278C6AC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89.4%</w:t>
            </w:r>
          </w:p>
        </w:tc>
        <w:tc>
          <w:tcPr>
            <w:tcW w:w="1254" w:type="dxa"/>
            <w:vAlign w:val="bottom"/>
          </w:tcPr>
          <w:p w14:paraId="50E80B4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89.3%</w:t>
            </w:r>
          </w:p>
        </w:tc>
        <w:tc>
          <w:tcPr>
            <w:tcW w:w="1281" w:type="dxa"/>
            <w:vAlign w:val="bottom"/>
          </w:tcPr>
          <w:p w14:paraId="7104D61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-0.2%</w:t>
            </w:r>
          </w:p>
        </w:tc>
        <w:tc>
          <w:tcPr>
            <w:tcW w:w="1254" w:type="dxa"/>
            <w:vAlign w:val="bottom"/>
          </w:tcPr>
          <w:p w14:paraId="6195240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79.5%</w:t>
            </w:r>
          </w:p>
        </w:tc>
        <w:tc>
          <w:tcPr>
            <w:tcW w:w="1254" w:type="dxa"/>
            <w:vAlign w:val="bottom"/>
          </w:tcPr>
          <w:p w14:paraId="31937F3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80.9%</w:t>
            </w:r>
          </w:p>
        </w:tc>
        <w:tc>
          <w:tcPr>
            <w:tcW w:w="1281" w:type="dxa"/>
            <w:vAlign w:val="bottom"/>
          </w:tcPr>
          <w:p w14:paraId="0283A7E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w:t>
            </w:r>
          </w:p>
        </w:tc>
      </w:tr>
      <w:tr w:rsidR="00360825" w:rsidRPr="00DE1AA1" w14:paraId="3D52DC5B" w14:textId="77777777" w:rsidTr="00C04569">
        <w:tc>
          <w:tcPr>
            <w:tcW w:w="1198" w:type="dxa"/>
          </w:tcPr>
          <w:p w14:paraId="3260A22B"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60-64</w:t>
            </w:r>
          </w:p>
        </w:tc>
        <w:tc>
          <w:tcPr>
            <w:tcW w:w="1255" w:type="dxa"/>
            <w:vAlign w:val="bottom"/>
          </w:tcPr>
          <w:p w14:paraId="403A2B1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72.7%</w:t>
            </w:r>
          </w:p>
        </w:tc>
        <w:tc>
          <w:tcPr>
            <w:tcW w:w="1254" w:type="dxa"/>
            <w:vAlign w:val="bottom"/>
          </w:tcPr>
          <w:p w14:paraId="129387D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78.9%</w:t>
            </w:r>
          </w:p>
        </w:tc>
        <w:tc>
          <w:tcPr>
            <w:tcW w:w="1281" w:type="dxa"/>
            <w:vAlign w:val="bottom"/>
          </w:tcPr>
          <w:p w14:paraId="40CF1A5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6.2%</w:t>
            </w:r>
          </w:p>
        </w:tc>
        <w:tc>
          <w:tcPr>
            <w:tcW w:w="1254" w:type="dxa"/>
            <w:vAlign w:val="bottom"/>
          </w:tcPr>
          <w:p w14:paraId="6431A61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63.4%</w:t>
            </w:r>
          </w:p>
        </w:tc>
        <w:tc>
          <w:tcPr>
            <w:tcW w:w="1254" w:type="dxa"/>
            <w:vAlign w:val="bottom"/>
          </w:tcPr>
          <w:p w14:paraId="5FBE76B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71.0%</w:t>
            </w:r>
          </w:p>
        </w:tc>
        <w:tc>
          <w:tcPr>
            <w:tcW w:w="1281" w:type="dxa"/>
            <w:vAlign w:val="bottom"/>
          </w:tcPr>
          <w:p w14:paraId="28DCE53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7.6%</w:t>
            </w:r>
          </w:p>
        </w:tc>
      </w:tr>
      <w:tr w:rsidR="00360825" w:rsidRPr="00DE1AA1" w14:paraId="7C07A24E" w14:textId="77777777" w:rsidTr="00C04569">
        <w:tc>
          <w:tcPr>
            <w:tcW w:w="1198" w:type="dxa"/>
          </w:tcPr>
          <w:p w14:paraId="2EDC5352"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65-69</w:t>
            </w:r>
          </w:p>
        </w:tc>
        <w:tc>
          <w:tcPr>
            <w:tcW w:w="1255" w:type="dxa"/>
            <w:vAlign w:val="bottom"/>
          </w:tcPr>
          <w:p w14:paraId="5575367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38.3%</w:t>
            </w:r>
          </w:p>
        </w:tc>
        <w:tc>
          <w:tcPr>
            <w:tcW w:w="1254" w:type="dxa"/>
            <w:vAlign w:val="bottom"/>
          </w:tcPr>
          <w:p w14:paraId="0CB796F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49.9%</w:t>
            </w:r>
          </w:p>
        </w:tc>
        <w:tc>
          <w:tcPr>
            <w:tcW w:w="1281" w:type="dxa"/>
            <w:vAlign w:val="bottom"/>
          </w:tcPr>
          <w:p w14:paraId="7A26BDB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11.6%</w:t>
            </w:r>
          </w:p>
        </w:tc>
        <w:tc>
          <w:tcPr>
            <w:tcW w:w="1254" w:type="dxa"/>
            <w:vAlign w:val="bottom"/>
          </w:tcPr>
          <w:p w14:paraId="3B48323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26.5%</w:t>
            </w:r>
          </w:p>
        </w:tc>
        <w:tc>
          <w:tcPr>
            <w:tcW w:w="1254" w:type="dxa"/>
            <w:vAlign w:val="bottom"/>
          </w:tcPr>
          <w:p w14:paraId="5BBAB4F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40.9%</w:t>
            </w:r>
          </w:p>
        </w:tc>
        <w:tc>
          <w:tcPr>
            <w:tcW w:w="1281" w:type="dxa"/>
            <w:vAlign w:val="bottom"/>
          </w:tcPr>
          <w:p w14:paraId="24BCDA1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14.4%</w:t>
            </w:r>
          </w:p>
        </w:tc>
      </w:tr>
      <w:tr w:rsidR="00360825" w:rsidRPr="00DE1AA1" w14:paraId="7053746E" w14:textId="77777777" w:rsidTr="00C04569">
        <w:tc>
          <w:tcPr>
            <w:tcW w:w="1198" w:type="dxa"/>
          </w:tcPr>
          <w:p w14:paraId="4BEA9780"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70-74</w:t>
            </w:r>
          </w:p>
        </w:tc>
        <w:tc>
          <w:tcPr>
            <w:tcW w:w="1255" w:type="dxa"/>
            <w:vAlign w:val="bottom"/>
          </w:tcPr>
          <w:p w14:paraId="01C2EB6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20.7%</w:t>
            </w:r>
          </w:p>
        </w:tc>
        <w:tc>
          <w:tcPr>
            <w:tcW w:w="1254" w:type="dxa"/>
            <w:vAlign w:val="bottom"/>
          </w:tcPr>
          <w:p w14:paraId="2DCEC45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23.0%</w:t>
            </w:r>
          </w:p>
        </w:tc>
        <w:tc>
          <w:tcPr>
            <w:tcW w:w="1281" w:type="dxa"/>
            <w:vAlign w:val="bottom"/>
          </w:tcPr>
          <w:p w14:paraId="704DF36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w:t>
            </w:r>
          </w:p>
        </w:tc>
        <w:tc>
          <w:tcPr>
            <w:tcW w:w="1254" w:type="dxa"/>
            <w:vAlign w:val="bottom"/>
          </w:tcPr>
          <w:p w14:paraId="797E913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12.0%</w:t>
            </w:r>
          </w:p>
        </w:tc>
        <w:tc>
          <w:tcPr>
            <w:tcW w:w="1254" w:type="dxa"/>
            <w:vAlign w:val="bottom"/>
          </w:tcPr>
          <w:p w14:paraId="07953DF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18.7%</w:t>
            </w:r>
          </w:p>
        </w:tc>
        <w:tc>
          <w:tcPr>
            <w:tcW w:w="1281" w:type="dxa"/>
            <w:vAlign w:val="bottom"/>
          </w:tcPr>
          <w:p w14:paraId="037666D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6.7%</w:t>
            </w:r>
          </w:p>
        </w:tc>
      </w:tr>
      <w:tr w:rsidR="00360825" w:rsidRPr="00DE1AA1" w14:paraId="0D10AE96" w14:textId="77777777" w:rsidTr="00C04569">
        <w:tc>
          <w:tcPr>
            <w:tcW w:w="1198" w:type="dxa"/>
          </w:tcPr>
          <w:p w14:paraId="4CA6A09D"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75-89</w:t>
            </w:r>
          </w:p>
        </w:tc>
        <w:tc>
          <w:tcPr>
            <w:tcW w:w="1255" w:type="dxa"/>
            <w:vAlign w:val="bottom"/>
          </w:tcPr>
          <w:p w14:paraId="2F6C7C3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5.8%</w:t>
            </w:r>
          </w:p>
        </w:tc>
        <w:tc>
          <w:tcPr>
            <w:tcW w:w="1254" w:type="dxa"/>
            <w:vAlign w:val="bottom"/>
          </w:tcPr>
          <w:p w14:paraId="6FE6AB1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6.5%</w:t>
            </w:r>
          </w:p>
        </w:tc>
        <w:tc>
          <w:tcPr>
            <w:tcW w:w="1281" w:type="dxa"/>
            <w:vAlign w:val="bottom"/>
          </w:tcPr>
          <w:p w14:paraId="7F3D778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0.7%</w:t>
            </w:r>
          </w:p>
        </w:tc>
        <w:tc>
          <w:tcPr>
            <w:tcW w:w="1254" w:type="dxa"/>
            <w:vAlign w:val="bottom"/>
          </w:tcPr>
          <w:p w14:paraId="741F537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c>
          <w:tcPr>
            <w:tcW w:w="1254" w:type="dxa"/>
            <w:vAlign w:val="bottom"/>
          </w:tcPr>
          <w:p w14:paraId="70D25CA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5.4%</w:t>
            </w:r>
          </w:p>
        </w:tc>
        <w:tc>
          <w:tcPr>
            <w:tcW w:w="1281" w:type="dxa"/>
            <w:vAlign w:val="bottom"/>
          </w:tcPr>
          <w:p w14:paraId="5138DA0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r>
    </w:tbl>
    <w:bookmarkEnd w:id="22"/>
    <w:p w14:paraId="54066FE1"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Based on OBR and Census (2011) data</w:t>
      </w:r>
    </w:p>
    <w:p w14:paraId="15FEFE3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Working through an analysis of age and sex specific economic activity rates it is possible to estimate the overall change in the number of economically active people in the District – this is set out in the table below. The analysis shows that with delivery of 763 dwellings per annum (638 in LPA and 125 in the National Park) there would be an estimated increase in the economically active population of around 10,000 people (a 17% increase over 18-years).</w:t>
      </w:r>
    </w:p>
    <w:p w14:paraId="726AE735" w14:textId="77777777" w:rsidR="00360825" w:rsidRPr="00D556DB" w:rsidRDefault="00360825" w:rsidP="001A7584">
      <w:pPr>
        <w:pStyle w:val="Heading4"/>
        <w:ind w:firstLine="0"/>
        <w:rPr>
          <w:rFonts w:eastAsiaTheme="majorEastAsia"/>
        </w:rPr>
      </w:pPr>
      <w:r w:rsidRPr="00D556DB">
        <w:lastRenderedPageBreak/>
        <w:t>Estimated change to the economically active population (2021-39) – Chichester District</w:t>
      </w:r>
    </w:p>
    <w:tbl>
      <w:tblPr>
        <w:tblStyle w:val="TableTheme"/>
        <w:tblW w:w="5000" w:type="pct"/>
        <w:tblInd w:w="0" w:type="dxa"/>
        <w:tblLook w:val="04A0" w:firstRow="1" w:lastRow="0" w:firstColumn="1" w:lastColumn="0" w:noHBand="0" w:noVBand="1"/>
      </w:tblPr>
      <w:tblGrid>
        <w:gridCol w:w="2878"/>
        <w:gridCol w:w="1965"/>
        <w:gridCol w:w="1967"/>
        <w:gridCol w:w="1967"/>
      </w:tblGrid>
      <w:tr w:rsidR="00360825" w:rsidRPr="00DD7030" w14:paraId="0D589FBB" w14:textId="77777777" w:rsidTr="00C04569">
        <w:tc>
          <w:tcPr>
            <w:tcW w:w="2878" w:type="dxa"/>
            <w:tcBorders>
              <w:top w:val="single" w:sz="4" w:space="0" w:color="auto"/>
              <w:left w:val="single" w:sz="4" w:space="0" w:color="auto"/>
              <w:bottom w:val="single" w:sz="4" w:space="0" w:color="auto"/>
              <w:right w:val="single" w:sz="4" w:space="0" w:color="auto"/>
            </w:tcBorders>
            <w:shd w:val="clear" w:color="auto" w:fill="002060"/>
          </w:tcPr>
          <w:p w14:paraId="0A34BFB0" w14:textId="77777777" w:rsidR="00360825" w:rsidRPr="00D556DB" w:rsidRDefault="00360825" w:rsidP="00C04569">
            <w:pPr>
              <w:keepNext/>
              <w:spacing w:after="0" w:line="300" w:lineRule="auto"/>
              <w:jc w:val="left"/>
              <w:rPr>
                <w:rFonts w:ascii="Arial" w:hAnsi="Arial" w:cs="Arial"/>
              </w:rPr>
            </w:pPr>
          </w:p>
        </w:tc>
        <w:tc>
          <w:tcPr>
            <w:tcW w:w="1965" w:type="dxa"/>
            <w:tcBorders>
              <w:top w:val="single" w:sz="4" w:space="0" w:color="auto"/>
              <w:left w:val="single" w:sz="4" w:space="0" w:color="auto"/>
              <w:bottom w:val="single" w:sz="4" w:space="0" w:color="auto"/>
              <w:right w:val="single" w:sz="4" w:space="0" w:color="auto"/>
            </w:tcBorders>
            <w:shd w:val="clear" w:color="auto" w:fill="002060"/>
            <w:hideMark/>
          </w:tcPr>
          <w:p w14:paraId="24AA77EA"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Economically active (2021)</w:t>
            </w:r>
          </w:p>
        </w:tc>
        <w:tc>
          <w:tcPr>
            <w:tcW w:w="1967" w:type="dxa"/>
            <w:tcBorders>
              <w:top w:val="single" w:sz="4" w:space="0" w:color="auto"/>
              <w:left w:val="single" w:sz="4" w:space="0" w:color="auto"/>
              <w:bottom w:val="single" w:sz="4" w:space="0" w:color="auto"/>
              <w:right w:val="single" w:sz="4" w:space="0" w:color="auto"/>
            </w:tcBorders>
            <w:shd w:val="clear" w:color="auto" w:fill="002060"/>
            <w:hideMark/>
          </w:tcPr>
          <w:p w14:paraId="3AC70F98" w14:textId="658FA159"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Economically active (203</w:t>
            </w:r>
            <w:r w:rsidR="00892BCF">
              <w:rPr>
                <w:rFonts w:ascii="Arial" w:hAnsi="Arial" w:cs="Arial"/>
              </w:rPr>
              <w:t>9</w:t>
            </w:r>
            <w:r w:rsidRPr="00D556DB">
              <w:rPr>
                <w:rFonts w:ascii="Arial" w:hAnsi="Arial" w:cs="Arial"/>
              </w:rPr>
              <w:t>)</w:t>
            </w:r>
          </w:p>
        </w:tc>
        <w:tc>
          <w:tcPr>
            <w:tcW w:w="1967" w:type="dxa"/>
            <w:tcBorders>
              <w:top w:val="single" w:sz="4" w:space="0" w:color="auto"/>
              <w:left w:val="single" w:sz="4" w:space="0" w:color="auto"/>
              <w:bottom w:val="single" w:sz="4" w:space="0" w:color="auto"/>
              <w:right w:val="single" w:sz="4" w:space="0" w:color="auto"/>
            </w:tcBorders>
            <w:shd w:val="clear" w:color="auto" w:fill="002060"/>
            <w:hideMark/>
          </w:tcPr>
          <w:p w14:paraId="01AE0DEB"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Total change in economically active</w:t>
            </w:r>
          </w:p>
        </w:tc>
      </w:tr>
      <w:tr w:rsidR="00360825" w:rsidRPr="00DD7030" w14:paraId="2DC8CF4C" w14:textId="77777777" w:rsidTr="00C04569">
        <w:tc>
          <w:tcPr>
            <w:tcW w:w="2878" w:type="dxa"/>
            <w:tcBorders>
              <w:top w:val="single" w:sz="4" w:space="0" w:color="auto"/>
              <w:left w:val="single" w:sz="4" w:space="0" w:color="auto"/>
              <w:bottom w:val="single" w:sz="4" w:space="0" w:color="auto"/>
              <w:right w:val="single" w:sz="4" w:space="0" w:color="auto"/>
            </w:tcBorders>
            <w:hideMark/>
          </w:tcPr>
          <w:p w14:paraId="1BF4749F" w14:textId="77777777" w:rsidR="00360825" w:rsidRPr="00D556DB" w:rsidRDefault="00360825" w:rsidP="00C04569">
            <w:pPr>
              <w:keepNext/>
              <w:widowControl w:val="0"/>
              <w:spacing w:after="0" w:line="300" w:lineRule="auto"/>
              <w:rPr>
                <w:rFonts w:ascii="Arial" w:hAnsi="Arial" w:cs="Arial"/>
              </w:rPr>
            </w:pPr>
            <w:r>
              <w:rPr>
                <w:rFonts w:ascii="Arial" w:hAnsi="Arial" w:cs="Arial"/>
              </w:rPr>
              <w:t>Standard Method</w:t>
            </w:r>
          </w:p>
        </w:tc>
        <w:tc>
          <w:tcPr>
            <w:tcW w:w="1965" w:type="dxa"/>
            <w:tcBorders>
              <w:top w:val="single" w:sz="4" w:space="0" w:color="auto"/>
              <w:left w:val="single" w:sz="4" w:space="0" w:color="auto"/>
              <w:bottom w:val="single" w:sz="4" w:space="0" w:color="auto"/>
              <w:right w:val="single" w:sz="4" w:space="0" w:color="auto"/>
            </w:tcBorders>
            <w:vAlign w:val="bottom"/>
            <w:hideMark/>
          </w:tcPr>
          <w:p w14:paraId="0C2ABE46" w14:textId="77777777" w:rsidR="00360825" w:rsidRPr="00D556DB" w:rsidRDefault="00360825" w:rsidP="00C04569">
            <w:pPr>
              <w:keepNext/>
              <w:spacing w:after="0" w:line="300" w:lineRule="auto"/>
              <w:jc w:val="center"/>
              <w:rPr>
                <w:rFonts w:ascii="Arial" w:hAnsi="Arial" w:cs="Arial"/>
                <w:color w:val="000000"/>
              </w:rPr>
            </w:pPr>
            <w:r w:rsidRPr="00DD7030">
              <w:rPr>
                <w:rFonts w:ascii="Arial" w:hAnsi="Arial" w:cs="Arial"/>
                <w:color w:val="000000"/>
              </w:rPr>
              <w:t>60,327</w:t>
            </w:r>
          </w:p>
        </w:tc>
        <w:tc>
          <w:tcPr>
            <w:tcW w:w="1967" w:type="dxa"/>
            <w:tcBorders>
              <w:top w:val="single" w:sz="4" w:space="0" w:color="auto"/>
              <w:left w:val="single" w:sz="4" w:space="0" w:color="auto"/>
              <w:bottom w:val="single" w:sz="4" w:space="0" w:color="auto"/>
              <w:right w:val="single" w:sz="4" w:space="0" w:color="auto"/>
            </w:tcBorders>
            <w:vAlign w:val="bottom"/>
            <w:hideMark/>
          </w:tcPr>
          <w:p w14:paraId="5ED233FB" w14:textId="77777777" w:rsidR="00360825" w:rsidRPr="00D556DB" w:rsidRDefault="00360825" w:rsidP="00C04569">
            <w:pPr>
              <w:keepNext/>
              <w:spacing w:after="0" w:line="300" w:lineRule="auto"/>
              <w:jc w:val="center"/>
              <w:rPr>
                <w:rFonts w:ascii="Arial" w:hAnsi="Arial" w:cs="Arial"/>
                <w:color w:val="000000"/>
              </w:rPr>
            </w:pPr>
            <w:r w:rsidRPr="00DD7030">
              <w:rPr>
                <w:rFonts w:ascii="Arial" w:hAnsi="Arial" w:cs="Arial"/>
                <w:color w:val="000000"/>
              </w:rPr>
              <w:t>70,339</w:t>
            </w:r>
          </w:p>
        </w:tc>
        <w:tc>
          <w:tcPr>
            <w:tcW w:w="1967" w:type="dxa"/>
            <w:tcBorders>
              <w:top w:val="single" w:sz="4" w:space="0" w:color="auto"/>
              <w:left w:val="single" w:sz="4" w:space="0" w:color="auto"/>
              <w:bottom w:val="single" w:sz="4" w:space="0" w:color="auto"/>
              <w:right w:val="single" w:sz="4" w:space="0" w:color="auto"/>
            </w:tcBorders>
            <w:vAlign w:val="bottom"/>
            <w:hideMark/>
          </w:tcPr>
          <w:p w14:paraId="412118FF" w14:textId="77777777" w:rsidR="00360825" w:rsidRPr="00D556DB" w:rsidRDefault="00360825" w:rsidP="00C04569">
            <w:pPr>
              <w:keepNext/>
              <w:spacing w:after="0" w:line="300" w:lineRule="auto"/>
              <w:jc w:val="center"/>
              <w:rPr>
                <w:rFonts w:ascii="Arial" w:hAnsi="Arial" w:cs="Arial"/>
                <w:color w:val="000000"/>
              </w:rPr>
            </w:pPr>
            <w:r w:rsidRPr="00DD7030">
              <w:rPr>
                <w:rFonts w:ascii="Arial" w:hAnsi="Arial" w:cs="Arial"/>
                <w:color w:val="000000"/>
              </w:rPr>
              <w:t>10,012</w:t>
            </w:r>
          </w:p>
        </w:tc>
      </w:tr>
    </w:tbl>
    <w:p w14:paraId="0BC5563A" w14:textId="77777777" w:rsidR="00360825" w:rsidRPr="00DE1AA1" w:rsidRDefault="00360825" w:rsidP="00360825">
      <w:pPr>
        <w:widowControl w:val="0"/>
        <w:autoSpaceDE w:val="0"/>
        <w:autoSpaceDN w:val="0"/>
        <w:adjustRightInd w:val="0"/>
        <w:spacing w:line="300" w:lineRule="auto"/>
        <w:jc w:val="left"/>
        <w:rPr>
          <w:rFonts w:ascii="Arial" w:hAnsi="Arial" w:cs="Arial"/>
          <w:i/>
          <w:iCs/>
          <w:sz w:val="16"/>
          <w:szCs w:val="16"/>
        </w:rPr>
      </w:pPr>
      <w:r w:rsidRPr="00D556DB">
        <w:rPr>
          <w:rFonts w:ascii="Arial" w:hAnsi="Arial" w:cs="Arial"/>
          <w:i/>
          <w:iCs/>
          <w:sz w:val="16"/>
          <w:szCs w:val="16"/>
        </w:rPr>
        <w:t>Source: Derived from demographic projections</w:t>
      </w:r>
    </w:p>
    <w:p w14:paraId="2C89AAB7" w14:textId="77777777" w:rsidR="00360825" w:rsidRPr="00D556DB" w:rsidRDefault="00360825" w:rsidP="00360825">
      <w:pPr>
        <w:pStyle w:val="Heading2"/>
        <w:rPr>
          <w:rFonts w:ascii="Arial" w:hAnsi="Arial" w:cs="Arial"/>
        </w:rPr>
      </w:pPr>
      <w:r w:rsidRPr="00D556DB">
        <w:rPr>
          <w:rFonts w:ascii="Arial" w:hAnsi="Arial" w:cs="Arial"/>
        </w:rPr>
        <w:t xml:space="preserve">Linking Changes to Resident Labour Supply and Job </w:t>
      </w:r>
      <w:r w:rsidRPr="00D556DB">
        <w:rPr>
          <w:rFonts w:ascii="Arial" w:eastAsiaTheme="majorEastAsia" w:hAnsi="Arial" w:cs="Arial"/>
        </w:rPr>
        <w:t>Growth</w:t>
      </w:r>
    </w:p>
    <w:p w14:paraId="3866F86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analysis above has set out potential scenarios for the change in the number of people who are economically active. However, it is arguably more useful to convert this information into an estimate of the number of jobs this would support. The number of jobs and </w:t>
      </w:r>
      <w:r w:rsidRPr="00D556DB">
        <w:rPr>
          <w:rFonts w:ascii="Arial" w:eastAsiaTheme="majorEastAsia" w:hAnsi="Arial" w:cs="Arial"/>
        </w:rPr>
        <w:t>resident</w:t>
      </w:r>
      <w:r w:rsidRPr="00D556DB">
        <w:rPr>
          <w:rFonts w:ascii="Arial" w:hAnsi="Arial" w:cs="Arial"/>
        </w:rPr>
        <w:t xml:space="preserve"> workers required to support these jobs will differ depending on three main factors:</w:t>
      </w:r>
    </w:p>
    <w:p w14:paraId="61559EE0" w14:textId="77777777" w:rsidR="00360825" w:rsidRPr="00DE1AA1" w:rsidRDefault="00360825" w:rsidP="00360825">
      <w:pPr>
        <w:pStyle w:val="ListBullet2"/>
        <w:tabs>
          <w:tab w:val="clear" w:pos="643"/>
          <w:tab w:val="left" w:pos="720"/>
        </w:tabs>
        <w:jc w:val="left"/>
        <w:rPr>
          <w:rFonts w:ascii="Arial" w:hAnsi="Arial" w:cs="Arial"/>
        </w:rPr>
      </w:pPr>
      <w:r w:rsidRPr="00DE1AA1">
        <w:rPr>
          <w:rFonts w:ascii="Arial" w:hAnsi="Arial" w:cs="Arial"/>
        </w:rPr>
        <w:t>Commuting patterns – where an area sees more people out-commute for work than in-commute it may be the case that a higher level of increase in the economically active population would be required to provide a sufficient workforce for a given number of jobs (and vice versa where there is net in-commuting</w:t>
      </w:r>
      <w:r w:rsidRPr="00D556DB">
        <w:rPr>
          <w:rFonts w:ascii="Arial" w:hAnsi="Arial" w:cs="Arial"/>
        </w:rPr>
        <w:t>);</w:t>
      </w:r>
    </w:p>
    <w:p w14:paraId="2CBCEE70" w14:textId="77777777" w:rsidR="00360825" w:rsidRPr="00DE1AA1" w:rsidRDefault="00360825" w:rsidP="00360825">
      <w:pPr>
        <w:pStyle w:val="ListBullet2"/>
        <w:tabs>
          <w:tab w:val="clear" w:pos="643"/>
          <w:tab w:val="left" w:pos="720"/>
        </w:tabs>
        <w:jc w:val="left"/>
        <w:rPr>
          <w:rFonts w:ascii="Arial" w:hAnsi="Arial" w:cs="Arial"/>
        </w:rPr>
      </w:pPr>
      <w:r w:rsidRPr="00D556DB">
        <w:rPr>
          <w:rFonts w:ascii="Arial" w:hAnsi="Arial" w:cs="Arial"/>
        </w:rPr>
        <w:t>Double jobbing – some people hold down more than one job and therefore the number of workers required will be slightly lower than the number of jobs; and</w:t>
      </w:r>
    </w:p>
    <w:p w14:paraId="67140A37" w14:textId="77777777" w:rsidR="00360825" w:rsidRPr="00DE1AA1" w:rsidRDefault="00360825" w:rsidP="00360825">
      <w:pPr>
        <w:pStyle w:val="ListBullet2"/>
        <w:tabs>
          <w:tab w:val="clear" w:pos="643"/>
          <w:tab w:val="left" w:pos="720"/>
        </w:tabs>
        <w:jc w:val="left"/>
        <w:rPr>
          <w:rFonts w:ascii="Arial" w:hAnsi="Arial" w:cs="Arial"/>
        </w:rPr>
      </w:pPr>
      <w:r w:rsidRPr="00DE1AA1">
        <w:rPr>
          <w:rFonts w:ascii="Arial" w:hAnsi="Arial" w:cs="Arial"/>
        </w:rPr>
        <w:t>Unemployment – if unemployment were to fall then the growth in the economically active population would not need to be as large as the growth in jobs (and vice versa).</w:t>
      </w:r>
    </w:p>
    <w:p w14:paraId="06D8BD6B" w14:textId="77777777" w:rsidR="00360825" w:rsidRPr="00D556DB" w:rsidRDefault="00360825" w:rsidP="00360825">
      <w:pPr>
        <w:pStyle w:val="Heading3"/>
        <w:rPr>
          <w:rFonts w:ascii="Arial" w:hAnsi="Arial" w:cs="Arial"/>
        </w:rPr>
      </w:pPr>
      <w:r w:rsidRPr="00D556DB">
        <w:rPr>
          <w:rFonts w:ascii="Arial" w:hAnsi="Arial" w:cs="Arial"/>
        </w:rPr>
        <w:t>Commuting Patterns</w:t>
      </w:r>
    </w:p>
    <w:p w14:paraId="43E778C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shows summary data about commuting to and from Chichester from the 2011 Census. Overall, the data shows that the District sees a notable level of net in-commuting for work with the number of people resident in the area who are working being about 13% lower than the total number who work in the area. This number is shown as the commuting ratio in the final row of the table and is calculated as the number of </w:t>
      </w:r>
      <w:r w:rsidRPr="00D556DB">
        <w:rPr>
          <w:rFonts w:ascii="Arial" w:eastAsiaTheme="majorEastAsia" w:hAnsi="Arial" w:cs="Arial"/>
        </w:rPr>
        <w:t>people</w:t>
      </w:r>
      <w:r w:rsidRPr="00D556DB">
        <w:rPr>
          <w:rFonts w:ascii="Arial" w:hAnsi="Arial" w:cs="Arial"/>
        </w:rPr>
        <w:t xml:space="preserve"> living in an area (and working) divided by the number of people working in the area (regardless of where they live).</w:t>
      </w:r>
    </w:p>
    <w:p w14:paraId="22105783" w14:textId="77777777" w:rsidR="00360825" w:rsidRPr="00D556DB" w:rsidRDefault="00360825" w:rsidP="001A7584">
      <w:pPr>
        <w:pStyle w:val="Heading4"/>
        <w:ind w:firstLine="0"/>
      </w:pPr>
      <w:r w:rsidRPr="00D556DB">
        <w:lastRenderedPageBreak/>
        <w:t>Commuting patterns in Chichester District</w:t>
      </w:r>
    </w:p>
    <w:tbl>
      <w:tblPr>
        <w:tblStyle w:val="TableTheme"/>
        <w:tblW w:w="5000" w:type="pct"/>
        <w:tblInd w:w="0" w:type="dxa"/>
        <w:tblLook w:val="04A0" w:firstRow="1" w:lastRow="0" w:firstColumn="1" w:lastColumn="0" w:noHBand="0" w:noVBand="1"/>
      </w:tblPr>
      <w:tblGrid>
        <w:gridCol w:w="5213"/>
        <w:gridCol w:w="3564"/>
      </w:tblGrid>
      <w:tr w:rsidR="00360825" w:rsidRPr="00DE1AA1" w14:paraId="0E5EBFEE" w14:textId="77777777" w:rsidTr="00C04569">
        <w:tc>
          <w:tcPr>
            <w:tcW w:w="4870" w:type="dxa"/>
            <w:tcBorders>
              <w:top w:val="single" w:sz="4" w:space="0" w:color="auto"/>
              <w:left w:val="single" w:sz="4" w:space="0" w:color="auto"/>
              <w:bottom w:val="single" w:sz="4" w:space="0" w:color="auto"/>
              <w:right w:val="single" w:sz="4" w:space="0" w:color="auto"/>
            </w:tcBorders>
            <w:shd w:val="clear" w:color="auto" w:fill="002060"/>
          </w:tcPr>
          <w:p w14:paraId="67F9F66F" w14:textId="77777777" w:rsidR="00360825" w:rsidRPr="00DE1AA1" w:rsidRDefault="00360825" w:rsidP="00C04569">
            <w:pPr>
              <w:keepNext/>
              <w:spacing w:before="60" w:after="60" w:line="300" w:lineRule="auto"/>
              <w:jc w:val="left"/>
              <w:rPr>
                <w:rFonts w:ascii="Arial" w:hAnsi="Arial" w:cs="Arial"/>
              </w:rPr>
            </w:pPr>
          </w:p>
        </w:tc>
        <w:tc>
          <w:tcPr>
            <w:tcW w:w="3329" w:type="dxa"/>
            <w:tcBorders>
              <w:top w:val="single" w:sz="4" w:space="0" w:color="auto"/>
              <w:left w:val="single" w:sz="4" w:space="0" w:color="auto"/>
              <w:bottom w:val="single" w:sz="4" w:space="0" w:color="auto"/>
              <w:right w:val="single" w:sz="4" w:space="0" w:color="auto"/>
            </w:tcBorders>
            <w:shd w:val="clear" w:color="auto" w:fill="002060"/>
            <w:hideMark/>
          </w:tcPr>
          <w:p w14:paraId="7B6FE2DA" w14:textId="77777777" w:rsidR="00360825" w:rsidRPr="00DE1AA1" w:rsidRDefault="00360825" w:rsidP="00C04569">
            <w:pPr>
              <w:pStyle w:val="11Bodytext"/>
              <w:keepNext/>
              <w:widowControl w:val="0"/>
              <w:tabs>
                <w:tab w:val="clear" w:pos="794"/>
                <w:tab w:val="left" w:pos="720"/>
              </w:tabs>
              <w:spacing w:before="60" w:after="60" w:line="300" w:lineRule="auto"/>
              <w:ind w:left="0" w:firstLine="0"/>
              <w:jc w:val="center"/>
              <w:rPr>
                <w:color w:val="auto"/>
              </w:rPr>
            </w:pPr>
            <w:r w:rsidRPr="00DE1AA1">
              <w:rPr>
                <w:color w:val="auto"/>
              </w:rPr>
              <w:t>Number of people</w:t>
            </w:r>
          </w:p>
        </w:tc>
      </w:tr>
      <w:tr w:rsidR="00360825" w:rsidRPr="00DE1AA1" w14:paraId="0F1ABB93"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63F5D551"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Live and work in Local Authority (LA)</w:t>
            </w:r>
          </w:p>
        </w:tc>
        <w:tc>
          <w:tcPr>
            <w:tcW w:w="3329" w:type="dxa"/>
            <w:tcBorders>
              <w:top w:val="single" w:sz="4" w:space="0" w:color="auto"/>
              <w:left w:val="single" w:sz="4" w:space="0" w:color="auto"/>
              <w:bottom w:val="single" w:sz="4" w:space="0" w:color="auto"/>
              <w:right w:val="single" w:sz="4" w:space="0" w:color="auto"/>
            </w:tcBorders>
            <w:vAlign w:val="bottom"/>
            <w:hideMark/>
          </w:tcPr>
          <w:p w14:paraId="690565A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23,500</w:t>
            </w:r>
          </w:p>
        </w:tc>
      </w:tr>
      <w:tr w:rsidR="00360825" w:rsidRPr="00DE1AA1" w14:paraId="6156E9BE"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0F9AB77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Home workers</w:t>
            </w:r>
          </w:p>
        </w:tc>
        <w:tc>
          <w:tcPr>
            <w:tcW w:w="3329" w:type="dxa"/>
            <w:tcBorders>
              <w:top w:val="single" w:sz="4" w:space="0" w:color="auto"/>
              <w:left w:val="single" w:sz="4" w:space="0" w:color="auto"/>
              <w:bottom w:val="single" w:sz="4" w:space="0" w:color="auto"/>
              <w:right w:val="single" w:sz="4" w:space="0" w:color="auto"/>
            </w:tcBorders>
            <w:vAlign w:val="bottom"/>
            <w:hideMark/>
          </w:tcPr>
          <w:p w14:paraId="3D7C370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9,007</w:t>
            </w:r>
          </w:p>
        </w:tc>
      </w:tr>
      <w:tr w:rsidR="00360825" w:rsidRPr="00DE1AA1" w14:paraId="2C87C45F"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5E5209B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No fixed workplace</w:t>
            </w:r>
          </w:p>
        </w:tc>
        <w:tc>
          <w:tcPr>
            <w:tcW w:w="3329" w:type="dxa"/>
            <w:tcBorders>
              <w:top w:val="single" w:sz="4" w:space="0" w:color="auto"/>
              <w:left w:val="single" w:sz="4" w:space="0" w:color="auto"/>
              <w:bottom w:val="single" w:sz="4" w:space="0" w:color="auto"/>
              <w:right w:val="single" w:sz="4" w:space="0" w:color="auto"/>
            </w:tcBorders>
            <w:vAlign w:val="bottom"/>
            <w:hideMark/>
          </w:tcPr>
          <w:p w14:paraId="0C4ACC2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5,077</w:t>
            </w:r>
          </w:p>
        </w:tc>
      </w:tr>
      <w:tr w:rsidR="00360825" w:rsidRPr="00DE1AA1" w14:paraId="458CEC69"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6F854B2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In-commute</w:t>
            </w:r>
          </w:p>
        </w:tc>
        <w:tc>
          <w:tcPr>
            <w:tcW w:w="3329" w:type="dxa"/>
            <w:tcBorders>
              <w:top w:val="single" w:sz="4" w:space="0" w:color="auto"/>
              <w:left w:val="single" w:sz="4" w:space="0" w:color="auto"/>
              <w:bottom w:val="single" w:sz="4" w:space="0" w:color="auto"/>
              <w:right w:val="single" w:sz="4" w:space="0" w:color="auto"/>
            </w:tcBorders>
            <w:vAlign w:val="bottom"/>
            <w:hideMark/>
          </w:tcPr>
          <w:p w14:paraId="67A1CEF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24,296</w:t>
            </w:r>
          </w:p>
        </w:tc>
      </w:tr>
      <w:tr w:rsidR="00360825" w:rsidRPr="00DE1AA1" w14:paraId="01391281"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4A565175"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Out-commute</w:t>
            </w:r>
          </w:p>
        </w:tc>
        <w:tc>
          <w:tcPr>
            <w:tcW w:w="3329" w:type="dxa"/>
            <w:tcBorders>
              <w:top w:val="single" w:sz="4" w:space="0" w:color="auto"/>
              <w:left w:val="single" w:sz="4" w:space="0" w:color="auto"/>
              <w:bottom w:val="single" w:sz="4" w:space="0" w:color="auto"/>
              <w:right w:val="single" w:sz="4" w:space="0" w:color="auto"/>
            </w:tcBorders>
            <w:vAlign w:val="bottom"/>
            <w:hideMark/>
          </w:tcPr>
          <w:p w14:paraId="6C7FE31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16,321</w:t>
            </w:r>
          </w:p>
        </w:tc>
      </w:tr>
      <w:tr w:rsidR="00360825" w:rsidRPr="00DE1AA1" w14:paraId="2A83F63C"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0587844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 working in LA</w:t>
            </w:r>
          </w:p>
        </w:tc>
        <w:tc>
          <w:tcPr>
            <w:tcW w:w="3329" w:type="dxa"/>
            <w:tcBorders>
              <w:top w:val="single" w:sz="4" w:space="0" w:color="auto"/>
              <w:left w:val="single" w:sz="4" w:space="0" w:color="auto"/>
              <w:bottom w:val="single" w:sz="4" w:space="0" w:color="auto"/>
              <w:right w:val="single" w:sz="4" w:space="0" w:color="auto"/>
            </w:tcBorders>
            <w:vAlign w:val="bottom"/>
            <w:hideMark/>
          </w:tcPr>
          <w:p w14:paraId="3AE97D9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61,880</w:t>
            </w:r>
          </w:p>
        </w:tc>
      </w:tr>
      <w:tr w:rsidR="00360825" w:rsidRPr="00DE1AA1" w14:paraId="62E28456"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238A375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 living in LA (and working)</w:t>
            </w:r>
          </w:p>
        </w:tc>
        <w:tc>
          <w:tcPr>
            <w:tcW w:w="3329" w:type="dxa"/>
            <w:tcBorders>
              <w:top w:val="single" w:sz="4" w:space="0" w:color="auto"/>
              <w:left w:val="single" w:sz="4" w:space="0" w:color="auto"/>
              <w:bottom w:val="single" w:sz="4" w:space="0" w:color="auto"/>
              <w:right w:val="single" w:sz="4" w:space="0" w:color="auto"/>
            </w:tcBorders>
            <w:vAlign w:val="bottom"/>
            <w:hideMark/>
          </w:tcPr>
          <w:p w14:paraId="087A9CE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53,905</w:t>
            </w:r>
          </w:p>
        </w:tc>
      </w:tr>
      <w:tr w:rsidR="00360825" w:rsidRPr="00DE1AA1" w14:paraId="1CAD53C2"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26FBD473"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Commuting ratio</w:t>
            </w:r>
          </w:p>
        </w:tc>
        <w:tc>
          <w:tcPr>
            <w:tcW w:w="3329" w:type="dxa"/>
            <w:tcBorders>
              <w:top w:val="single" w:sz="4" w:space="0" w:color="auto"/>
              <w:left w:val="single" w:sz="4" w:space="0" w:color="auto"/>
              <w:bottom w:val="single" w:sz="4" w:space="0" w:color="auto"/>
              <w:right w:val="single" w:sz="4" w:space="0" w:color="auto"/>
            </w:tcBorders>
            <w:vAlign w:val="bottom"/>
            <w:hideMark/>
          </w:tcPr>
          <w:p w14:paraId="2612074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0.871</w:t>
            </w:r>
          </w:p>
        </w:tc>
      </w:tr>
    </w:tbl>
    <w:p w14:paraId="4072F8B7" w14:textId="77777777" w:rsidR="00360825" w:rsidRPr="00DE1AA1" w:rsidRDefault="00360825" w:rsidP="00360825">
      <w:pPr>
        <w:widowControl w:val="0"/>
        <w:spacing w:line="300" w:lineRule="auto"/>
        <w:rPr>
          <w:rFonts w:ascii="Arial" w:hAnsi="Arial" w:cs="Arial"/>
          <w:i/>
          <w:iCs/>
          <w:sz w:val="16"/>
          <w:szCs w:val="16"/>
        </w:rPr>
      </w:pPr>
      <w:r w:rsidRPr="00DE1AA1">
        <w:rPr>
          <w:rFonts w:ascii="Arial" w:hAnsi="Arial" w:cs="Arial"/>
          <w:i/>
          <w:iCs/>
          <w:sz w:val="16"/>
          <w:szCs w:val="16"/>
        </w:rPr>
        <w:t>Source: 2011 Census</w:t>
      </w:r>
    </w:p>
    <w:p w14:paraId="15BC6A0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eastAsiaTheme="majorEastAsia" w:hAnsi="Arial" w:cs="Arial"/>
        </w:rPr>
        <w:t xml:space="preserve">However, this scenario </w:t>
      </w:r>
      <w:r w:rsidRPr="00D556DB">
        <w:rPr>
          <w:rFonts w:ascii="Arial" w:hAnsi="Arial" w:cs="Arial"/>
        </w:rPr>
        <w:t>assumes net in-commuting which would arguably mean that other authorities (outside of Chichester) would be providing housing for people taking up additional jobs in Chichester. I</w:t>
      </w:r>
      <w:r w:rsidRPr="00D556DB">
        <w:rPr>
          <w:rFonts w:ascii="Arial" w:eastAsiaTheme="majorEastAsia" w:hAnsi="Arial" w:cs="Arial"/>
        </w:rPr>
        <w:t xml:space="preserve">f past patterns are to continue then around 22% of jobs would be taken up by Arun residents. </w:t>
      </w:r>
    </w:p>
    <w:p w14:paraId="783BAD4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eastAsiaTheme="majorEastAsia" w:hAnsi="Arial" w:cs="Arial"/>
        </w:rPr>
        <w:t xml:space="preserve">However, the Arun Local Plan </w:t>
      </w:r>
      <w:r w:rsidRPr="00D556DB">
        <w:rPr>
          <w:rFonts w:ascii="Arial" w:hAnsi="Arial" w:cs="Arial"/>
        </w:rPr>
        <w:t xml:space="preserve">policy target is to have “A more self-contained labour market in </w:t>
      </w:r>
      <w:r w:rsidRPr="00D556DB">
        <w:rPr>
          <w:rFonts w:ascii="Arial" w:eastAsiaTheme="majorEastAsia" w:hAnsi="Arial" w:cs="Arial"/>
        </w:rPr>
        <w:t>Arun</w:t>
      </w:r>
      <w:r w:rsidRPr="00D556DB">
        <w:rPr>
          <w:rFonts w:ascii="Arial" w:hAnsi="Arial" w:cs="Arial"/>
        </w:rPr>
        <w:t>.” This therefore puts greater onus on Chichester to deliver the housing required to meet its own economic growth.</w:t>
      </w:r>
    </w:p>
    <w:p w14:paraId="2473AC3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We have therefore developed a scenario where commuting for new jobs is assumed to be on a 1:1 ratio (i.e. the increase in the number of people working in the District is equal to the number of people living in the District who are working). </w:t>
      </w:r>
    </w:p>
    <w:p w14:paraId="04A202E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This </w:t>
      </w:r>
      <w:r w:rsidRPr="00D556DB">
        <w:rPr>
          <w:rFonts w:ascii="Arial" w:eastAsiaTheme="majorEastAsia" w:hAnsi="Arial" w:cs="Arial"/>
        </w:rPr>
        <w:t>scenario</w:t>
      </w:r>
      <w:r w:rsidRPr="00D556DB">
        <w:rPr>
          <w:rFonts w:ascii="Arial" w:hAnsi="Arial" w:cs="Arial"/>
        </w:rPr>
        <w:t xml:space="preserve"> is useful in the context of Covid-19 with the likelihood being that a greater proportion of people will work from home (or mainly from home) in the future.</w:t>
      </w:r>
    </w:p>
    <w:p w14:paraId="56566B13" w14:textId="77777777" w:rsidR="00360825" w:rsidRPr="00D556DB" w:rsidRDefault="00360825" w:rsidP="00360825">
      <w:pPr>
        <w:pStyle w:val="Heading3"/>
        <w:rPr>
          <w:rFonts w:ascii="Arial" w:hAnsi="Arial" w:cs="Arial"/>
        </w:rPr>
      </w:pPr>
      <w:r w:rsidRPr="00D556DB">
        <w:rPr>
          <w:rFonts w:ascii="Arial" w:hAnsi="Arial" w:cs="Arial"/>
        </w:rPr>
        <w:t>Double Jobbing</w:t>
      </w:r>
    </w:p>
    <w:p w14:paraId="4C56AE3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analysis also considers that a number of people may have more than one job (double jobbing). This can be calculated as the number of people working in the local authority divided by the number of jobs. Data from the Annual Population Survey (available on the NOMIS website) suggests across the District that typically between about 4.8% of workers have a second job – levels of double jobbing have been variable over time (mainly due to the accuracy of data at a local level).</w:t>
      </w:r>
    </w:p>
    <w:p w14:paraId="3466468D" w14:textId="77777777" w:rsidR="00360825" w:rsidRPr="00D556DB" w:rsidRDefault="00360825" w:rsidP="001A7584">
      <w:pPr>
        <w:pStyle w:val="Heading4"/>
        <w:ind w:firstLine="0"/>
      </w:pPr>
      <w:r>
        <w:lastRenderedPageBreak/>
        <w:t xml:space="preserve">- </w:t>
      </w:r>
      <w:r w:rsidRPr="00D556DB">
        <w:t>Percentage of all people in employment who have a second job (2004-2020) – Chichester</w:t>
      </w:r>
    </w:p>
    <w:p w14:paraId="52AD6F81" w14:textId="77777777" w:rsidR="00360825" w:rsidRPr="00DE1AA1" w:rsidRDefault="00360825" w:rsidP="00360825">
      <w:pPr>
        <w:pStyle w:val="11Bodytext"/>
        <w:widowControl w:val="0"/>
        <w:tabs>
          <w:tab w:val="clear" w:pos="794"/>
          <w:tab w:val="left" w:pos="720"/>
        </w:tabs>
        <w:spacing w:before="0" w:after="0" w:line="240" w:lineRule="auto"/>
        <w:ind w:left="0" w:firstLine="0"/>
        <w:jc w:val="center"/>
        <w:rPr>
          <w:color w:val="auto"/>
        </w:rPr>
      </w:pPr>
      <w:r w:rsidRPr="00DE1AA1">
        <w:rPr>
          <w:noProof/>
          <w:lang w:eastAsia="en-GB"/>
        </w:rPr>
        <w:drawing>
          <wp:inline distT="0" distB="0" distL="0" distR="0" wp14:anchorId="21027051" wp14:editId="104AC1CE">
            <wp:extent cx="5626100" cy="2889250"/>
            <wp:effectExtent l="0" t="0" r="12700" b="6350"/>
            <wp:docPr id="47" name="Chart 47" descr="Data from the Annual Population Survey (available on the NOMIS website) suggests across the District that typically between about 4.8% of workers have a second job – levels of double jobbing have been variable over time (mainly due to the accuracy of data at a local level)."/>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29B915C" w14:textId="77777777" w:rsidR="00360825" w:rsidRPr="00DE1AA1" w:rsidRDefault="00360825" w:rsidP="00360825">
      <w:pPr>
        <w:pStyle w:val="11Bodytext"/>
        <w:widowControl w:val="0"/>
        <w:tabs>
          <w:tab w:val="clear" w:pos="794"/>
          <w:tab w:val="left" w:pos="720"/>
        </w:tabs>
        <w:spacing w:before="0" w:after="360"/>
        <w:ind w:left="0" w:firstLine="0"/>
        <w:rPr>
          <w:i/>
          <w:iCs/>
          <w:color w:val="auto"/>
          <w:sz w:val="16"/>
          <w:szCs w:val="16"/>
        </w:rPr>
      </w:pPr>
      <w:r w:rsidRPr="00DE1AA1">
        <w:rPr>
          <w:i/>
          <w:iCs/>
          <w:color w:val="auto"/>
          <w:sz w:val="16"/>
          <w:szCs w:val="16"/>
        </w:rPr>
        <w:t>Source: Annual Population Survey (from NOMIS)</w:t>
      </w:r>
    </w:p>
    <w:p w14:paraId="05246D0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For the purposes of this assessment it has been assumed that around 4.8% of people will have </w:t>
      </w:r>
      <w:r w:rsidRPr="00D556DB">
        <w:rPr>
          <w:rFonts w:ascii="Arial" w:eastAsiaTheme="majorEastAsia" w:hAnsi="Arial" w:cs="Arial"/>
        </w:rPr>
        <w:t>more</w:t>
      </w:r>
      <w:r w:rsidRPr="00D556DB">
        <w:rPr>
          <w:rFonts w:ascii="Arial" w:hAnsi="Arial" w:cs="Arial"/>
        </w:rPr>
        <w:t xml:space="preserve"> than one job moving forward. A double jobbing figure of 4.8% gives rise to a ratio of 0.952 (i.e. the number of jobs supported by the workforce will be around 4.8% higher than workforce growth). It has been assumed in the analysis that the level of double jobbing will remain constant over time, although the apparent upward trend should be noted.</w:t>
      </w:r>
    </w:p>
    <w:p w14:paraId="6177BA59" w14:textId="77777777" w:rsidR="00360825" w:rsidRPr="00D556DB" w:rsidRDefault="00360825" w:rsidP="00360825">
      <w:pPr>
        <w:pStyle w:val="Heading3"/>
        <w:rPr>
          <w:rFonts w:ascii="Arial" w:hAnsi="Arial" w:cs="Arial"/>
        </w:rPr>
      </w:pPr>
      <w:r w:rsidRPr="00D556DB">
        <w:rPr>
          <w:rFonts w:ascii="Arial" w:hAnsi="Arial" w:cs="Arial"/>
        </w:rPr>
        <w:t>Unemployment</w:t>
      </w:r>
    </w:p>
    <w:p w14:paraId="4934DE7E"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last </w:t>
      </w:r>
      <w:r w:rsidRPr="00D556DB">
        <w:rPr>
          <w:rFonts w:ascii="Arial" w:eastAsiaTheme="majorEastAsia" w:hAnsi="Arial" w:cs="Arial"/>
        </w:rPr>
        <w:t>analysis</w:t>
      </w:r>
      <w:r w:rsidRPr="00D556DB">
        <w:rPr>
          <w:rFonts w:ascii="Arial" w:hAnsi="Arial" w:cs="Arial"/>
        </w:rPr>
        <w:t xml:space="preserve"> when looking at the link between jobs and resident labour supply is a consideration of unemployment. Essentially, this is considering if there is any latent labour force that could move back into employment to take up new jobs. This is particularly important given there is likely to have been notable increases in unemployment due to Covid-19, although it will be difficult to be precise about numbers, particularly as the impact of the ending of the furlough scheme are unknown.</w:t>
      </w:r>
    </w:p>
    <w:p w14:paraId="0C4872C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figure below looks at Claimant Count data (described as t</w:t>
      </w:r>
      <w:r w:rsidRPr="00D556DB">
        <w:rPr>
          <w:rFonts w:ascii="Arial" w:hAnsi="Arial" w:cs="Arial"/>
          <w:shd w:val="clear" w:color="auto" w:fill="FFFFFF"/>
        </w:rPr>
        <w:t xml:space="preserve">he number of people claiming </w:t>
      </w:r>
      <w:r w:rsidRPr="00D556DB">
        <w:rPr>
          <w:rFonts w:ascii="Arial" w:eastAsiaTheme="majorEastAsia" w:hAnsi="Arial" w:cs="Arial"/>
        </w:rPr>
        <w:t>Jobseeker's</w:t>
      </w:r>
      <w:r w:rsidRPr="00D556DB">
        <w:rPr>
          <w:rFonts w:ascii="Arial" w:hAnsi="Arial" w:cs="Arial"/>
          <w:shd w:val="clear" w:color="auto" w:fill="FFFFFF"/>
        </w:rPr>
        <w:t xml:space="preserve"> Allowance plus those who claim Universal Credit who are out of work). This will not give a full picture of unemployment as not all those unemployed will be a claimant, but it will certainly help to provide an indication; claimant count data is available up to October 2021 with the data below showing a trend for the previous decade.</w:t>
      </w:r>
    </w:p>
    <w:p w14:paraId="5267D81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analysis shows a clear increase in the number of claimants (presumably as a result of the </w:t>
      </w:r>
      <w:r w:rsidRPr="00D556DB">
        <w:rPr>
          <w:rFonts w:ascii="Arial" w:eastAsiaTheme="majorEastAsia" w:hAnsi="Arial" w:cs="Arial"/>
        </w:rPr>
        <w:t>pandemic</w:t>
      </w:r>
      <w:r w:rsidRPr="00D556DB">
        <w:rPr>
          <w:rFonts w:ascii="Arial" w:hAnsi="Arial" w:cs="Arial"/>
        </w:rPr>
        <w:t xml:space="preserve">) – rising from around 1,000 to in excess of 3,000 over the most recent months for which data is available (dropping slightly in the latest period for which data is provided to about 2,500). </w:t>
      </w:r>
    </w:p>
    <w:p w14:paraId="74D9D31A" w14:textId="32A441CD"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 xml:space="preserve">Given that demographic projections and economic forecasts tend to use a mid-year position, the change in unemployment based on claimant count data has been calculated by looking at averages for June/July 2019 compared with June/July 2021. In 2019, there were 1,120 claimants and two-years later the figure had risen to 2,825 – therefore there are potentially 1,705 people not working in 2021 who might be expected to return to employment in the future (taken to be over the period to </w:t>
      </w:r>
      <w:r w:rsidR="000215ED" w:rsidRPr="00D556DB">
        <w:rPr>
          <w:rFonts w:ascii="Arial" w:hAnsi="Arial" w:cs="Arial"/>
        </w:rPr>
        <w:t>203</w:t>
      </w:r>
      <w:r w:rsidR="000215ED">
        <w:rPr>
          <w:rFonts w:ascii="Arial" w:hAnsi="Arial" w:cs="Arial"/>
        </w:rPr>
        <w:t>9</w:t>
      </w:r>
      <w:r w:rsidR="000215ED" w:rsidRPr="00D556DB">
        <w:rPr>
          <w:rFonts w:ascii="Arial" w:hAnsi="Arial" w:cs="Arial"/>
        </w:rPr>
        <w:t xml:space="preserve"> </w:t>
      </w:r>
      <w:r w:rsidRPr="00D556DB">
        <w:rPr>
          <w:rFonts w:ascii="Arial" w:hAnsi="Arial" w:cs="Arial"/>
        </w:rPr>
        <w:t>for consistency with other analysis in this report).</w:t>
      </w:r>
    </w:p>
    <w:p w14:paraId="63848A19" w14:textId="77777777" w:rsidR="00360825" w:rsidRPr="00D556DB" w:rsidRDefault="00360825" w:rsidP="001A7584">
      <w:pPr>
        <w:pStyle w:val="Heading4"/>
        <w:ind w:firstLine="0"/>
        <w:rPr>
          <w:rFonts w:eastAsiaTheme="majorEastAsia"/>
        </w:rPr>
      </w:pPr>
      <w:r w:rsidRPr="00D556DB">
        <w:t>Number of out-of-work benefit claimants (2011-2021) – Chichester</w:t>
      </w:r>
    </w:p>
    <w:p w14:paraId="6EB2D272" w14:textId="77777777" w:rsidR="00360825" w:rsidRPr="00DE1AA1" w:rsidRDefault="00360825" w:rsidP="00360825">
      <w:pPr>
        <w:spacing w:after="0" w:line="240" w:lineRule="auto"/>
        <w:rPr>
          <w:rFonts w:ascii="Arial" w:hAnsi="Arial" w:cs="Arial"/>
          <w:shd w:val="clear" w:color="auto" w:fill="FFFFFF"/>
        </w:rPr>
      </w:pPr>
      <w:r w:rsidRPr="00D556DB">
        <w:rPr>
          <w:rFonts w:ascii="Arial" w:hAnsi="Arial" w:cs="Arial"/>
          <w:noProof/>
        </w:rPr>
        <w:drawing>
          <wp:inline distT="0" distB="0" distL="0" distR="0" wp14:anchorId="6FDFEC0C" wp14:editId="09A9090B">
            <wp:extent cx="5626100" cy="2889250"/>
            <wp:effectExtent l="0" t="0" r="12700" b="6350"/>
            <wp:docPr id="46" name="Chart 46" descr="The figure looks at Claimant Count data (described as the number of people claiming Jobseeker's Allowance plus those who claim Universal Credit who are out of work). This will not give a full picture of unemployment as not all those unemployed will be a claimant, but it will certainly help to provide an indication; claimant count data is available up to October 2021 with the data below showing a trend for the previous decade.&#10;&#10;The analysis shows a clear increase in the number of claimants (presumably as a result of the pandemic) – rising from around 1,000 to in excess of 3,000 over the most recent months for which data is available (dropping slightly in the latest period for which data is provided to about 2,500). &#10;&#10;Given that demographic projections and economic forecasts tend to use a mid-year position, the change in unemployment based on claimant count data has been calculated by looking at averages for June/July 2019 compared with June/July 2021. In 2019, there were 1,120 claimants and two-years later the figure had risen to 2,825 – therefore there are potentially 1,705 people not working in 2021 who might be expected to return to employment in the future (taken to be over the period to 2039 for consistency with other analysis in this report).&#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D4058CC"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NOMIS</w:t>
      </w:r>
    </w:p>
    <w:p w14:paraId="089B6DD8" w14:textId="77777777" w:rsidR="00360825" w:rsidRPr="00D556DB" w:rsidRDefault="00360825" w:rsidP="00360825">
      <w:pPr>
        <w:pStyle w:val="Heading3"/>
        <w:rPr>
          <w:rFonts w:ascii="Arial" w:hAnsi="Arial" w:cs="Arial"/>
        </w:rPr>
      </w:pPr>
      <w:r w:rsidRPr="00D556DB">
        <w:rPr>
          <w:rFonts w:ascii="Arial" w:hAnsi="Arial" w:cs="Arial"/>
        </w:rPr>
        <w:t>Jobs Supported by Growth in the Resident Labour Force</w:t>
      </w:r>
    </w:p>
    <w:p w14:paraId="4DD1A1E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shows how many additional jobs might be supported by population growth </w:t>
      </w:r>
      <w:r w:rsidRPr="00D556DB">
        <w:rPr>
          <w:rFonts w:ascii="Arial" w:eastAsiaTheme="majorEastAsia" w:hAnsi="Arial" w:cs="Arial"/>
        </w:rPr>
        <w:t>under</w:t>
      </w:r>
      <w:r w:rsidRPr="00D556DB">
        <w:rPr>
          <w:rFonts w:ascii="Arial" w:hAnsi="Arial" w:cs="Arial"/>
        </w:rPr>
        <w:t xml:space="preserve"> the </w:t>
      </w:r>
      <w:r>
        <w:rPr>
          <w:rFonts w:ascii="Arial" w:hAnsi="Arial" w:cs="Arial"/>
        </w:rPr>
        <w:t>Standard Method</w:t>
      </w:r>
      <w:r w:rsidRPr="00D556DB">
        <w:rPr>
          <w:rFonts w:ascii="Arial" w:hAnsi="Arial" w:cs="Arial"/>
        </w:rPr>
        <w:t>. Given 1:1 commuting patterns and estimates about double jobbing, the number of jobs potentially supported is 12,313.</w:t>
      </w:r>
    </w:p>
    <w:p w14:paraId="7E3C073B" w14:textId="11332CE1" w:rsidR="00360825" w:rsidRPr="00D556DB" w:rsidRDefault="00360825" w:rsidP="001A7584">
      <w:pPr>
        <w:pStyle w:val="Heading4"/>
        <w:ind w:firstLine="0"/>
        <w:rPr>
          <w:rFonts w:eastAsiaTheme="majorEastAsia"/>
        </w:rPr>
      </w:pPr>
      <w:r w:rsidRPr="00D556DB">
        <w:t xml:space="preserve">Jobs supported by </w:t>
      </w:r>
      <w:r w:rsidR="006B1D18">
        <w:t>delivery of the standard method housing requirement</w:t>
      </w:r>
      <w:r w:rsidRPr="00D556DB">
        <w:t xml:space="preserve"> (2021-39) – Chichester District</w:t>
      </w:r>
    </w:p>
    <w:tbl>
      <w:tblPr>
        <w:tblStyle w:val="TableTheme"/>
        <w:tblW w:w="5000" w:type="pct"/>
        <w:jc w:val="center"/>
        <w:tblInd w:w="0" w:type="dxa"/>
        <w:tblLook w:val="04A0" w:firstRow="1" w:lastRow="0" w:firstColumn="1" w:lastColumn="0" w:noHBand="0" w:noVBand="1"/>
      </w:tblPr>
      <w:tblGrid>
        <w:gridCol w:w="1838"/>
        <w:gridCol w:w="1734"/>
        <w:gridCol w:w="1735"/>
        <w:gridCol w:w="1735"/>
        <w:gridCol w:w="1735"/>
      </w:tblGrid>
      <w:tr w:rsidR="00360825" w:rsidRPr="00DE1AA1" w14:paraId="307B2590" w14:textId="77777777" w:rsidTr="00C04569">
        <w:trPr>
          <w:jc w:val="center"/>
        </w:trPr>
        <w:tc>
          <w:tcPr>
            <w:tcW w:w="1838" w:type="dxa"/>
            <w:tcBorders>
              <w:top w:val="single" w:sz="4" w:space="0" w:color="auto"/>
              <w:left w:val="single" w:sz="4" w:space="0" w:color="auto"/>
              <w:bottom w:val="single" w:sz="4" w:space="0" w:color="auto"/>
              <w:right w:val="single" w:sz="4" w:space="0" w:color="auto"/>
            </w:tcBorders>
            <w:shd w:val="clear" w:color="auto" w:fill="002060"/>
            <w:vAlign w:val="center"/>
          </w:tcPr>
          <w:p w14:paraId="5FEE621C" w14:textId="77777777" w:rsidR="00360825" w:rsidRPr="00D556DB" w:rsidRDefault="00360825" w:rsidP="00C04569">
            <w:pPr>
              <w:keepNext/>
              <w:spacing w:after="0" w:line="300" w:lineRule="auto"/>
              <w:jc w:val="center"/>
              <w:rPr>
                <w:rFonts w:ascii="Arial" w:hAnsi="Arial" w:cs="Arial"/>
              </w:rPr>
            </w:pPr>
          </w:p>
        </w:tc>
        <w:tc>
          <w:tcPr>
            <w:tcW w:w="17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736B9CA"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Total change in economically active</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982709E"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Plus 1,705 returning to employment</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C274F5D"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Allowance for net commuting</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1C8731"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Allowance for double jobbing (= jobs supported)</w:t>
            </w:r>
          </w:p>
        </w:tc>
      </w:tr>
      <w:tr w:rsidR="00360825" w:rsidRPr="00DE1AA1" w14:paraId="28AA54E5" w14:textId="77777777" w:rsidTr="00C04569">
        <w:trPr>
          <w:trHeight w:val="263"/>
          <w:jc w:val="center"/>
        </w:trPr>
        <w:tc>
          <w:tcPr>
            <w:tcW w:w="1838" w:type="dxa"/>
            <w:tcBorders>
              <w:top w:val="single" w:sz="4" w:space="0" w:color="auto"/>
              <w:left w:val="single" w:sz="4" w:space="0" w:color="auto"/>
              <w:bottom w:val="single" w:sz="4" w:space="0" w:color="auto"/>
              <w:right w:val="single" w:sz="4" w:space="0" w:color="auto"/>
            </w:tcBorders>
            <w:hideMark/>
          </w:tcPr>
          <w:p w14:paraId="7F5CD914" w14:textId="77777777" w:rsidR="00360825" w:rsidRPr="00D556DB" w:rsidRDefault="00360825" w:rsidP="00C04569">
            <w:pPr>
              <w:keepNext/>
              <w:widowControl w:val="0"/>
              <w:spacing w:after="0" w:line="300" w:lineRule="auto"/>
              <w:rPr>
                <w:rFonts w:ascii="Arial" w:hAnsi="Arial" w:cs="Arial"/>
              </w:rPr>
            </w:pPr>
            <w:r>
              <w:rPr>
                <w:rFonts w:ascii="Arial" w:hAnsi="Arial" w:cs="Arial"/>
              </w:rPr>
              <w:t>Standard Method</w:t>
            </w:r>
          </w:p>
        </w:tc>
        <w:tc>
          <w:tcPr>
            <w:tcW w:w="1734" w:type="dxa"/>
            <w:tcBorders>
              <w:top w:val="single" w:sz="4" w:space="0" w:color="auto"/>
              <w:left w:val="single" w:sz="4" w:space="0" w:color="auto"/>
              <w:right w:val="single" w:sz="4" w:space="0" w:color="auto"/>
            </w:tcBorders>
            <w:vAlign w:val="bottom"/>
          </w:tcPr>
          <w:p w14:paraId="2800D751" w14:textId="77777777" w:rsidR="00360825" w:rsidRPr="00D556DB" w:rsidRDefault="00360825" w:rsidP="00C04569">
            <w:pPr>
              <w:keepNext/>
              <w:spacing w:after="0" w:line="300" w:lineRule="auto"/>
              <w:jc w:val="center"/>
              <w:rPr>
                <w:rFonts w:ascii="Arial" w:hAnsi="Arial" w:cs="Arial"/>
                <w:color w:val="000000"/>
              </w:rPr>
            </w:pPr>
            <w:r w:rsidRPr="00DE1AA1">
              <w:rPr>
                <w:rFonts w:ascii="Arial" w:hAnsi="Arial" w:cs="Arial"/>
                <w:color w:val="000000"/>
              </w:rPr>
              <w:t>10,012</w:t>
            </w:r>
          </w:p>
        </w:tc>
        <w:tc>
          <w:tcPr>
            <w:tcW w:w="1735" w:type="dxa"/>
            <w:tcBorders>
              <w:top w:val="single" w:sz="4" w:space="0" w:color="auto"/>
              <w:left w:val="single" w:sz="4" w:space="0" w:color="auto"/>
              <w:right w:val="single" w:sz="4" w:space="0" w:color="auto"/>
            </w:tcBorders>
            <w:vAlign w:val="bottom"/>
          </w:tcPr>
          <w:p w14:paraId="43510C6D" w14:textId="77777777" w:rsidR="00360825" w:rsidRPr="00D556DB" w:rsidRDefault="00360825" w:rsidP="00C04569">
            <w:pPr>
              <w:keepNext/>
              <w:spacing w:after="0" w:line="300" w:lineRule="auto"/>
              <w:jc w:val="center"/>
              <w:rPr>
                <w:rFonts w:ascii="Arial" w:hAnsi="Arial" w:cs="Arial"/>
                <w:color w:val="000000"/>
              </w:rPr>
            </w:pPr>
            <w:r w:rsidRPr="00DE1AA1">
              <w:rPr>
                <w:rFonts w:ascii="Arial" w:hAnsi="Arial" w:cs="Arial"/>
                <w:color w:val="000000"/>
              </w:rPr>
              <w:t>11,717</w:t>
            </w:r>
          </w:p>
        </w:tc>
        <w:tc>
          <w:tcPr>
            <w:tcW w:w="1735" w:type="dxa"/>
            <w:tcBorders>
              <w:top w:val="single" w:sz="4" w:space="0" w:color="auto"/>
              <w:left w:val="single" w:sz="4" w:space="0" w:color="auto"/>
              <w:right w:val="single" w:sz="4" w:space="0" w:color="auto"/>
            </w:tcBorders>
            <w:vAlign w:val="bottom"/>
          </w:tcPr>
          <w:p w14:paraId="17568ED0" w14:textId="77777777" w:rsidR="00360825" w:rsidRPr="00D556DB" w:rsidRDefault="00360825" w:rsidP="00C04569">
            <w:pPr>
              <w:keepNext/>
              <w:spacing w:after="0" w:line="300" w:lineRule="auto"/>
              <w:jc w:val="center"/>
              <w:rPr>
                <w:rFonts w:ascii="Arial" w:hAnsi="Arial" w:cs="Arial"/>
                <w:color w:val="000000"/>
              </w:rPr>
            </w:pPr>
            <w:r w:rsidRPr="00DE1AA1">
              <w:rPr>
                <w:rFonts w:ascii="Arial" w:hAnsi="Arial" w:cs="Arial"/>
                <w:color w:val="000000"/>
              </w:rPr>
              <w:t>11,717</w:t>
            </w:r>
          </w:p>
        </w:tc>
        <w:tc>
          <w:tcPr>
            <w:tcW w:w="1735" w:type="dxa"/>
            <w:tcBorders>
              <w:top w:val="single" w:sz="4" w:space="0" w:color="auto"/>
              <w:left w:val="single" w:sz="4" w:space="0" w:color="auto"/>
              <w:right w:val="single" w:sz="4" w:space="0" w:color="auto"/>
            </w:tcBorders>
            <w:vAlign w:val="bottom"/>
          </w:tcPr>
          <w:p w14:paraId="6EB1738A" w14:textId="77777777" w:rsidR="00360825" w:rsidRPr="00D556DB" w:rsidRDefault="00360825" w:rsidP="00C04569">
            <w:pPr>
              <w:keepNext/>
              <w:spacing w:after="0" w:line="300" w:lineRule="auto"/>
              <w:jc w:val="center"/>
              <w:rPr>
                <w:rFonts w:ascii="Arial" w:hAnsi="Arial" w:cs="Arial"/>
                <w:color w:val="000000"/>
              </w:rPr>
            </w:pPr>
            <w:r w:rsidRPr="00DE1AA1">
              <w:rPr>
                <w:rFonts w:ascii="Arial" w:hAnsi="Arial" w:cs="Arial"/>
                <w:color w:val="000000"/>
              </w:rPr>
              <w:t>12,313</w:t>
            </w:r>
          </w:p>
        </w:tc>
      </w:tr>
    </w:tbl>
    <w:p w14:paraId="29878E10" w14:textId="77777777" w:rsidR="00360825" w:rsidRPr="00DE1AA1" w:rsidRDefault="00360825" w:rsidP="00360825">
      <w:pPr>
        <w:widowControl w:val="0"/>
        <w:autoSpaceDE w:val="0"/>
        <w:autoSpaceDN w:val="0"/>
        <w:adjustRightInd w:val="0"/>
        <w:spacing w:line="300" w:lineRule="auto"/>
        <w:rPr>
          <w:rFonts w:ascii="Arial" w:hAnsi="Arial" w:cs="Arial"/>
          <w:i/>
          <w:iCs/>
          <w:sz w:val="16"/>
          <w:szCs w:val="16"/>
        </w:rPr>
      </w:pPr>
      <w:r w:rsidRPr="00D556DB">
        <w:rPr>
          <w:rFonts w:ascii="Arial" w:hAnsi="Arial" w:cs="Arial"/>
          <w:i/>
          <w:iCs/>
          <w:sz w:val="16"/>
          <w:szCs w:val="16"/>
        </w:rPr>
        <w:t>Source: Derived from a range of sources as described</w:t>
      </w:r>
    </w:p>
    <w:p w14:paraId="5061D07B" w14:textId="77777777" w:rsidR="00360825" w:rsidRPr="00D556DB" w:rsidRDefault="00360825" w:rsidP="00360825">
      <w:pPr>
        <w:pStyle w:val="Heading2"/>
        <w:rPr>
          <w:rFonts w:ascii="Arial" w:hAnsi="Arial" w:cs="Arial"/>
        </w:rPr>
      </w:pPr>
      <w:r w:rsidRPr="00D556DB">
        <w:rPr>
          <w:rFonts w:ascii="Arial" w:eastAsiaTheme="majorEastAsia" w:hAnsi="Arial" w:cs="Arial"/>
        </w:rPr>
        <w:t>Economic-led Housing Need</w:t>
      </w:r>
    </w:p>
    <w:p w14:paraId="5387E243"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analysis below considers what level of housing delivery might be required to provide alignment with future jobs (as forecast). As previously noted</w:t>
      </w:r>
      <w:bookmarkStart w:id="23" w:name="_Hlk39056129"/>
      <w:r w:rsidRPr="00D556DB">
        <w:rPr>
          <w:rFonts w:ascii="Arial" w:hAnsi="Arial" w:cs="Arial"/>
        </w:rPr>
        <w:t xml:space="preserve"> this methodology is identical to that set out above but completed in reverse to get to a population growth. </w:t>
      </w:r>
    </w:p>
    <w:p w14:paraId="1F000D8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 xml:space="preserve">This </w:t>
      </w:r>
      <w:r w:rsidRPr="00D556DB">
        <w:rPr>
          <w:rFonts w:ascii="Arial" w:eastAsiaTheme="majorEastAsia" w:hAnsi="Arial" w:cs="Arial"/>
        </w:rPr>
        <w:t>level</w:t>
      </w:r>
      <w:r w:rsidRPr="00D556DB">
        <w:rPr>
          <w:rFonts w:ascii="Arial" w:hAnsi="Arial" w:cs="Arial"/>
        </w:rPr>
        <w:t xml:space="preserve"> of population growth is then applied to the household formation rates developed earlier in this report to get to a household growth. A final adjustment to reflect a level of vacancy in the housing stock is applied to the household growth to get to a dwelling’s growth.</w:t>
      </w:r>
    </w:p>
    <w:p w14:paraId="601441D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Two forecasts have been accessed to look at jobs supported. These are set out in more detail in Chapter 11. In both cases the analysis links to estimates of total jobs growth in the 2021-39 period. The jobs growth assumed is:</w:t>
      </w:r>
    </w:p>
    <w:p w14:paraId="042FE095" w14:textId="77777777" w:rsidR="00360825" w:rsidRPr="00D556DB" w:rsidRDefault="00360825" w:rsidP="001A7584">
      <w:pPr>
        <w:pStyle w:val="BodyText"/>
        <w:numPr>
          <w:ilvl w:val="0"/>
          <w:numId w:val="42"/>
        </w:numPr>
        <w:tabs>
          <w:tab w:val="left" w:pos="720"/>
        </w:tabs>
        <w:spacing w:after="120"/>
        <w:ind w:left="714" w:hanging="357"/>
        <w:rPr>
          <w:rFonts w:ascii="Arial" w:hAnsi="Arial" w:cs="Arial"/>
        </w:rPr>
      </w:pPr>
      <w:r w:rsidRPr="00D556DB">
        <w:rPr>
          <w:rFonts w:ascii="Arial" w:hAnsi="Arial" w:cs="Arial"/>
        </w:rPr>
        <w:t>Baseline – 5,761 additional jobs</w:t>
      </w:r>
    </w:p>
    <w:p w14:paraId="3BC75C11" w14:textId="77777777" w:rsidR="00360825" w:rsidRPr="00D556DB" w:rsidRDefault="00360825" w:rsidP="001A7584">
      <w:pPr>
        <w:pStyle w:val="BodyText"/>
        <w:numPr>
          <w:ilvl w:val="0"/>
          <w:numId w:val="42"/>
        </w:numPr>
        <w:tabs>
          <w:tab w:val="left" w:pos="720"/>
        </w:tabs>
        <w:spacing w:after="240"/>
        <w:ind w:left="714" w:hanging="357"/>
        <w:rPr>
          <w:rFonts w:ascii="Arial" w:hAnsi="Arial" w:cs="Arial"/>
        </w:rPr>
      </w:pPr>
      <w:r w:rsidRPr="00D556DB">
        <w:rPr>
          <w:rFonts w:ascii="Arial" w:hAnsi="Arial" w:cs="Arial"/>
        </w:rPr>
        <w:t>Growth forecast - 9,802 additional jobs</w:t>
      </w:r>
    </w:p>
    <w:p w14:paraId="6A23CAE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shows the estimated change in the number of economically active </w:t>
      </w:r>
      <w:r w:rsidRPr="00D556DB">
        <w:rPr>
          <w:rFonts w:ascii="Arial" w:eastAsiaTheme="majorEastAsia" w:hAnsi="Arial" w:cs="Arial"/>
        </w:rPr>
        <w:t>workers</w:t>
      </w:r>
      <w:r w:rsidRPr="00D556DB">
        <w:rPr>
          <w:rFonts w:ascii="Arial" w:hAnsi="Arial" w:cs="Arial"/>
        </w:rPr>
        <w:t xml:space="preserve"> for each of the scenarios. This shows that the forecast jobs growth in Chichester requires a lesser growth in economically active residents due to the number of people with more than one job and the supply of unemployed people returning to work.</w:t>
      </w:r>
    </w:p>
    <w:p w14:paraId="7A2BA168" w14:textId="77777777" w:rsidR="00360825" w:rsidRPr="00D556DB" w:rsidRDefault="00360825" w:rsidP="001A7584">
      <w:pPr>
        <w:pStyle w:val="Heading4"/>
        <w:ind w:firstLine="0"/>
        <w:rPr>
          <w:rFonts w:eastAsiaTheme="majorEastAsia"/>
        </w:rPr>
      </w:pPr>
      <w:bookmarkStart w:id="24" w:name="_Hlk52979174"/>
      <w:r w:rsidRPr="00D556DB">
        <w:t>Change in economically active population needed to meet job forecasts (2021-39)</w:t>
      </w:r>
    </w:p>
    <w:tbl>
      <w:tblPr>
        <w:tblStyle w:val="TableTheme"/>
        <w:tblW w:w="5000" w:type="pct"/>
        <w:jc w:val="center"/>
        <w:tblInd w:w="0" w:type="dxa"/>
        <w:tblLook w:val="04A0" w:firstRow="1" w:lastRow="0" w:firstColumn="1" w:lastColumn="0" w:noHBand="0" w:noVBand="1"/>
      </w:tblPr>
      <w:tblGrid>
        <w:gridCol w:w="1271"/>
        <w:gridCol w:w="2502"/>
        <w:gridCol w:w="2502"/>
        <w:gridCol w:w="2502"/>
      </w:tblGrid>
      <w:tr w:rsidR="00360825" w:rsidRPr="00954502" w14:paraId="38386621" w14:textId="77777777" w:rsidTr="00C04569">
        <w:trPr>
          <w:jc w:val="center"/>
        </w:trPr>
        <w:tc>
          <w:tcPr>
            <w:tcW w:w="1271" w:type="dxa"/>
            <w:tcBorders>
              <w:top w:val="single" w:sz="4" w:space="0" w:color="auto"/>
              <w:left w:val="single" w:sz="4" w:space="0" w:color="auto"/>
              <w:bottom w:val="single" w:sz="4" w:space="0" w:color="auto"/>
              <w:right w:val="single" w:sz="4" w:space="0" w:color="auto"/>
            </w:tcBorders>
            <w:shd w:val="clear" w:color="auto" w:fill="002060"/>
            <w:vAlign w:val="center"/>
          </w:tcPr>
          <w:p w14:paraId="76DC1A66" w14:textId="77777777" w:rsidR="00360825" w:rsidRPr="00954502" w:rsidRDefault="00360825" w:rsidP="00C04569">
            <w:pPr>
              <w:keepNext/>
              <w:spacing w:after="0" w:line="300" w:lineRule="auto"/>
              <w:jc w:val="center"/>
              <w:rPr>
                <w:rFonts w:ascii="Arial" w:hAnsi="Arial" w:cs="Arial"/>
              </w:rPr>
            </w:pPr>
          </w:p>
        </w:tc>
        <w:tc>
          <w:tcPr>
            <w:tcW w:w="25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4EDB290" w14:textId="77777777" w:rsidR="00360825" w:rsidRPr="00954502" w:rsidRDefault="00360825" w:rsidP="00C04569">
            <w:pPr>
              <w:keepNext/>
              <w:widowControl w:val="0"/>
              <w:spacing w:after="0" w:line="300" w:lineRule="auto"/>
              <w:jc w:val="center"/>
              <w:rPr>
                <w:rFonts w:ascii="Arial" w:hAnsi="Arial" w:cs="Arial"/>
              </w:rPr>
            </w:pPr>
            <w:r w:rsidRPr="00954502">
              <w:rPr>
                <w:rFonts w:ascii="Arial" w:hAnsi="Arial" w:cs="Arial"/>
              </w:rPr>
              <w:t>Total additional jobs</w:t>
            </w:r>
          </w:p>
        </w:tc>
        <w:tc>
          <w:tcPr>
            <w:tcW w:w="25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DE833B9" w14:textId="77777777" w:rsidR="00360825" w:rsidRPr="00954502" w:rsidRDefault="00360825" w:rsidP="00C04569">
            <w:pPr>
              <w:keepNext/>
              <w:widowControl w:val="0"/>
              <w:spacing w:after="0" w:line="300" w:lineRule="auto"/>
              <w:jc w:val="center"/>
              <w:rPr>
                <w:rFonts w:ascii="Arial" w:hAnsi="Arial" w:cs="Arial"/>
              </w:rPr>
            </w:pPr>
            <w:r w:rsidRPr="00954502">
              <w:rPr>
                <w:rFonts w:ascii="Arial" w:hAnsi="Arial" w:cs="Arial"/>
              </w:rPr>
              <w:t>Allowance for double jobbing</w:t>
            </w:r>
          </w:p>
        </w:tc>
        <w:tc>
          <w:tcPr>
            <w:tcW w:w="25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153253" w14:textId="77777777" w:rsidR="00360825" w:rsidRPr="00954502" w:rsidRDefault="00360825" w:rsidP="00C04569">
            <w:pPr>
              <w:keepNext/>
              <w:widowControl w:val="0"/>
              <w:spacing w:after="0" w:line="300" w:lineRule="auto"/>
              <w:jc w:val="center"/>
              <w:rPr>
                <w:rFonts w:ascii="Arial" w:hAnsi="Arial" w:cs="Arial"/>
              </w:rPr>
            </w:pPr>
            <w:r w:rsidRPr="00954502">
              <w:rPr>
                <w:rFonts w:ascii="Arial" w:hAnsi="Arial" w:cs="Arial"/>
              </w:rPr>
              <w:t>Minus 1,705 returning to employment (=change in economically active)</w:t>
            </w:r>
          </w:p>
        </w:tc>
      </w:tr>
      <w:tr w:rsidR="00360825" w:rsidRPr="00954502" w14:paraId="618E6555" w14:textId="77777777" w:rsidTr="00C04569">
        <w:trPr>
          <w:jc w:val="center"/>
        </w:trPr>
        <w:tc>
          <w:tcPr>
            <w:tcW w:w="1271" w:type="dxa"/>
            <w:tcBorders>
              <w:top w:val="single" w:sz="4" w:space="0" w:color="auto"/>
              <w:left w:val="single" w:sz="4" w:space="0" w:color="auto"/>
              <w:bottom w:val="single" w:sz="4" w:space="0" w:color="auto"/>
              <w:right w:val="single" w:sz="4" w:space="0" w:color="auto"/>
            </w:tcBorders>
            <w:hideMark/>
          </w:tcPr>
          <w:p w14:paraId="66B2E0DE" w14:textId="77777777" w:rsidR="00360825" w:rsidRPr="00954502" w:rsidRDefault="00360825" w:rsidP="00C04569">
            <w:pPr>
              <w:keepNext/>
              <w:widowControl w:val="0"/>
              <w:spacing w:after="0" w:line="300" w:lineRule="auto"/>
              <w:rPr>
                <w:rFonts w:ascii="Arial" w:hAnsi="Arial" w:cs="Arial"/>
              </w:rPr>
            </w:pPr>
            <w:r w:rsidRPr="00954502">
              <w:rPr>
                <w:rFonts w:ascii="Arial" w:hAnsi="Arial" w:cs="Arial"/>
              </w:rPr>
              <w:t>Baseline</w:t>
            </w:r>
          </w:p>
        </w:tc>
        <w:tc>
          <w:tcPr>
            <w:tcW w:w="2502" w:type="dxa"/>
            <w:tcBorders>
              <w:top w:val="single" w:sz="4" w:space="0" w:color="auto"/>
              <w:left w:val="single" w:sz="4" w:space="0" w:color="auto"/>
              <w:right w:val="single" w:sz="4" w:space="0" w:color="auto"/>
            </w:tcBorders>
            <w:vAlign w:val="bottom"/>
          </w:tcPr>
          <w:p w14:paraId="77699F87" w14:textId="77777777" w:rsidR="00360825" w:rsidRPr="00954502" w:rsidRDefault="00360825" w:rsidP="00C04569">
            <w:pPr>
              <w:keepNext/>
              <w:spacing w:after="0" w:line="300" w:lineRule="auto"/>
              <w:jc w:val="center"/>
              <w:rPr>
                <w:rFonts w:ascii="Arial" w:hAnsi="Arial" w:cs="Arial"/>
              </w:rPr>
            </w:pPr>
            <w:r w:rsidRPr="00D556DB">
              <w:rPr>
                <w:rFonts w:ascii="Arial" w:hAnsi="Arial" w:cs="Arial"/>
                <w:color w:val="000000"/>
              </w:rPr>
              <w:t>5,761</w:t>
            </w:r>
          </w:p>
        </w:tc>
        <w:tc>
          <w:tcPr>
            <w:tcW w:w="2502" w:type="dxa"/>
            <w:tcBorders>
              <w:top w:val="single" w:sz="4" w:space="0" w:color="auto"/>
              <w:left w:val="single" w:sz="4" w:space="0" w:color="auto"/>
              <w:right w:val="single" w:sz="4" w:space="0" w:color="auto"/>
            </w:tcBorders>
            <w:vAlign w:val="bottom"/>
          </w:tcPr>
          <w:p w14:paraId="2A19FA0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5,482</w:t>
            </w:r>
          </w:p>
        </w:tc>
        <w:tc>
          <w:tcPr>
            <w:tcW w:w="2502" w:type="dxa"/>
            <w:tcBorders>
              <w:top w:val="single" w:sz="4" w:space="0" w:color="auto"/>
              <w:left w:val="single" w:sz="4" w:space="0" w:color="auto"/>
              <w:right w:val="single" w:sz="4" w:space="0" w:color="auto"/>
            </w:tcBorders>
            <w:vAlign w:val="bottom"/>
          </w:tcPr>
          <w:p w14:paraId="419A8FE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3,777</w:t>
            </w:r>
          </w:p>
        </w:tc>
      </w:tr>
      <w:tr w:rsidR="00360825" w:rsidRPr="00954502" w14:paraId="19AE6630" w14:textId="77777777" w:rsidTr="00C04569">
        <w:trPr>
          <w:jc w:val="center"/>
        </w:trPr>
        <w:tc>
          <w:tcPr>
            <w:tcW w:w="1271" w:type="dxa"/>
            <w:tcBorders>
              <w:top w:val="single" w:sz="4" w:space="0" w:color="auto"/>
              <w:left w:val="single" w:sz="4" w:space="0" w:color="auto"/>
              <w:bottom w:val="single" w:sz="4" w:space="0" w:color="auto"/>
              <w:right w:val="single" w:sz="4" w:space="0" w:color="auto"/>
            </w:tcBorders>
            <w:hideMark/>
          </w:tcPr>
          <w:p w14:paraId="2ED2495E" w14:textId="77777777" w:rsidR="00360825" w:rsidRPr="00954502" w:rsidRDefault="00360825" w:rsidP="00C04569">
            <w:pPr>
              <w:keepNext/>
              <w:widowControl w:val="0"/>
              <w:spacing w:after="0" w:line="300" w:lineRule="auto"/>
              <w:rPr>
                <w:rFonts w:ascii="Arial" w:hAnsi="Arial" w:cs="Arial"/>
              </w:rPr>
            </w:pPr>
            <w:r w:rsidRPr="00954502">
              <w:rPr>
                <w:rFonts w:ascii="Arial" w:hAnsi="Arial" w:cs="Arial"/>
              </w:rPr>
              <w:t>Growth</w:t>
            </w:r>
          </w:p>
        </w:tc>
        <w:tc>
          <w:tcPr>
            <w:tcW w:w="2502" w:type="dxa"/>
            <w:tcBorders>
              <w:top w:val="single" w:sz="4" w:space="0" w:color="auto"/>
              <w:left w:val="single" w:sz="4" w:space="0" w:color="auto"/>
              <w:right w:val="single" w:sz="4" w:space="0" w:color="auto"/>
            </w:tcBorders>
            <w:vAlign w:val="bottom"/>
          </w:tcPr>
          <w:p w14:paraId="54556CAB" w14:textId="77777777" w:rsidR="00360825" w:rsidRPr="00954502" w:rsidRDefault="00360825" w:rsidP="00C04569">
            <w:pPr>
              <w:keepNext/>
              <w:spacing w:after="0" w:line="300" w:lineRule="auto"/>
              <w:jc w:val="center"/>
              <w:rPr>
                <w:rFonts w:ascii="Arial" w:hAnsi="Arial" w:cs="Arial"/>
                <w:color w:val="000000"/>
              </w:rPr>
            </w:pPr>
            <w:r w:rsidRPr="00D556DB">
              <w:rPr>
                <w:rFonts w:ascii="Arial" w:hAnsi="Arial" w:cs="Arial"/>
                <w:color w:val="000000"/>
              </w:rPr>
              <w:t>9,802</w:t>
            </w:r>
          </w:p>
        </w:tc>
        <w:tc>
          <w:tcPr>
            <w:tcW w:w="2502" w:type="dxa"/>
            <w:tcBorders>
              <w:top w:val="single" w:sz="4" w:space="0" w:color="auto"/>
              <w:left w:val="single" w:sz="4" w:space="0" w:color="auto"/>
              <w:right w:val="single" w:sz="4" w:space="0" w:color="auto"/>
            </w:tcBorders>
            <w:vAlign w:val="bottom"/>
          </w:tcPr>
          <w:p w14:paraId="6C36CDE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9,328</w:t>
            </w:r>
          </w:p>
        </w:tc>
        <w:tc>
          <w:tcPr>
            <w:tcW w:w="2502" w:type="dxa"/>
            <w:tcBorders>
              <w:top w:val="single" w:sz="4" w:space="0" w:color="auto"/>
              <w:left w:val="single" w:sz="4" w:space="0" w:color="auto"/>
              <w:right w:val="single" w:sz="4" w:space="0" w:color="auto"/>
            </w:tcBorders>
            <w:vAlign w:val="bottom"/>
          </w:tcPr>
          <w:p w14:paraId="0D8746A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7,623</w:t>
            </w:r>
          </w:p>
        </w:tc>
      </w:tr>
    </w:tbl>
    <w:p w14:paraId="5292FA08" w14:textId="77777777" w:rsidR="00360825" w:rsidRPr="00954502" w:rsidRDefault="00360825" w:rsidP="00360825">
      <w:pPr>
        <w:widowControl w:val="0"/>
        <w:autoSpaceDE w:val="0"/>
        <w:autoSpaceDN w:val="0"/>
        <w:adjustRightInd w:val="0"/>
        <w:spacing w:line="300" w:lineRule="auto"/>
        <w:rPr>
          <w:rFonts w:ascii="Arial" w:hAnsi="Arial" w:cs="Arial"/>
          <w:i/>
          <w:iCs/>
          <w:sz w:val="16"/>
          <w:szCs w:val="16"/>
        </w:rPr>
      </w:pPr>
      <w:r w:rsidRPr="00954502">
        <w:rPr>
          <w:rFonts w:ascii="Arial" w:hAnsi="Arial" w:cs="Arial"/>
          <w:i/>
          <w:iCs/>
          <w:sz w:val="16"/>
          <w:szCs w:val="16"/>
        </w:rPr>
        <w:t>Source: Derived from a range of sources as described</w:t>
      </w:r>
    </w:p>
    <w:p w14:paraId="6B8EE06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following table takes the growth in economically active population and translates this into household growth and dwellings need. The figures are for the whole of Chichester District (i.e. including the National Park) although the National Park housing need/delivery is fixed at 125 dwellings per annum for </w:t>
      </w:r>
      <w:r>
        <w:rPr>
          <w:rFonts w:ascii="Arial" w:hAnsi="Arial" w:cs="Arial"/>
        </w:rPr>
        <w:t>both</w:t>
      </w:r>
      <w:r w:rsidRPr="00D556DB">
        <w:rPr>
          <w:rFonts w:ascii="Arial" w:hAnsi="Arial" w:cs="Arial"/>
        </w:rPr>
        <w:t xml:space="preserve"> scenarios.</w:t>
      </w:r>
    </w:p>
    <w:p w14:paraId="6343543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As shown in the table the baseline growth would only require 51</w:t>
      </w:r>
      <w:r>
        <w:rPr>
          <w:rFonts w:ascii="Arial" w:hAnsi="Arial" w:cs="Arial"/>
        </w:rPr>
        <w:t>7</w:t>
      </w:r>
      <w:r w:rsidRPr="00D556DB">
        <w:rPr>
          <w:rFonts w:ascii="Arial" w:hAnsi="Arial" w:cs="Arial"/>
        </w:rPr>
        <w:t xml:space="preserve"> dwellings per annum to support job growth, but the figure increases to </w:t>
      </w:r>
      <w:r>
        <w:rPr>
          <w:rFonts w:ascii="Arial" w:hAnsi="Arial" w:cs="Arial"/>
        </w:rPr>
        <w:t>669</w:t>
      </w:r>
      <w:r w:rsidRPr="00D556DB">
        <w:rPr>
          <w:rFonts w:ascii="Arial" w:hAnsi="Arial" w:cs="Arial"/>
        </w:rPr>
        <w:t xml:space="preserve"> dwellings per annum when looking at the higher economic forecast.</w:t>
      </w:r>
    </w:p>
    <w:p w14:paraId="29028D6F" w14:textId="77777777" w:rsidR="00360825" w:rsidRPr="00D556DB" w:rsidRDefault="00360825" w:rsidP="001A7584">
      <w:pPr>
        <w:pStyle w:val="Heading4"/>
        <w:ind w:firstLine="0"/>
        <w:rPr>
          <w:rFonts w:eastAsiaTheme="majorEastAsia"/>
        </w:rPr>
      </w:pPr>
      <w:r w:rsidRPr="00D556DB">
        <w:t>Projected housing need – range of job growth forecasts – Chichester District (2021-39)</w:t>
      </w:r>
    </w:p>
    <w:tbl>
      <w:tblPr>
        <w:tblStyle w:val="TableGridLight1"/>
        <w:tblW w:w="5000" w:type="pct"/>
        <w:tblInd w:w="0" w:type="dxa"/>
        <w:tblLayout w:type="fixed"/>
        <w:tblLook w:val="04A0" w:firstRow="1" w:lastRow="0" w:firstColumn="1" w:lastColumn="0" w:noHBand="0" w:noVBand="1"/>
      </w:tblPr>
      <w:tblGrid>
        <w:gridCol w:w="1400"/>
        <w:gridCol w:w="1475"/>
        <w:gridCol w:w="1475"/>
        <w:gridCol w:w="1476"/>
        <w:gridCol w:w="1475"/>
        <w:gridCol w:w="1476"/>
      </w:tblGrid>
      <w:tr w:rsidR="00360825" w:rsidRPr="00982EBF" w14:paraId="32C17C4A" w14:textId="77777777" w:rsidTr="00C04569">
        <w:tc>
          <w:tcPr>
            <w:tcW w:w="1129" w:type="dxa"/>
            <w:tcBorders>
              <w:top w:val="single" w:sz="4" w:space="0" w:color="auto"/>
              <w:left w:val="single" w:sz="4" w:space="0" w:color="auto"/>
              <w:bottom w:val="single" w:sz="4" w:space="0" w:color="auto"/>
              <w:right w:val="single" w:sz="4" w:space="0" w:color="auto"/>
            </w:tcBorders>
            <w:shd w:val="clear" w:color="auto" w:fill="002060"/>
          </w:tcPr>
          <w:p w14:paraId="61F8B1CA" w14:textId="77777777" w:rsidR="00360825" w:rsidRPr="00D556DB" w:rsidRDefault="00360825" w:rsidP="00C04569">
            <w:pPr>
              <w:keepNext/>
              <w:spacing w:after="0" w:line="300" w:lineRule="auto"/>
              <w:rPr>
                <w:rFonts w:ascii="Arial" w:hAnsi="Arial" w:cs="Arial"/>
                <w:color w:val="FFFFFF" w:themeColor="background1"/>
              </w:rPr>
            </w:pP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1CC983C0"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spacing w:val="-4"/>
              </w:rPr>
              <w:t>Households</w:t>
            </w:r>
            <w:r w:rsidRPr="00D556DB">
              <w:rPr>
                <w:rFonts w:ascii="Arial" w:hAnsi="Arial" w:cs="Arial"/>
                <w:color w:val="FFFFFF" w:themeColor="background1"/>
              </w:rPr>
              <w:t xml:space="preserve"> 2020</w:t>
            </w: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79D02FC4"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spacing w:val="-4"/>
              </w:rPr>
              <w:t>Households</w:t>
            </w:r>
            <w:r w:rsidRPr="00D556DB">
              <w:rPr>
                <w:rFonts w:ascii="Arial" w:hAnsi="Arial" w:cs="Arial"/>
                <w:color w:val="FFFFFF" w:themeColor="background1"/>
              </w:rPr>
              <w:t xml:space="preserve"> 2039</w:t>
            </w:r>
          </w:p>
        </w:tc>
        <w:tc>
          <w:tcPr>
            <w:tcW w:w="1190" w:type="dxa"/>
            <w:tcBorders>
              <w:top w:val="single" w:sz="4" w:space="0" w:color="auto"/>
              <w:left w:val="single" w:sz="4" w:space="0" w:color="auto"/>
              <w:bottom w:val="single" w:sz="4" w:space="0" w:color="auto"/>
              <w:right w:val="single" w:sz="4" w:space="0" w:color="auto"/>
            </w:tcBorders>
            <w:shd w:val="clear" w:color="auto" w:fill="002060"/>
            <w:hideMark/>
          </w:tcPr>
          <w:p w14:paraId="42C57C4C"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Change in households</w:t>
            </w: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2D3E4075"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Per annum</w:t>
            </w:r>
          </w:p>
        </w:tc>
        <w:tc>
          <w:tcPr>
            <w:tcW w:w="1190" w:type="dxa"/>
            <w:tcBorders>
              <w:top w:val="single" w:sz="4" w:space="0" w:color="auto"/>
              <w:left w:val="single" w:sz="4" w:space="0" w:color="auto"/>
              <w:bottom w:val="single" w:sz="4" w:space="0" w:color="auto"/>
              <w:right w:val="single" w:sz="4" w:space="0" w:color="auto"/>
            </w:tcBorders>
            <w:shd w:val="clear" w:color="auto" w:fill="002060"/>
            <w:hideMark/>
          </w:tcPr>
          <w:p w14:paraId="483BA1F8"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Dwellings (per annum)</w:t>
            </w:r>
          </w:p>
        </w:tc>
      </w:tr>
      <w:tr w:rsidR="00360825" w:rsidRPr="00982EBF" w14:paraId="4B4DA0C7" w14:textId="77777777" w:rsidTr="00C04569">
        <w:tc>
          <w:tcPr>
            <w:tcW w:w="1129" w:type="dxa"/>
            <w:tcBorders>
              <w:top w:val="single" w:sz="4" w:space="0" w:color="auto"/>
              <w:left w:val="single" w:sz="4" w:space="0" w:color="auto"/>
              <w:bottom w:val="single" w:sz="4" w:space="0" w:color="auto"/>
              <w:right w:val="single" w:sz="4" w:space="0" w:color="auto"/>
            </w:tcBorders>
            <w:hideMark/>
          </w:tcPr>
          <w:p w14:paraId="43C9EA84" w14:textId="77777777" w:rsidR="00360825" w:rsidRPr="00D556DB" w:rsidRDefault="00360825" w:rsidP="00C04569">
            <w:pPr>
              <w:keepNext/>
              <w:widowControl w:val="0"/>
              <w:spacing w:after="0" w:line="300" w:lineRule="auto"/>
              <w:rPr>
                <w:rFonts w:ascii="Arial" w:hAnsi="Arial" w:cs="Arial"/>
                <w:color w:val="000000"/>
              </w:rPr>
            </w:pPr>
            <w:r w:rsidRPr="00D556DB">
              <w:rPr>
                <w:rFonts w:ascii="Arial" w:hAnsi="Arial" w:cs="Arial"/>
              </w:rPr>
              <w:t>Baseline</w:t>
            </w:r>
          </w:p>
        </w:tc>
        <w:tc>
          <w:tcPr>
            <w:tcW w:w="1189" w:type="dxa"/>
            <w:tcBorders>
              <w:top w:val="single" w:sz="4" w:space="0" w:color="auto"/>
              <w:left w:val="single" w:sz="4" w:space="0" w:color="auto"/>
              <w:right w:val="single" w:sz="4" w:space="0" w:color="auto"/>
            </w:tcBorders>
            <w:vAlign w:val="center"/>
          </w:tcPr>
          <w:p w14:paraId="3436964E"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54,986</w:t>
            </w:r>
          </w:p>
        </w:tc>
        <w:tc>
          <w:tcPr>
            <w:tcW w:w="1189" w:type="dxa"/>
            <w:tcBorders>
              <w:top w:val="single" w:sz="4" w:space="0" w:color="auto"/>
              <w:left w:val="single" w:sz="4" w:space="0" w:color="auto"/>
              <w:right w:val="single" w:sz="4" w:space="0" w:color="auto"/>
            </w:tcBorders>
            <w:vAlign w:val="center"/>
          </w:tcPr>
          <w:p w14:paraId="2D310BB3"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64,019</w:t>
            </w:r>
          </w:p>
        </w:tc>
        <w:tc>
          <w:tcPr>
            <w:tcW w:w="1190" w:type="dxa"/>
            <w:tcBorders>
              <w:top w:val="single" w:sz="4" w:space="0" w:color="auto"/>
              <w:left w:val="single" w:sz="4" w:space="0" w:color="auto"/>
              <w:right w:val="single" w:sz="4" w:space="0" w:color="auto"/>
            </w:tcBorders>
            <w:vAlign w:val="center"/>
          </w:tcPr>
          <w:p w14:paraId="4D9A91F1"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9,034</w:t>
            </w:r>
          </w:p>
        </w:tc>
        <w:tc>
          <w:tcPr>
            <w:tcW w:w="1189" w:type="dxa"/>
            <w:tcBorders>
              <w:top w:val="single" w:sz="4" w:space="0" w:color="auto"/>
              <w:left w:val="single" w:sz="4" w:space="0" w:color="auto"/>
              <w:right w:val="single" w:sz="4" w:space="0" w:color="auto"/>
            </w:tcBorders>
            <w:vAlign w:val="center"/>
          </w:tcPr>
          <w:p w14:paraId="3DDDA211"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502</w:t>
            </w:r>
          </w:p>
        </w:tc>
        <w:tc>
          <w:tcPr>
            <w:tcW w:w="1190" w:type="dxa"/>
            <w:tcBorders>
              <w:top w:val="single" w:sz="4" w:space="0" w:color="auto"/>
              <w:left w:val="single" w:sz="4" w:space="0" w:color="auto"/>
              <w:right w:val="single" w:sz="4" w:space="0" w:color="auto"/>
            </w:tcBorders>
            <w:vAlign w:val="center"/>
          </w:tcPr>
          <w:p w14:paraId="7A9F4601"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517</w:t>
            </w:r>
          </w:p>
        </w:tc>
      </w:tr>
      <w:tr w:rsidR="00360825" w:rsidRPr="00982EBF" w14:paraId="480C7CD1" w14:textId="77777777" w:rsidTr="00C04569">
        <w:tc>
          <w:tcPr>
            <w:tcW w:w="1129" w:type="dxa"/>
            <w:tcBorders>
              <w:top w:val="single" w:sz="4" w:space="0" w:color="auto"/>
              <w:left w:val="single" w:sz="4" w:space="0" w:color="auto"/>
              <w:bottom w:val="single" w:sz="4" w:space="0" w:color="auto"/>
              <w:right w:val="single" w:sz="4" w:space="0" w:color="auto"/>
            </w:tcBorders>
            <w:hideMark/>
          </w:tcPr>
          <w:p w14:paraId="7C1DDB6A" w14:textId="77777777" w:rsidR="00360825" w:rsidRPr="00D556DB" w:rsidRDefault="00360825" w:rsidP="00C04569">
            <w:pPr>
              <w:keepNext/>
              <w:widowControl w:val="0"/>
              <w:spacing w:after="0" w:line="300" w:lineRule="auto"/>
              <w:rPr>
                <w:rFonts w:ascii="Arial" w:hAnsi="Arial" w:cs="Arial"/>
                <w:color w:val="000000"/>
              </w:rPr>
            </w:pPr>
            <w:r w:rsidRPr="00D556DB">
              <w:rPr>
                <w:rFonts w:ascii="Arial" w:hAnsi="Arial" w:cs="Arial"/>
              </w:rPr>
              <w:t>Growth</w:t>
            </w:r>
          </w:p>
        </w:tc>
        <w:tc>
          <w:tcPr>
            <w:tcW w:w="1189" w:type="dxa"/>
            <w:tcBorders>
              <w:top w:val="single" w:sz="4" w:space="0" w:color="auto"/>
              <w:left w:val="single" w:sz="4" w:space="0" w:color="auto"/>
              <w:right w:val="single" w:sz="4" w:space="0" w:color="auto"/>
            </w:tcBorders>
            <w:vAlign w:val="center"/>
          </w:tcPr>
          <w:p w14:paraId="20776BA5"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54,986</w:t>
            </w:r>
          </w:p>
        </w:tc>
        <w:tc>
          <w:tcPr>
            <w:tcW w:w="1189" w:type="dxa"/>
            <w:tcBorders>
              <w:top w:val="single" w:sz="4" w:space="0" w:color="auto"/>
              <w:left w:val="single" w:sz="4" w:space="0" w:color="auto"/>
              <w:right w:val="single" w:sz="4" w:space="0" w:color="auto"/>
            </w:tcBorders>
            <w:vAlign w:val="center"/>
          </w:tcPr>
          <w:p w14:paraId="20694F6B"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66,672</w:t>
            </w:r>
          </w:p>
        </w:tc>
        <w:tc>
          <w:tcPr>
            <w:tcW w:w="1190" w:type="dxa"/>
            <w:tcBorders>
              <w:top w:val="single" w:sz="4" w:space="0" w:color="auto"/>
              <w:left w:val="single" w:sz="4" w:space="0" w:color="auto"/>
              <w:right w:val="single" w:sz="4" w:space="0" w:color="auto"/>
            </w:tcBorders>
            <w:vAlign w:val="center"/>
          </w:tcPr>
          <w:p w14:paraId="03187160"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11,687</w:t>
            </w:r>
          </w:p>
        </w:tc>
        <w:tc>
          <w:tcPr>
            <w:tcW w:w="1189" w:type="dxa"/>
            <w:tcBorders>
              <w:top w:val="single" w:sz="4" w:space="0" w:color="auto"/>
              <w:left w:val="single" w:sz="4" w:space="0" w:color="auto"/>
              <w:right w:val="single" w:sz="4" w:space="0" w:color="auto"/>
            </w:tcBorders>
            <w:vAlign w:val="center"/>
          </w:tcPr>
          <w:p w14:paraId="5BC21783"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649</w:t>
            </w:r>
          </w:p>
        </w:tc>
        <w:tc>
          <w:tcPr>
            <w:tcW w:w="1190" w:type="dxa"/>
            <w:tcBorders>
              <w:top w:val="single" w:sz="4" w:space="0" w:color="auto"/>
              <w:left w:val="single" w:sz="4" w:space="0" w:color="auto"/>
              <w:right w:val="single" w:sz="4" w:space="0" w:color="auto"/>
            </w:tcBorders>
            <w:vAlign w:val="center"/>
          </w:tcPr>
          <w:p w14:paraId="400CD9CE"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669</w:t>
            </w:r>
          </w:p>
        </w:tc>
      </w:tr>
    </w:tbl>
    <w:p w14:paraId="221D349F" w14:textId="77777777" w:rsidR="00360825" w:rsidRPr="00982EBF" w:rsidRDefault="00360825" w:rsidP="00360825">
      <w:pPr>
        <w:widowControl w:val="0"/>
        <w:autoSpaceDE w:val="0"/>
        <w:autoSpaceDN w:val="0"/>
        <w:adjustRightInd w:val="0"/>
        <w:spacing w:line="300" w:lineRule="auto"/>
        <w:rPr>
          <w:rFonts w:ascii="Arial" w:hAnsi="Arial" w:cs="Arial"/>
          <w:i/>
          <w:iCs/>
          <w:sz w:val="16"/>
          <w:szCs w:val="16"/>
        </w:rPr>
      </w:pPr>
      <w:r w:rsidRPr="00D556DB">
        <w:rPr>
          <w:rFonts w:ascii="Arial" w:hAnsi="Arial" w:cs="Arial"/>
          <w:i/>
          <w:iCs/>
          <w:sz w:val="16"/>
          <w:szCs w:val="16"/>
        </w:rPr>
        <w:t>Source: Derived from a range of sources as described</w:t>
      </w:r>
    </w:p>
    <w:p w14:paraId="5578714E" w14:textId="749603E0"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lastRenderedPageBreak/>
        <w:t xml:space="preserve">The table below shows the same information, just for Local Plan Area. The highest housing need shown at </w:t>
      </w:r>
      <w:r>
        <w:rPr>
          <w:rFonts w:ascii="Arial" w:hAnsi="Arial" w:cs="Arial"/>
        </w:rPr>
        <w:t>544</w:t>
      </w:r>
      <w:r w:rsidRPr="00D556DB">
        <w:rPr>
          <w:rFonts w:ascii="Arial" w:hAnsi="Arial" w:cs="Arial"/>
        </w:rPr>
        <w:t xml:space="preserve"> dwellings </w:t>
      </w:r>
      <w:r w:rsidR="000215ED">
        <w:rPr>
          <w:rFonts w:ascii="Arial" w:hAnsi="Arial" w:cs="Arial"/>
        </w:rPr>
        <w:t>is</w:t>
      </w:r>
      <w:r>
        <w:rPr>
          <w:rFonts w:ascii="Arial" w:hAnsi="Arial" w:cs="Arial"/>
        </w:rPr>
        <w:t xml:space="preserve"> below the Standard Method estimate of need</w:t>
      </w:r>
      <w:r w:rsidRPr="00D556DB">
        <w:rPr>
          <w:rFonts w:ascii="Arial" w:hAnsi="Arial" w:cs="Arial"/>
        </w:rPr>
        <w:t>. An additional 125 dwellings per annum can be added to these figures to reflect the district wide need.</w:t>
      </w:r>
    </w:p>
    <w:p w14:paraId="089FAA5C" w14:textId="77777777" w:rsidR="00360825" w:rsidRPr="00D556DB" w:rsidRDefault="00360825" w:rsidP="001A7584">
      <w:pPr>
        <w:pStyle w:val="Heading4"/>
        <w:ind w:firstLine="0"/>
        <w:rPr>
          <w:rFonts w:eastAsiaTheme="majorEastAsia"/>
        </w:rPr>
      </w:pPr>
      <w:r w:rsidRPr="00D556DB">
        <w:t>Projected housing need – range of job growth forecasts – Chichester Local Plan Area (2021-39)</w:t>
      </w:r>
    </w:p>
    <w:tbl>
      <w:tblPr>
        <w:tblStyle w:val="TableGridLight1"/>
        <w:tblW w:w="5000" w:type="pct"/>
        <w:tblInd w:w="0" w:type="dxa"/>
        <w:tblLayout w:type="fixed"/>
        <w:tblLook w:val="04A0" w:firstRow="1" w:lastRow="0" w:firstColumn="1" w:lastColumn="0" w:noHBand="0" w:noVBand="1"/>
      </w:tblPr>
      <w:tblGrid>
        <w:gridCol w:w="1271"/>
        <w:gridCol w:w="1501"/>
        <w:gridCol w:w="1501"/>
        <w:gridCol w:w="1501"/>
        <w:gridCol w:w="1501"/>
        <w:gridCol w:w="1502"/>
      </w:tblGrid>
      <w:tr w:rsidR="00360825" w:rsidRPr="00982EBF" w14:paraId="307C3AC8" w14:textId="77777777" w:rsidTr="00C04569">
        <w:tc>
          <w:tcPr>
            <w:tcW w:w="1271" w:type="dxa"/>
            <w:tcBorders>
              <w:top w:val="single" w:sz="4" w:space="0" w:color="auto"/>
              <w:left w:val="single" w:sz="4" w:space="0" w:color="auto"/>
              <w:bottom w:val="single" w:sz="4" w:space="0" w:color="auto"/>
              <w:right w:val="single" w:sz="4" w:space="0" w:color="auto"/>
            </w:tcBorders>
            <w:shd w:val="clear" w:color="auto" w:fill="002060"/>
          </w:tcPr>
          <w:p w14:paraId="705749E9" w14:textId="77777777" w:rsidR="00360825" w:rsidRPr="00D556DB" w:rsidRDefault="00360825" w:rsidP="00C04569">
            <w:pPr>
              <w:keepNext/>
              <w:spacing w:after="0" w:line="300" w:lineRule="auto"/>
              <w:rPr>
                <w:rFonts w:ascii="Arial" w:hAnsi="Arial" w:cs="Arial"/>
                <w:color w:val="FFFFFF" w:themeColor="background1"/>
              </w:rPr>
            </w:pPr>
          </w:p>
        </w:tc>
        <w:tc>
          <w:tcPr>
            <w:tcW w:w="1501" w:type="dxa"/>
            <w:tcBorders>
              <w:top w:val="single" w:sz="4" w:space="0" w:color="auto"/>
              <w:left w:val="single" w:sz="4" w:space="0" w:color="auto"/>
              <w:bottom w:val="single" w:sz="4" w:space="0" w:color="auto"/>
              <w:right w:val="single" w:sz="4" w:space="0" w:color="auto"/>
            </w:tcBorders>
            <w:shd w:val="clear" w:color="auto" w:fill="002060"/>
            <w:hideMark/>
          </w:tcPr>
          <w:p w14:paraId="5FBB5C37"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spacing w:val="-4"/>
              </w:rPr>
              <w:t>Households</w:t>
            </w:r>
            <w:r w:rsidRPr="00D556DB">
              <w:rPr>
                <w:rFonts w:ascii="Arial" w:hAnsi="Arial" w:cs="Arial"/>
                <w:color w:val="FFFFFF" w:themeColor="background1"/>
              </w:rPr>
              <w:t xml:space="preserve"> 2020</w:t>
            </w:r>
          </w:p>
        </w:tc>
        <w:tc>
          <w:tcPr>
            <w:tcW w:w="1501" w:type="dxa"/>
            <w:tcBorders>
              <w:top w:val="single" w:sz="4" w:space="0" w:color="auto"/>
              <w:left w:val="single" w:sz="4" w:space="0" w:color="auto"/>
              <w:bottom w:val="single" w:sz="4" w:space="0" w:color="auto"/>
              <w:right w:val="single" w:sz="4" w:space="0" w:color="auto"/>
            </w:tcBorders>
            <w:shd w:val="clear" w:color="auto" w:fill="002060"/>
            <w:hideMark/>
          </w:tcPr>
          <w:p w14:paraId="31CD8B77"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spacing w:val="-4"/>
              </w:rPr>
              <w:t>Households</w:t>
            </w:r>
            <w:r w:rsidRPr="00D556DB">
              <w:rPr>
                <w:rFonts w:ascii="Arial" w:hAnsi="Arial" w:cs="Arial"/>
                <w:color w:val="FFFFFF" w:themeColor="background1"/>
              </w:rPr>
              <w:t xml:space="preserve"> 2039</w:t>
            </w:r>
          </w:p>
        </w:tc>
        <w:tc>
          <w:tcPr>
            <w:tcW w:w="1501" w:type="dxa"/>
            <w:tcBorders>
              <w:top w:val="single" w:sz="4" w:space="0" w:color="auto"/>
              <w:left w:val="single" w:sz="4" w:space="0" w:color="auto"/>
              <w:bottom w:val="single" w:sz="4" w:space="0" w:color="auto"/>
              <w:right w:val="single" w:sz="4" w:space="0" w:color="auto"/>
            </w:tcBorders>
            <w:shd w:val="clear" w:color="auto" w:fill="002060"/>
            <w:hideMark/>
          </w:tcPr>
          <w:p w14:paraId="356C13C5"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Change in households</w:t>
            </w:r>
          </w:p>
        </w:tc>
        <w:tc>
          <w:tcPr>
            <w:tcW w:w="1501" w:type="dxa"/>
            <w:tcBorders>
              <w:top w:val="single" w:sz="4" w:space="0" w:color="auto"/>
              <w:left w:val="single" w:sz="4" w:space="0" w:color="auto"/>
              <w:bottom w:val="single" w:sz="4" w:space="0" w:color="auto"/>
              <w:right w:val="single" w:sz="4" w:space="0" w:color="auto"/>
            </w:tcBorders>
            <w:shd w:val="clear" w:color="auto" w:fill="002060"/>
            <w:hideMark/>
          </w:tcPr>
          <w:p w14:paraId="0E3F479C"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Per annum</w:t>
            </w:r>
          </w:p>
        </w:tc>
        <w:tc>
          <w:tcPr>
            <w:tcW w:w="1502" w:type="dxa"/>
            <w:tcBorders>
              <w:top w:val="single" w:sz="4" w:space="0" w:color="auto"/>
              <w:left w:val="single" w:sz="4" w:space="0" w:color="auto"/>
              <w:bottom w:val="single" w:sz="4" w:space="0" w:color="auto"/>
              <w:right w:val="single" w:sz="4" w:space="0" w:color="auto"/>
            </w:tcBorders>
            <w:shd w:val="clear" w:color="auto" w:fill="002060"/>
            <w:hideMark/>
          </w:tcPr>
          <w:p w14:paraId="2CAAD363"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Dwellings (per annum)</w:t>
            </w:r>
          </w:p>
        </w:tc>
      </w:tr>
      <w:tr w:rsidR="00360825" w:rsidRPr="00982EBF" w14:paraId="6F063D10" w14:textId="77777777" w:rsidTr="00C04569">
        <w:trPr>
          <w:trHeight w:val="274"/>
        </w:trPr>
        <w:tc>
          <w:tcPr>
            <w:tcW w:w="1271" w:type="dxa"/>
            <w:tcBorders>
              <w:top w:val="single" w:sz="4" w:space="0" w:color="auto"/>
              <w:left w:val="single" w:sz="4" w:space="0" w:color="auto"/>
              <w:bottom w:val="single" w:sz="4" w:space="0" w:color="auto"/>
              <w:right w:val="single" w:sz="4" w:space="0" w:color="auto"/>
            </w:tcBorders>
            <w:hideMark/>
          </w:tcPr>
          <w:p w14:paraId="28E7DEE1" w14:textId="77777777" w:rsidR="00360825" w:rsidRPr="00D556DB" w:rsidRDefault="00360825" w:rsidP="00C04569">
            <w:pPr>
              <w:keepNext/>
              <w:widowControl w:val="0"/>
              <w:spacing w:after="0" w:line="300" w:lineRule="auto"/>
              <w:rPr>
                <w:rFonts w:ascii="Arial" w:hAnsi="Arial" w:cs="Arial"/>
                <w:color w:val="000000"/>
              </w:rPr>
            </w:pPr>
            <w:r w:rsidRPr="00D556DB">
              <w:rPr>
                <w:rFonts w:ascii="Arial" w:hAnsi="Arial" w:cs="Arial"/>
              </w:rPr>
              <w:t>Baseline</w:t>
            </w:r>
          </w:p>
        </w:tc>
        <w:tc>
          <w:tcPr>
            <w:tcW w:w="1501" w:type="dxa"/>
            <w:tcBorders>
              <w:top w:val="single" w:sz="4" w:space="0" w:color="auto"/>
              <w:left w:val="single" w:sz="4" w:space="0" w:color="auto"/>
              <w:right w:val="single" w:sz="4" w:space="0" w:color="auto"/>
            </w:tcBorders>
            <w:vAlign w:val="bottom"/>
          </w:tcPr>
          <w:p w14:paraId="625E1782"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40,552</w:t>
            </w:r>
          </w:p>
        </w:tc>
        <w:tc>
          <w:tcPr>
            <w:tcW w:w="1501" w:type="dxa"/>
            <w:tcBorders>
              <w:top w:val="single" w:sz="4" w:space="0" w:color="auto"/>
              <w:left w:val="single" w:sz="4" w:space="0" w:color="auto"/>
              <w:right w:val="single" w:sz="4" w:space="0" w:color="auto"/>
            </w:tcBorders>
            <w:vAlign w:val="bottom"/>
          </w:tcPr>
          <w:p w14:paraId="4EB8B1CA"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47,402</w:t>
            </w:r>
          </w:p>
        </w:tc>
        <w:tc>
          <w:tcPr>
            <w:tcW w:w="1501" w:type="dxa"/>
            <w:tcBorders>
              <w:top w:val="single" w:sz="4" w:space="0" w:color="auto"/>
              <w:left w:val="single" w:sz="4" w:space="0" w:color="auto"/>
              <w:right w:val="single" w:sz="4" w:space="0" w:color="auto"/>
            </w:tcBorders>
            <w:vAlign w:val="bottom"/>
          </w:tcPr>
          <w:p w14:paraId="1E896AE0"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6,850</w:t>
            </w:r>
          </w:p>
        </w:tc>
        <w:tc>
          <w:tcPr>
            <w:tcW w:w="1501" w:type="dxa"/>
            <w:tcBorders>
              <w:top w:val="single" w:sz="4" w:space="0" w:color="auto"/>
              <w:left w:val="single" w:sz="4" w:space="0" w:color="auto"/>
              <w:right w:val="single" w:sz="4" w:space="0" w:color="auto"/>
            </w:tcBorders>
            <w:vAlign w:val="bottom"/>
          </w:tcPr>
          <w:p w14:paraId="18D5DAB6"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rPr>
              <w:t>381</w:t>
            </w:r>
          </w:p>
        </w:tc>
        <w:tc>
          <w:tcPr>
            <w:tcW w:w="1502" w:type="dxa"/>
            <w:tcBorders>
              <w:top w:val="single" w:sz="4" w:space="0" w:color="auto"/>
              <w:left w:val="single" w:sz="4" w:space="0" w:color="auto"/>
              <w:right w:val="single" w:sz="4" w:space="0" w:color="auto"/>
            </w:tcBorders>
            <w:vAlign w:val="bottom"/>
          </w:tcPr>
          <w:p w14:paraId="5F342898"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rPr>
              <w:t>392</w:t>
            </w:r>
          </w:p>
        </w:tc>
      </w:tr>
      <w:tr w:rsidR="00360825" w:rsidRPr="00982EBF" w14:paraId="5C5CCA03" w14:textId="77777777" w:rsidTr="00C04569">
        <w:trPr>
          <w:trHeight w:val="227"/>
        </w:trPr>
        <w:tc>
          <w:tcPr>
            <w:tcW w:w="1271" w:type="dxa"/>
            <w:tcBorders>
              <w:top w:val="single" w:sz="4" w:space="0" w:color="auto"/>
              <w:left w:val="single" w:sz="4" w:space="0" w:color="auto"/>
              <w:bottom w:val="single" w:sz="4" w:space="0" w:color="auto"/>
              <w:right w:val="single" w:sz="4" w:space="0" w:color="auto"/>
            </w:tcBorders>
            <w:hideMark/>
          </w:tcPr>
          <w:p w14:paraId="5D617397" w14:textId="77777777" w:rsidR="00360825" w:rsidRPr="00D556DB" w:rsidRDefault="00360825" w:rsidP="00C04569">
            <w:pPr>
              <w:keepNext/>
              <w:widowControl w:val="0"/>
              <w:spacing w:after="0" w:line="300" w:lineRule="auto"/>
              <w:rPr>
                <w:rFonts w:ascii="Arial" w:hAnsi="Arial" w:cs="Arial"/>
                <w:color w:val="000000"/>
              </w:rPr>
            </w:pPr>
            <w:r w:rsidRPr="00D556DB">
              <w:rPr>
                <w:rFonts w:ascii="Arial" w:hAnsi="Arial" w:cs="Arial"/>
              </w:rPr>
              <w:t>Growth</w:t>
            </w:r>
          </w:p>
        </w:tc>
        <w:tc>
          <w:tcPr>
            <w:tcW w:w="1501" w:type="dxa"/>
            <w:tcBorders>
              <w:top w:val="single" w:sz="4" w:space="0" w:color="auto"/>
              <w:left w:val="single" w:sz="4" w:space="0" w:color="auto"/>
              <w:right w:val="single" w:sz="4" w:space="0" w:color="auto"/>
            </w:tcBorders>
            <w:vAlign w:val="bottom"/>
          </w:tcPr>
          <w:p w14:paraId="7E9C4D88"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40,552</w:t>
            </w:r>
          </w:p>
        </w:tc>
        <w:tc>
          <w:tcPr>
            <w:tcW w:w="1501" w:type="dxa"/>
            <w:tcBorders>
              <w:top w:val="single" w:sz="4" w:space="0" w:color="auto"/>
              <w:left w:val="single" w:sz="4" w:space="0" w:color="auto"/>
              <w:right w:val="single" w:sz="4" w:space="0" w:color="auto"/>
            </w:tcBorders>
            <w:vAlign w:val="bottom"/>
          </w:tcPr>
          <w:p w14:paraId="4D5746E7"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50,055</w:t>
            </w:r>
          </w:p>
        </w:tc>
        <w:tc>
          <w:tcPr>
            <w:tcW w:w="1501" w:type="dxa"/>
            <w:tcBorders>
              <w:top w:val="single" w:sz="4" w:space="0" w:color="auto"/>
              <w:left w:val="single" w:sz="4" w:space="0" w:color="auto"/>
              <w:right w:val="single" w:sz="4" w:space="0" w:color="auto"/>
            </w:tcBorders>
            <w:vAlign w:val="bottom"/>
          </w:tcPr>
          <w:p w14:paraId="2847E65C"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9,503</w:t>
            </w:r>
          </w:p>
        </w:tc>
        <w:tc>
          <w:tcPr>
            <w:tcW w:w="1501" w:type="dxa"/>
            <w:tcBorders>
              <w:top w:val="single" w:sz="4" w:space="0" w:color="auto"/>
              <w:left w:val="single" w:sz="4" w:space="0" w:color="auto"/>
              <w:right w:val="single" w:sz="4" w:space="0" w:color="auto"/>
            </w:tcBorders>
            <w:vAlign w:val="bottom"/>
          </w:tcPr>
          <w:p w14:paraId="695D141D"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rPr>
              <w:t>528</w:t>
            </w:r>
          </w:p>
        </w:tc>
        <w:tc>
          <w:tcPr>
            <w:tcW w:w="1502" w:type="dxa"/>
            <w:tcBorders>
              <w:top w:val="single" w:sz="4" w:space="0" w:color="auto"/>
              <w:left w:val="single" w:sz="4" w:space="0" w:color="auto"/>
              <w:right w:val="single" w:sz="4" w:space="0" w:color="auto"/>
            </w:tcBorders>
            <w:vAlign w:val="bottom"/>
          </w:tcPr>
          <w:p w14:paraId="32D97B52"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rPr>
              <w:t>544</w:t>
            </w:r>
          </w:p>
        </w:tc>
      </w:tr>
    </w:tbl>
    <w:p w14:paraId="6EBEAB08" w14:textId="77777777" w:rsidR="00360825" w:rsidRPr="00982EBF" w:rsidRDefault="00360825" w:rsidP="00360825">
      <w:pPr>
        <w:widowControl w:val="0"/>
        <w:autoSpaceDE w:val="0"/>
        <w:autoSpaceDN w:val="0"/>
        <w:adjustRightInd w:val="0"/>
        <w:spacing w:line="300" w:lineRule="auto"/>
        <w:rPr>
          <w:rFonts w:ascii="Arial" w:hAnsi="Arial" w:cs="Arial"/>
          <w:i/>
          <w:iCs/>
          <w:sz w:val="16"/>
          <w:szCs w:val="16"/>
        </w:rPr>
      </w:pPr>
      <w:r w:rsidRPr="00D556DB">
        <w:rPr>
          <w:rFonts w:ascii="Arial" w:hAnsi="Arial" w:cs="Arial"/>
          <w:i/>
          <w:iCs/>
          <w:sz w:val="16"/>
          <w:szCs w:val="16"/>
        </w:rPr>
        <w:t>Source: Derived from a range of sources as described</w:t>
      </w:r>
      <w:bookmarkEnd w:id="23"/>
      <w:bookmarkEnd w:id="24"/>
    </w:p>
    <w:p w14:paraId="23B438DC"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This would suggest that there is no requirement to increase the housing need in </w:t>
      </w:r>
      <w:r w:rsidRPr="00D556DB">
        <w:rPr>
          <w:rFonts w:ascii="Arial" w:eastAsiaTheme="majorEastAsia" w:hAnsi="Arial" w:cs="Arial"/>
        </w:rPr>
        <w:t>response</w:t>
      </w:r>
      <w:r w:rsidRPr="00D556DB">
        <w:rPr>
          <w:rFonts w:ascii="Arial" w:hAnsi="Arial" w:cs="Arial"/>
        </w:rPr>
        <w:t xml:space="preserve"> to local economic growth. It also suggests that the capacity of the District in housing terms would not deter economic growth.</w:t>
      </w:r>
    </w:p>
    <w:bookmarkEnd w:id="21"/>
    <w:p w14:paraId="53F61993" w14:textId="77777777" w:rsidR="00360825" w:rsidRPr="00D556DB" w:rsidRDefault="00360825" w:rsidP="00360825">
      <w:pPr>
        <w:pStyle w:val="Heading2"/>
        <w:rPr>
          <w:rFonts w:ascii="Arial" w:hAnsi="Arial" w:cs="Arial"/>
        </w:rPr>
      </w:pPr>
      <w:r w:rsidRPr="00D556DB">
        <w:rPr>
          <w:rFonts w:ascii="Arial" w:hAnsi="Arial" w:cs="Arial"/>
        </w:rPr>
        <w:t>Summary</w:t>
      </w:r>
    </w:p>
    <w:p w14:paraId="23400B7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Taking into account economic activity rates, commuting patterns and double jobbing the </w:t>
      </w:r>
      <w:r w:rsidRPr="00D556DB">
        <w:rPr>
          <w:rFonts w:ascii="Arial" w:eastAsiaTheme="majorEastAsia" w:hAnsi="Arial" w:cs="Arial"/>
        </w:rPr>
        <w:t>standard</w:t>
      </w:r>
      <w:r w:rsidRPr="00D556DB">
        <w:rPr>
          <w:rFonts w:ascii="Arial" w:hAnsi="Arial" w:cs="Arial"/>
        </w:rPr>
        <w:t xml:space="preserve"> method would support in the region of 12,300 jobs in the district including an estimated 11,500 in the local plan area.</w:t>
      </w:r>
    </w:p>
    <w:p w14:paraId="6B03F59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We have also examined the housing need associated with the baseline economic forecasts and the growth forecast. These show a need for 517 dpa and 669 dpa for the district respectively and 392 dpa and 544 dpa for the plan area</w:t>
      </w:r>
      <w:r>
        <w:rPr>
          <w:rFonts w:ascii="Arial" w:hAnsi="Arial" w:cs="Arial"/>
        </w:rPr>
        <w:t>.</w:t>
      </w:r>
    </w:p>
    <w:p w14:paraId="11F1B89D"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This </w:t>
      </w:r>
      <w:r w:rsidRPr="00D556DB">
        <w:rPr>
          <w:rFonts w:ascii="Arial" w:eastAsiaTheme="majorEastAsia" w:hAnsi="Arial" w:cs="Arial"/>
        </w:rPr>
        <w:t>would</w:t>
      </w:r>
      <w:r w:rsidRPr="00D556DB">
        <w:rPr>
          <w:rFonts w:ascii="Arial" w:hAnsi="Arial" w:cs="Arial"/>
        </w:rPr>
        <w:t xml:space="preserve"> suggest that there is no requirement to increase the housing need in response to local economic growth. It also suggests that the capacity of the District in housing terms would not deter economic growth.</w:t>
      </w:r>
    </w:p>
    <w:p w14:paraId="01442433" w14:textId="77777777" w:rsidR="00360825" w:rsidRPr="00D556DB" w:rsidRDefault="00360825" w:rsidP="00360825">
      <w:pPr>
        <w:pStyle w:val="Heading1"/>
        <w:rPr>
          <w:rFonts w:ascii="Arial" w:hAnsi="Arial" w:cs="Arial"/>
        </w:rPr>
      </w:pPr>
      <w:bookmarkStart w:id="25" w:name="_Toc96358137"/>
      <w:bookmarkStart w:id="26" w:name="_Toc97716035"/>
      <w:r w:rsidRPr="00D556DB">
        <w:rPr>
          <w:rFonts w:ascii="Arial" w:hAnsi="Arial" w:cs="Arial"/>
        </w:rPr>
        <w:lastRenderedPageBreak/>
        <w:t>Affordable Housing Need</w:t>
      </w:r>
      <w:bookmarkEnd w:id="25"/>
      <w:bookmarkEnd w:id="26"/>
    </w:p>
    <w:p w14:paraId="2E2D5EB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This section provides an assessment of the need for affordable housing in Chichester and five sub-areas. The analysis specifically considers general needs housing, with further analysis of specialist housing (e.g. for older people) being discussed later in the report.</w:t>
      </w:r>
    </w:p>
    <w:p w14:paraId="1D986AE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follows the PPG (Sections 2a-018 to 2a-024) and provides two main outputs, linked to Annex 2 of the NPPF – this is firstly an assessment of the need for social/affordable rented housing and secondly to consider the need for affordable home ownership products.</w:t>
      </w:r>
    </w:p>
    <w:p w14:paraId="7B4AEB8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also considers First Homes, which looks likely to become a new tenure (potentially replacing other forms of affordable home ownership). Further information about First Homes was set out in a Planning Practice Guidance in May 2021.</w:t>
      </w:r>
    </w:p>
    <w:p w14:paraId="0439E7E2"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Methodology Overview</w:t>
      </w:r>
    </w:p>
    <w:p w14:paraId="3C81788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method for studying the need for affordable housing has been enshrined in Government practice guidance for many years, with an established approach to look at the number of households who are unable to afford market housing (to either rent or buy) – it is considered that this group will mainly be a target for rented affordable homes (social/affordable rented) and therefore the analysis looks at need for </w:t>
      </w:r>
      <w:r w:rsidRPr="00D556DB">
        <w:rPr>
          <w:rFonts w:ascii="Arial" w:hAnsi="Arial" w:cs="Arial"/>
          <w:i/>
          <w:iCs/>
        </w:rPr>
        <w:t>‘affordable housing for rent’</w:t>
      </w:r>
      <w:r w:rsidRPr="00D556DB">
        <w:rPr>
          <w:rFonts w:ascii="Arial" w:hAnsi="Arial" w:cs="Arial"/>
        </w:rPr>
        <w:t xml:space="preserve"> as set out in Annex 2 of the NPPF. The methodology for looking at the need for rented (social/affordable) housing considers the following:</w:t>
      </w:r>
    </w:p>
    <w:p w14:paraId="4DF9D26C" w14:textId="77777777" w:rsidR="00360825" w:rsidRPr="00DE1AA1" w:rsidRDefault="00360825" w:rsidP="001A7584">
      <w:pPr>
        <w:pStyle w:val="ListBullet2"/>
        <w:tabs>
          <w:tab w:val="clear" w:pos="643"/>
          <w:tab w:val="left" w:pos="720"/>
        </w:tabs>
        <w:jc w:val="left"/>
        <w:rPr>
          <w:rFonts w:ascii="Arial" w:hAnsi="Arial" w:cs="Arial"/>
        </w:rPr>
      </w:pPr>
      <w:r w:rsidRPr="00DE1AA1">
        <w:rPr>
          <w:rFonts w:ascii="Arial" w:hAnsi="Arial" w:cs="Arial"/>
          <w:b/>
          <w:bCs/>
        </w:rPr>
        <w:t>Current affordable housing need</w:t>
      </w:r>
      <w:r w:rsidRPr="00DE1AA1">
        <w:rPr>
          <w:rFonts w:ascii="Arial" w:hAnsi="Arial" w:cs="Arial"/>
        </w:rPr>
        <w:t>: an estimate of the number of households who have a need now, at the point of the assessment, based on a range of data modelled from local information – this figure is then annualised so as to meet the current need over a period of time;</w:t>
      </w:r>
    </w:p>
    <w:p w14:paraId="040A4AFC" w14:textId="77777777" w:rsidR="00360825" w:rsidRPr="00DE1AA1" w:rsidRDefault="00360825" w:rsidP="001A7584">
      <w:pPr>
        <w:pStyle w:val="ListBullet2"/>
        <w:tabs>
          <w:tab w:val="clear" w:pos="643"/>
          <w:tab w:val="left" w:pos="720"/>
        </w:tabs>
        <w:jc w:val="left"/>
        <w:rPr>
          <w:rFonts w:ascii="Arial" w:hAnsi="Arial" w:cs="Arial"/>
        </w:rPr>
      </w:pPr>
      <w:r w:rsidRPr="00DE1AA1">
        <w:rPr>
          <w:rFonts w:ascii="Arial" w:hAnsi="Arial" w:cs="Arial"/>
          <w:b/>
          <w:bCs/>
        </w:rPr>
        <w:t>Projected newly forming households in need</w:t>
      </w:r>
      <w:r w:rsidRPr="00DE1AA1">
        <w:rPr>
          <w:rFonts w:ascii="Arial" w:hAnsi="Arial" w:cs="Arial"/>
        </w:rPr>
        <w:t>: using demographic projections to establish gross household formation, and then applying an affordability test to estimate numbers of such households unable to afford market housing;</w:t>
      </w:r>
    </w:p>
    <w:p w14:paraId="19EB5F8B" w14:textId="77777777" w:rsidR="00360825" w:rsidRPr="00DE1AA1" w:rsidRDefault="00360825" w:rsidP="001A7584">
      <w:pPr>
        <w:pStyle w:val="ListBullet2"/>
        <w:tabs>
          <w:tab w:val="clear" w:pos="643"/>
          <w:tab w:val="left" w:pos="720"/>
        </w:tabs>
        <w:jc w:val="left"/>
        <w:rPr>
          <w:rFonts w:ascii="Arial" w:hAnsi="Arial" w:cs="Arial"/>
        </w:rPr>
      </w:pPr>
      <w:r w:rsidRPr="00DE1AA1">
        <w:rPr>
          <w:rFonts w:ascii="Arial" w:hAnsi="Arial" w:cs="Arial"/>
          <w:b/>
          <w:bCs/>
        </w:rPr>
        <w:t>Existing households falling into need</w:t>
      </w:r>
      <w:r w:rsidRPr="00DE1AA1">
        <w:rPr>
          <w:rFonts w:ascii="Arial" w:hAnsi="Arial" w:cs="Arial"/>
        </w:rPr>
        <w:t>: based on studying past trends in the types of households who have accessed social/affordable rented housing; and</w:t>
      </w:r>
    </w:p>
    <w:p w14:paraId="75BD2199" w14:textId="77777777" w:rsidR="00360825" w:rsidRPr="00DE1AA1" w:rsidRDefault="00360825" w:rsidP="001A7584">
      <w:pPr>
        <w:pStyle w:val="ListBullet2"/>
        <w:tabs>
          <w:tab w:val="clear" w:pos="643"/>
          <w:tab w:val="left" w:pos="720"/>
        </w:tabs>
        <w:jc w:val="left"/>
        <w:rPr>
          <w:rFonts w:ascii="Arial" w:hAnsi="Arial" w:cs="Arial"/>
        </w:rPr>
      </w:pPr>
      <w:r w:rsidRPr="00DE1AA1">
        <w:rPr>
          <w:rFonts w:ascii="Arial" w:hAnsi="Arial" w:cs="Arial"/>
          <w:b/>
          <w:bCs/>
        </w:rPr>
        <w:t>Supply of affordable housing</w:t>
      </w:r>
      <w:r w:rsidRPr="00DE1AA1">
        <w:rPr>
          <w:rFonts w:ascii="Arial" w:hAnsi="Arial" w:cs="Arial"/>
        </w:rPr>
        <w:t>: an estimate of the likely number of lettings that will become available from the existing social/affordable housing stock.</w:t>
      </w:r>
    </w:p>
    <w:p w14:paraId="73BEDD1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first three bullet points above are added together to identify a gross need, from which the supply of relets of existing properties is subtracted to identify a net annual need for additional affordable </w:t>
      </w:r>
      <w:r w:rsidRPr="00D556DB">
        <w:rPr>
          <w:rFonts w:ascii="Arial" w:hAnsi="Arial" w:cs="Arial"/>
        </w:rPr>
        <w:lastRenderedPageBreak/>
        <w:t>housing. For the purposes of this assessment, this analysis is used to identify the overall (net) need for social/affordable rented housing.</w:t>
      </w:r>
    </w:p>
    <w:p w14:paraId="7C33EA5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This approach has traditionally been used to consider the needs of households who have not been able to afford market housing (either to buy or to rent). As the income necessary to afford to rent homes without financial support is typically lower than that needed to buy, the ability of households to afford private rents has influenced whether or not they are in need of affordable housing.</w:t>
      </w:r>
    </w:p>
    <w:p w14:paraId="6EB297C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NPPF and associated guidance has expanded the definition of those in affordable housing need to include households who might be able to rent without financial support but who aspire to own a home and require support to do so. The PPG includes households that “</w:t>
      </w:r>
      <w:r w:rsidRPr="00D556DB">
        <w:rPr>
          <w:rFonts w:ascii="Arial" w:hAnsi="Arial" w:cs="Arial"/>
          <w:i/>
          <w:iCs/>
        </w:rPr>
        <w:t>cannot afford their own homes, either to rent, or to own, where that is their aspiration</w:t>
      </w:r>
      <w:r w:rsidRPr="00D556DB">
        <w:rPr>
          <w:rFonts w:ascii="Arial" w:hAnsi="Arial" w:cs="Arial"/>
        </w:rPr>
        <w:t>” as having an affordable housing need.</w:t>
      </w:r>
    </w:p>
    <w:p w14:paraId="5475645D" w14:textId="536B49ED" w:rsidR="00360825" w:rsidRPr="00D556DB" w:rsidRDefault="002B1913"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National Government has introduced this widened definition</w:t>
      </w:r>
      <w:r w:rsidR="00360825" w:rsidRPr="00D556DB">
        <w:rPr>
          <w:rFonts w:ascii="Arial" w:hAnsi="Arial" w:cs="Arial"/>
        </w:rPr>
        <w:t xml:space="preserve"> to support increased access to home ownership, given evidence of declining home ownership and growth in private renting over the last 20 years or so. The PPG does not however provide specific guidance on how the needs of such households should be assessed and so this study adopts a broadly consistent methodology to that identified in the PPG and consider a current need; a newly-arising need on an annual basis; existing households falling into need; and an annual estimate of supply.</w:t>
      </w:r>
    </w:p>
    <w:p w14:paraId="3698311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For some of the analysis in this section it has been necessary to draw on other sources of data (applied to local information) to make estimates of the need. The approach is consistent with the PPG (Housing and economic needs assessment – see 2a-020 for example) and includes linking local Census data to national changes (as evidenced in national surveys such as the English Housing Survey).</w:t>
      </w:r>
    </w:p>
    <w:p w14:paraId="07A0B32D" w14:textId="652CB1BE"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Additionally, information drawn from local surveys previously undertaken by </w:t>
      </w:r>
      <w:r w:rsidR="000215ED">
        <w:rPr>
          <w:rFonts w:ascii="Arial" w:hAnsi="Arial" w:cs="Arial"/>
        </w:rPr>
        <w:t>Justin Gardner Consulting</w:t>
      </w:r>
      <w:r w:rsidR="000215ED" w:rsidRPr="00D556DB">
        <w:rPr>
          <w:rFonts w:ascii="Arial" w:hAnsi="Arial" w:cs="Arial"/>
        </w:rPr>
        <w:t xml:space="preserve"> </w:t>
      </w:r>
      <w:r w:rsidRPr="00D556DB">
        <w:rPr>
          <w:rFonts w:ascii="Arial" w:hAnsi="Arial" w:cs="Arial"/>
        </w:rPr>
        <w:t>across the country have been used to look at potential prevalence rates for some elements of need where comprehensive local data is lacking. This includes considering what proportion of households in the private rented sector might have a need due to potential loss of accommodation (e.g. tenancies ending) although again such rates are applied to local information about the size of the sector.</w:t>
      </w:r>
    </w:p>
    <w:p w14:paraId="3B067B1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This approach is considered to provide a reasonable view about likely local needs and is an approach that has been accepted through a range of Local Plan Examinations over the past five or more years. Our analysis of affordable housing need is therefore structured to consider the need for rented affordable housing, and separately the need for affordable home ownership. The overall need is expressed as an annual figure, which can then be compared with likely future delivery (as required by 2a-024).</w:t>
      </w:r>
    </w:p>
    <w:p w14:paraId="02AC447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Whilst the need for social/affordable rented housing and affordable home ownership are analysed separately, there are a number of pieces of information that are common to both assessments. In particular, this includes an understanding of local housing costs, incomes and affordability. The sections below therefore look at these factors.</w:t>
      </w:r>
    </w:p>
    <w:p w14:paraId="25CA9A43"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Local Prices and Rents</w:t>
      </w:r>
    </w:p>
    <w:p w14:paraId="688CD5C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An important part of the affordable needs model is to establish the entry-level costs of housing to buy and rent. The affordable housing needs assessment compares prices and rents with the incomes of households to establish what proportion of households can meet their needs in the market, and what proportion require support and are thus defined as having an ‘affordable housing need.’ For the purposes of establishing affordable housing need, the analysis focuses on overall housing costs (for all dwelling types and sizes).</w:t>
      </w:r>
    </w:p>
    <w:p w14:paraId="7DF32C0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below considers the entry-level costs of housing to both buy and rent across the District. The approach has been to analyse Land Registry and ONS data to establish lower quartile prices and rents. Using a lower quartile figure is consistent with the PPG and reflects the entry-level point into the market recognising that the very cheapest properties may be of sub-standard quality.</w:t>
      </w:r>
    </w:p>
    <w:p w14:paraId="74ED13D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Data from the Land Registry for the year to March 2021 shows estimated lower quartile property prices by dwelling type. The data shows that entry-level costs to buy are estimated to start from about £165,000 for a second-hand flat and rising to £465,000 for a detached home. Looking at the lower quartile price across all dwelling types, the analysis shows a lower quartile price of £305,000 (existing dwellings).</w:t>
      </w:r>
    </w:p>
    <w:p w14:paraId="461EC5F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is also split between newly-built and existing dwelling which typically shows higher prices for new homes (particularly when considering the overall lower quartile figures). For the purposes of analysis in this section, the main focus is on the pricing of existing homes within the area.</w:t>
      </w:r>
    </w:p>
    <w:p w14:paraId="259E859B" w14:textId="77777777" w:rsidR="00360825" w:rsidRPr="00D556DB" w:rsidRDefault="00360825" w:rsidP="001A7584">
      <w:pPr>
        <w:pStyle w:val="Heading4"/>
        <w:ind w:firstLine="0"/>
      </w:pPr>
      <w:r w:rsidRPr="00D556DB">
        <w:t>Lower quartile cost of housing to buy – year to March 2021 – Chichester</w:t>
      </w:r>
    </w:p>
    <w:tbl>
      <w:tblPr>
        <w:tblStyle w:val="TableTheme"/>
        <w:tblW w:w="5000" w:type="pct"/>
        <w:tblInd w:w="0" w:type="dxa"/>
        <w:tblLook w:val="04A0" w:firstRow="1" w:lastRow="0" w:firstColumn="1" w:lastColumn="0" w:noHBand="0" w:noVBand="1"/>
      </w:tblPr>
      <w:tblGrid>
        <w:gridCol w:w="2194"/>
        <w:gridCol w:w="2194"/>
        <w:gridCol w:w="2194"/>
        <w:gridCol w:w="2195"/>
      </w:tblGrid>
      <w:tr w:rsidR="00360825" w:rsidRPr="00DE1AA1" w14:paraId="361FD1C1"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4D78471A" w14:textId="77777777" w:rsidR="00360825" w:rsidRPr="00DE1AA1" w:rsidRDefault="00360825" w:rsidP="00C04569">
            <w:pPr>
              <w:keepNext/>
              <w:spacing w:before="60" w:after="60" w:line="300" w:lineRule="auto"/>
              <w:jc w:val="left"/>
              <w:rPr>
                <w:rFonts w:ascii="Arial" w:hAnsi="Arial" w:cs="Arial"/>
              </w:rPr>
            </w:pPr>
          </w:p>
        </w:tc>
        <w:tc>
          <w:tcPr>
            <w:tcW w:w="2194" w:type="dxa"/>
            <w:tcBorders>
              <w:top w:val="single" w:sz="4" w:space="0" w:color="auto"/>
              <w:left w:val="single" w:sz="4" w:space="0" w:color="auto"/>
              <w:bottom w:val="single" w:sz="4" w:space="0" w:color="auto"/>
              <w:right w:val="single" w:sz="4" w:space="0" w:color="auto"/>
            </w:tcBorders>
            <w:shd w:val="clear" w:color="auto" w:fill="002060"/>
            <w:hideMark/>
          </w:tcPr>
          <w:p w14:paraId="1A4C8857"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Existing dwellings</w:t>
            </w:r>
          </w:p>
        </w:tc>
        <w:tc>
          <w:tcPr>
            <w:tcW w:w="2194" w:type="dxa"/>
            <w:tcBorders>
              <w:top w:val="single" w:sz="4" w:space="0" w:color="auto"/>
              <w:left w:val="single" w:sz="4" w:space="0" w:color="auto"/>
              <w:bottom w:val="single" w:sz="4" w:space="0" w:color="auto"/>
              <w:right w:val="single" w:sz="4" w:space="0" w:color="auto"/>
            </w:tcBorders>
            <w:shd w:val="clear" w:color="auto" w:fill="002060"/>
            <w:hideMark/>
          </w:tcPr>
          <w:p w14:paraId="0517278F"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Newly-built dwellings</w:t>
            </w:r>
          </w:p>
        </w:tc>
        <w:tc>
          <w:tcPr>
            <w:tcW w:w="2195" w:type="dxa"/>
            <w:tcBorders>
              <w:top w:val="single" w:sz="4" w:space="0" w:color="auto"/>
              <w:left w:val="single" w:sz="4" w:space="0" w:color="auto"/>
              <w:bottom w:val="single" w:sz="4" w:space="0" w:color="auto"/>
              <w:right w:val="single" w:sz="4" w:space="0" w:color="auto"/>
            </w:tcBorders>
            <w:shd w:val="clear" w:color="auto" w:fill="002060"/>
            <w:hideMark/>
          </w:tcPr>
          <w:p w14:paraId="64554408"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All dwellings</w:t>
            </w:r>
          </w:p>
        </w:tc>
      </w:tr>
      <w:tr w:rsidR="00360825" w:rsidRPr="00DE1AA1" w14:paraId="7DCCFDBD"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7DBEB3B3" w14:textId="77777777" w:rsidR="00360825" w:rsidRPr="00DE1AA1" w:rsidRDefault="00360825" w:rsidP="00C04569">
            <w:pPr>
              <w:keepNext/>
              <w:spacing w:after="0" w:line="300" w:lineRule="auto"/>
              <w:rPr>
                <w:rFonts w:ascii="Arial" w:hAnsi="Arial" w:cs="Arial"/>
              </w:rPr>
            </w:pPr>
            <w:r w:rsidRPr="00DE1AA1">
              <w:rPr>
                <w:rFonts w:ascii="Arial" w:hAnsi="Arial" w:cs="Arial"/>
              </w:rPr>
              <w:t>Flat/maisonette</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800CB0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£165,000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179555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£245,000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6CC7C6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£166,000</w:t>
            </w:r>
          </w:p>
        </w:tc>
      </w:tr>
      <w:tr w:rsidR="00360825" w:rsidRPr="00DE1AA1" w14:paraId="07F97889"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3C2F2DB4" w14:textId="77777777" w:rsidR="00360825" w:rsidRPr="00DE1AA1" w:rsidRDefault="00360825" w:rsidP="00C04569">
            <w:pPr>
              <w:keepNext/>
              <w:spacing w:after="0" w:line="300" w:lineRule="auto"/>
              <w:rPr>
                <w:rFonts w:ascii="Arial" w:hAnsi="Arial" w:cs="Arial"/>
              </w:rPr>
            </w:pPr>
            <w:r w:rsidRPr="00DE1AA1">
              <w:rPr>
                <w:rFonts w:ascii="Arial" w:hAnsi="Arial" w:cs="Arial"/>
              </w:rPr>
              <w:t>Terraced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8F9178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£274,000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070948C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£302,000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A3AAC8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£275,000</w:t>
            </w:r>
          </w:p>
        </w:tc>
      </w:tr>
      <w:tr w:rsidR="00360825" w:rsidRPr="00DE1AA1" w14:paraId="77961DA3"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0891C9CF" w14:textId="77777777" w:rsidR="00360825" w:rsidRPr="00DE1AA1" w:rsidRDefault="00360825" w:rsidP="00C04569">
            <w:pPr>
              <w:keepNext/>
              <w:spacing w:after="0" w:line="300" w:lineRule="auto"/>
              <w:rPr>
                <w:rFonts w:ascii="Arial" w:hAnsi="Arial" w:cs="Arial"/>
              </w:rPr>
            </w:pPr>
            <w:r w:rsidRPr="00DE1AA1">
              <w:rPr>
                <w:rFonts w:ascii="Arial" w:hAnsi="Arial" w:cs="Arial"/>
              </w:rPr>
              <w:t>Semi-detached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BF7B9D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£310,000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9A1CE1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£298,000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F6D1A4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£310,000</w:t>
            </w:r>
          </w:p>
        </w:tc>
      </w:tr>
      <w:tr w:rsidR="00360825" w:rsidRPr="00DE1AA1" w14:paraId="56863E89"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54FBDC1E" w14:textId="77777777" w:rsidR="00360825" w:rsidRPr="00DE1AA1" w:rsidRDefault="00360825" w:rsidP="00C04569">
            <w:pPr>
              <w:keepNext/>
              <w:spacing w:after="0" w:line="300" w:lineRule="auto"/>
              <w:rPr>
                <w:rFonts w:ascii="Arial" w:hAnsi="Arial" w:cs="Arial"/>
              </w:rPr>
            </w:pPr>
            <w:r w:rsidRPr="00DE1AA1">
              <w:rPr>
                <w:rFonts w:ascii="Arial" w:hAnsi="Arial" w:cs="Arial"/>
              </w:rPr>
              <w:t>Detached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D3845E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£465,000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2DFD64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£410,000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02BAC8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£455,000</w:t>
            </w:r>
          </w:p>
        </w:tc>
      </w:tr>
      <w:tr w:rsidR="00360825" w:rsidRPr="00DE1AA1" w14:paraId="337DA7D6"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7719EDE6" w14:textId="77777777" w:rsidR="00360825" w:rsidRPr="00DE1AA1" w:rsidRDefault="00360825" w:rsidP="00C04569">
            <w:pPr>
              <w:keepNext/>
              <w:spacing w:after="0" w:line="300" w:lineRule="auto"/>
              <w:rPr>
                <w:rFonts w:ascii="Arial" w:hAnsi="Arial" w:cs="Arial"/>
              </w:rPr>
            </w:pPr>
            <w:r w:rsidRPr="00DE1AA1">
              <w:rPr>
                <w:rFonts w:ascii="Arial" w:hAnsi="Arial" w:cs="Arial"/>
              </w:rPr>
              <w:t>All dwellings</w:t>
            </w:r>
          </w:p>
        </w:tc>
        <w:tc>
          <w:tcPr>
            <w:tcW w:w="2194" w:type="dxa"/>
            <w:tcBorders>
              <w:top w:val="single" w:sz="4" w:space="0" w:color="auto"/>
              <w:left w:val="single" w:sz="4" w:space="0" w:color="auto"/>
              <w:bottom w:val="single" w:sz="4" w:space="0" w:color="auto"/>
              <w:right w:val="single" w:sz="4" w:space="0" w:color="auto"/>
            </w:tcBorders>
            <w:vAlign w:val="bottom"/>
            <w:hideMark/>
          </w:tcPr>
          <w:p w14:paraId="38C8927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£305,000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01A8515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£328,000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3144B26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£306,000</w:t>
            </w:r>
          </w:p>
        </w:tc>
      </w:tr>
    </w:tbl>
    <w:p w14:paraId="769C9079"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Land Registry</w:t>
      </w:r>
    </w:p>
    <w:p w14:paraId="6F5F5E5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It is also useful to provide estimates of property prices by the number of bedrooms in a home. Analysis for this draws together Land Registry data with an internet search of prices of homes for </w:t>
      </w:r>
      <w:r w:rsidRPr="00D556DB">
        <w:rPr>
          <w:rFonts w:ascii="Arial" w:hAnsi="Arial" w:cs="Arial"/>
        </w:rPr>
        <w:lastRenderedPageBreak/>
        <w:t>sale (using sites such as Rightmove). The analysis suggests a lower quartile price of about £170,000 for a 1-bedroom home, rising to £500,000 for homes with 4-bedrooms.</w:t>
      </w:r>
    </w:p>
    <w:p w14:paraId="38B312E3" w14:textId="77777777" w:rsidR="00360825" w:rsidRPr="00D556DB" w:rsidRDefault="00360825" w:rsidP="001A7584">
      <w:pPr>
        <w:pStyle w:val="Heading4"/>
        <w:ind w:firstLine="0"/>
      </w:pPr>
      <w:r w:rsidRPr="00DE1AA1">
        <w:t>Estimated lower quartile cost of housing to buy by size (existing dwellings) – year to March 2021 – Chichester</w:t>
      </w:r>
    </w:p>
    <w:tbl>
      <w:tblPr>
        <w:tblStyle w:val="TableTheme"/>
        <w:tblW w:w="5000" w:type="pct"/>
        <w:tblInd w:w="0" w:type="dxa"/>
        <w:tblLook w:val="04A0" w:firstRow="1" w:lastRow="0" w:firstColumn="1" w:lastColumn="0" w:noHBand="0" w:noVBand="1"/>
      </w:tblPr>
      <w:tblGrid>
        <w:gridCol w:w="4388"/>
        <w:gridCol w:w="4389"/>
      </w:tblGrid>
      <w:tr w:rsidR="00360825" w:rsidRPr="00DE1AA1" w14:paraId="7FD95E43" w14:textId="77777777" w:rsidTr="00C04569">
        <w:tc>
          <w:tcPr>
            <w:tcW w:w="4388" w:type="dxa"/>
            <w:tcBorders>
              <w:top w:val="single" w:sz="4" w:space="0" w:color="auto"/>
              <w:left w:val="single" w:sz="4" w:space="0" w:color="auto"/>
              <w:bottom w:val="single" w:sz="4" w:space="0" w:color="auto"/>
              <w:right w:val="single" w:sz="4" w:space="0" w:color="auto"/>
            </w:tcBorders>
            <w:shd w:val="clear" w:color="auto" w:fill="002060"/>
            <w:noWrap/>
            <w:hideMark/>
          </w:tcPr>
          <w:p w14:paraId="48E85BDE" w14:textId="77777777" w:rsidR="00360825" w:rsidRPr="00D556DB" w:rsidRDefault="00360825" w:rsidP="00C04569">
            <w:pPr>
              <w:rPr>
                <w:rFonts w:ascii="Arial" w:hAnsi="Arial" w:cs="Arial"/>
              </w:rPr>
            </w:pPr>
          </w:p>
        </w:tc>
        <w:tc>
          <w:tcPr>
            <w:tcW w:w="4389" w:type="dxa"/>
            <w:tcBorders>
              <w:top w:val="single" w:sz="4" w:space="0" w:color="auto"/>
              <w:left w:val="single" w:sz="4" w:space="0" w:color="auto"/>
              <w:bottom w:val="single" w:sz="4" w:space="0" w:color="auto"/>
              <w:right w:val="single" w:sz="4" w:space="0" w:color="auto"/>
            </w:tcBorders>
            <w:shd w:val="clear" w:color="auto" w:fill="002060"/>
            <w:noWrap/>
            <w:hideMark/>
          </w:tcPr>
          <w:p w14:paraId="15191F7B"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Lower quartile price</w:t>
            </w:r>
          </w:p>
        </w:tc>
      </w:tr>
      <w:tr w:rsidR="00360825" w:rsidRPr="00DE1AA1" w14:paraId="49D82A7D" w14:textId="77777777" w:rsidTr="00C04569">
        <w:tc>
          <w:tcPr>
            <w:tcW w:w="4388" w:type="dxa"/>
            <w:tcBorders>
              <w:top w:val="single" w:sz="4" w:space="0" w:color="auto"/>
              <w:left w:val="single" w:sz="4" w:space="0" w:color="auto"/>
              <w:bottom w:val="single" w:sz="4" w:space="0" w:color="auto"/>
              <w:right w:val="single" w:sz="4" w:space="0" w:color="auto"/>
            </w:tcBorders>
            <w:noWrap/>
            <w:hideMark/>
          </w:tcPr>
          <w:p w14:paraId="51023377" w14:textId="77777777" w:rsidR="00360825" w:rsidRPr="00DE1AA1" w:rsidRDefault="00360825" w:rsidP="00C04569">
            <w:pPr>
              <w:keepNext/>
              <w:spacing w:after="0" w:line="300" w:lineRule="auto"/>
              <w:rPr>
                <w:rFonts w:ascii="Arial" w:hAnsi="Arial" w:cs="Arial"/>
              </w:rPr>
            </w:pPr>
            <w:r w:rsidRPr="00DE1AA1">
              <w:rPr>
                <w:rFonts w:ascii="Arial" w:hAnsi="Arial" w:cs="Arial"/>
                <w:bCs/>
              </w:rPr>
              <w:t>1-bedroom</w:t>
            </w:r>
          </w:p>
        </w:tc>
        <w:tc>
          <w:tcPr>
            <w:tcW w:w="4389" w:type="dxa"/>
            <w:tcBorders>
              <w:top w:val="single" w:sz="4" w:space="0" w:color="auto"/>
              <w:left w:val="single" w:sz="4" w:space="0" w:color="auto"/>
              <w:bottom w:val="single" w:sz="4" w:space="0" w:color="auto"/>
              <w:right w:val="single" w:sz="4" w:space="0" w:color="auto"/>
            </w:tcBorders>
            <w:noWrap/>
            <w:hideMark/>
          </w:tcPr>
          <w:p w14:paraId="5C7D314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£170,000</w:t>
            </w:r>
          </w:p>
        </w:tc>
      </w:tr>
      <w:tr w:rsidR="00360825" w:rsidRPr="00DE1AA1" w14:paraId="5658D9C7" w14:textId="77777777" w:rsidTr="00C04569">
        <w:tc>
          <w:tcPr>
            <w:tcW w:w="4388" w:type="dxa"/>
            <w:tcBorders>
              <w:top w:val="single" w:sz="4" w:space="0" w:color="auto"/>
              <w:left w:val="single" w:sz="4" w:space="0" w:color="auto"/>
              <w:bottom w:val="single" w:sz="4" w:space="0" w:color="auto"/>
              <w:right w:val="single" w:sz="4" w:space="0" w:color="auto"/>
            </w:tcBorders>
            <w:noWrap/>
            <w:hideMark/>
          </w:tcPr>
          <w:p w14:paraId="04E2D202" w14:textId="77777777" w:rsidR="00360825" w:rsidRPr="00DE1AA1" w:rsidRDefault="00360825" w:rsidP="00C04569">
            <w:pPr>
              <w:keepNext/>
              <w:spacing w:after="0" w:line="300" w:lineRule="auto"/>
              <w:rPr>
                <w:rFonts w:ascii="Arial" w:hAnsi="Arial" w:cs="Arial"/>
              </w:rPr>
            </w:pPr>
            <w:r w:rsidRPr="00DE1AA1">
              <w:rPr>
                <w:rFonts w:ascii="Arial" w:hAnsi="Arial" w:cs="Arial"/>
                <w:bCs/>
              </w:rPr>
              <w:t>2-bedrooms</w:t>
            </w:r>
          </w:p>
        </w:tc>
        <w:tc>
          <w:tcPr>
            <w:tcW w:w="4389" w:type="dxa"/>
            <w:tcBorders>
              <w:top w:val="single" w:sz="4" w:space="0" w:color="auto"/>
              <w:left w:val="single" w:sz="4" w:space="0" w:color="auto"/>
              <w:bottom w:val="single" w:sz="4" w:space="0" w:color="auto"/>
              <w:right w:val="single" w:sz="4" w:space="0" w:color="auto"/>
            </w:tcBorders>
            <w:noWrap/>
            <w:hideMark/>
          </w:tcPr>
          <w:p w14:paraId="0C9F4CF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£245,000</w:t>
            </w:r>
          </w:p>
        </w:tc>
      </w:tr>
      <w:tr w:rsidR="00360825" w:rsidRPr="00DE1AA1" w14:paraId="3AF9EFCE" w14:textId="77777777" w:rsidTr="00C04569">
        <w:tc>
          <w:tcPr>
            <w:tcW w:w="4388" w:type="dxa"/>
            <w:tcBorders>
              <w:top w:val="single" w:sz="4" w:space="0" w:color="auto"/>
              <w:left w:val="single" w:sz="4" w:space="0" w:color="auto"/>
              <w:bottom w:val="single" w:sz="4" w:space="0" w:color="auto"/>
              <w:right w:val="single" w:sz="4" w:space="0" w:color="auto"/>
            </w:tcBorders>
            <w:noWrap/>
            <w:hideMark/>
          </w:tcPr>
          <w:p w14:paraId="29A781A8" w14:textId="77777777" w:rsidR="00360825" w:rsidRPr="00DE1AA1" w:rsidRDefault="00360825" w:rsidP="00C04569">
            <w:pPr>
              <w:keepNext/>
              <w:spacing w:after="0" w:line="300" w:lineRule="auto"/>
              <w:rPr>
                <w:rFonts w:ascii="Arial" w:hAnsi="Arial" w:cs="Arial"/>
              </w:rPr>
            </w:pPr>
            <w:r w:rsidRPr="00DE1AA1">
              <w:rPr>
                <w:rFonts w:ascii="Arial" w:hAnsi="Arial" w:cs="Arial"/>
                <w:bCs/>
              </w:rPr>
              <w:t>3-bedrooms</w:t>
            </w:r>
          </w:p>
        </w:tc>
        <w:tc>
          <w:tcPr>
            <w:tcW w:w="4389" w:type="dxa"/>
            <w:tcBorders>
              <w:top w:val="single" w:sz="4" w:space="0" w:color="auto"/>
              <w:left w:val="single" w:sz="4" w:space="0" w:color="auto"/>
              <w:bottom w:val="single" w:sz="4" w:space="0" w:color="auto"/>
              <w:right w:val="single" w:sz="4" w:space="0" w:color="auto"/>
            </w:tcBorders>
            <w:noWrap/>
            <w:hideMark/>
          </w:tcPr>
          <w:p w14:paraId="1A25E61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£350,000</w:t>
            </w:r>
          </w:p>
        </w:tc>
      </w:tr>
      <w:tr w:rsidR="00360825" w:rsidRPr="00DE1AA1" w14:paraId="522B4DD3" w14:textId="77777777" w:rsidTr="00C04569">
        <w:tc>
          <w:tcPr>
            <w:tcW w:w="4388" w:type="dxa"/>
            <w:tcBorders>
              <w:top w:val="single" w:sz="4" w:space="0" w:color="auto"/>
              <w:left w:val="single" w:sz="4" w:space="0" w:color="auto"/>
              <w:bottom w:val="single" w:sz="4" w:space="0" w:color="auto"/>
              <w:right w:val="single" w:sz="4" w:space="0" w:color="auto"/>
            </w:tcBorders>
            <w:noWrap/>
            <w:hideMark/>
          </w:tcPr>
          <w:p w14:paraId="217182B0" w14:textId="77777777" w:rsidR="00360825" w:rsidRPr="00DE1AA1" w:rsidRDefault="00360825" w:rsidP="00C04569">
            <w:pPr>
              <w:keepNext/>
              <w:spacing w:after="0" w:line="300" w:lineRule="auto"/>
              <w:rPr>
                <w:rFonts w:ascii="Arial" w:hAnsi="Arial" w:cs="Arial"/>
              </w:rPr>
            </w:pPr>
            <w:r w:rsidRPr="00DE1AA1">
              <w:rPr>
                <w:rFonts w:ascii="Arial" w:hAnsi="Arial" w:cs="Arial"/>
                <w:bCs/>
              </w:rPr>
              <w:t>4-bedrooms</w:t>
            </w:r>
          </w:p>
        </w:tc>
        <w:tc>
          <w:tcPr>
            <w:tcW w:w="4389" w:type="dxa"/>
            <w:tcBorders>
              <w:top w:val="single" w:sz="4" w:space="0" w:color="auto"/>
              <w:left w:val="single" w:sz="4" w:space="0" w:color="auto"/>
              <w:bottom w:val="single" w:sz="4" w:space="0" w:color="auto"/>
              <w:right w:val="single" w:sz="4" w:space="0" w:color="auto"/>
            </w:tcBorders>
            <w:noWrap/>
            <w:hideMark/>
          </w:tcPr>
          <w:p w14:paraId="1AAF4D0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£500,000</w:t>
            </w:r>
          </w:p>
        </w:tc>
      </w:tr>
      <w:tr w:rsidR="00360825" w:rsidRPr="00DE1AA1" w14:paraId="22B3F365" w14:textId="77777777" w:rsidTr="00C04569">
        <w:tc>
          <w:tcPr>
            <w:tcW w:w="4388" w:type="dxa"/>
            <w:tcBorders>
              <w:top w:val="single" w:sz="4" w:space="0" w:color="auto"/>
              <w:left w:val="single" w:sz="4" w:space="0" w:color="auto"/>
              <w:bottom w:val="single" w:sz="4" w:space="0" w:color="auto"/>
              <w:right w:val="single" w:sz="4" w:space="0" w:color="auto"/>
            </w:tcBorders>
            <w:noWrap/>
            <w:hideMark/>
          </w:tcPr>
          <w:p w14:paraId="625585A5" w14:textId="77777777" w:rsidR="00360825" w:rsidRPr="00DE1AA1" w:rsidRDefault="00360825" w:rsidP="00C04569">
            <w:pPr>
              <w:keepNext/>
              <w:spacing w:after="0" w:line="300" w:lineRule="auto"/>
              <w:rPr>
                <w:rFonts w:ascii="Arial" w:hAnsi="Arial" w:cs="Arial"/>
              </w:rPr>
            </w:pPr>
            <w:r w:rsidRPr="00DE1AA1">
              <w:rPr>
                <w:rFonts w:ascii="Arial" w:hAnsi="Arial" w:cs="Arial"/>
                <w:bCs/>
              </w:rPr>
              <w:t>All Dwellings</w:t>
            </w:r>
          </w:p>
        </w:tc>
        <w:tc>
          <w:tcPr>
            <w:tcW w:w="4389" w:type="dxa"/>
            <w:tcBorders>
              <w:top w:val="single" w:sz="4" w:space="0" w:color="auto"/>
              <w:left w:val="single" w:sz="4" w:space="0" w:color="auto"/>
              <w:bottom w:val="single" w:sz="4" w:space="0" w:color="auto"/>
              <w:right w:val="single" w:sz="4" w:space="0" w:color="auto"/>
            </w:tcBorders>
            <w:noWrap/>
            <w:hideMark/>
          </w:tcPr>
          <w:p w14:paraId="05F4FDA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£305,000</w:t>
            </w:r>
          </w:p>
        </w:tc>
      </w:tr>
    </w:tbl>
    <w:p w14:paraId="6C8D299A"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Land Registry and Internet Price Search</w:t>
      </w:r>
    </w:p>
    <w:p w14:paraId="7E81F6D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 similar analysis has been carried out for private rents using ONS data – this covers a 12-month period to March 2021. For the rental data, information about dwelling sizes is provided (rather than types); the analysis shows an average lower quartile cost (across all dwelling sizes) of £750 per month.</w:t>
      </w:r>
    </w:p>
    <w:p w14:paraId="5AE6DC7C" w14:textId="77777777" w:rsidR="00360825" w:rsidRPr="00D556DB" w:rsidRDefault="00360825" w:rsidP="001A7584">
      <w:pPr>
        <w:pStyle w:val="Heading4"/>
        <w:ind w:firstLine="0"/>
      </w:pPr>
      <w:r w:rsidRPr="00DE1AA1">
        <w:t>Lower Quartile Market Rents, year to March 2021 - Chichester</w:t>
      </w:r>
    </w:p>
    <w:tbl>
      <w:tblPr>
        <w:tblStyle w:val="TableTheme"/>
        <w:tblW w:w="5000" w:type="pct"/>
        <w:tblInd w:w="0" w:type="dxa"/>
        <w:tblLook w:val="04A0" w:firstRow="1" w:lastRow="0" w:firstColumn="1" w:lastColumn="0" w:noHBand="0" w:noVBand="1"/>
      </w:tblPr>
      <w:tblGrid>
        <w:gridCol w:w="4388"/>
        <w:gridCol w:w="4389"/>
      </w:tblGrid>
      <w:tr w:rsidR="00360825" w:rsidRPr="00DE1AA1" w14:paraId="1C3B562D" w14:textId="77777777" w:rsidTr="00C04569">
        <w:tc>
          <w:tcPr>
            <w:tcW w:w="4388" w:type="dxa"/>
            <w:tcBorders>
              <w:top w:val="single" w:sz="4" w:space="0" w:color="auto"/>
              <w:left w:val="single" w:sz="4" w:space="0" w:color="auto"/>
              <w:bottom w:val="single" w:sz="4" w:space="0" w:color="auto"/>
              <w:right w:val="single" w:sz="4" w:space="0" w:color="auto"/>
            </w:tcBorders>
            <w:shd w:val="clear" w:color="auto" w:fill="002060"/>
          </w:tcPr>
          <w:p w14:paraId="65A5672C" w14:textId="77777777" w:rsidR="00360825" w:rsidRPr="00DE1AA1" w:rsidRDefault="00360825" w:rsidP="00C04569">
            <w:pPr>
              <w:spacing w:before="60" w:after="60" w:line="300" w:lineRule="auto"/>
              <w:jc w:val="left"/>
              <w:rPr>
                <w:rFonts w:ascii="Arial" w:hAnsi="Arial" w:cs="Arial"/>
                <w:color w:val="FFFFFF" w:themeColor="background1"/>
              </w:rPr>
            </w:pPr>
          </w:p>
        </w:tc>
        <w:tc>
          <w:tcPr>
            <w:tcW w:w="4389" w:type="dxa"/>
            <w:tcBorders>
              <w:top w:val="single" w:sz="4" w:space="0" w:color="auto"/>
              <w:left w:val="single" w:sz="4" w:space="0" w:color="auto"/>
              <w:bottom w:val="single" w:sz="4" w:space="0" w:color="auto"/>
              <w:right w:val="single" w:sz="4" w:space="0" w:color="auto"/>
            </w:tcBorders>
            <w:shd w:val="clear" w:color="auto" w:fill="002060"/>
            <w:hideMark/>
          </w:tcPr>
          <w:p w14:paraId="1573F2EE" w14:textId="77777777" w:rsidR="00360825" w:rsidRPr="00DE1AA1" w:rsidRDefault="00360825" w:rsidP="00C04569">
            <w:pPr>
              <w:keepNext/>
              <w:spacing w:before="60" w:after="60" w:line="300" w:lineRule="auto"/>
              <w:jc w:val="center"/>
              <w:rPr>
                <w:rFonts w:ascii="Arial" w:hAnsi="Arial" w:cs="Arial"/>
                <w:color w:val="FFFFFF" w:themeColor="background1"/>
              </w:rPr>
            </w:pPr>
            <w:r w:rsidRPr="00DE1AA1">
              <w:rPr>
                <w:rFonts w:ascii="Arial" w:hAnsi="Arial" w:cs="Arial"/>
              </w:rPr>
              <w:t>Lower Quartile rent, pcm</w:t>
            </w:r>
          </w:p>
        </w:tc>
      </w:tr>
      <w:tr w:rsidR="00360825" w:rsidRPr="00DE1AA1" w14:paraId="30FCA9D1"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2B65BB4A" w14:textId="77777777" w:rsidR="00360825" w:rsidRPr="00DE1AA1" w:rsidRDefault="00360825" w:rsidP="00C04569">
            <w:pPr>
              <w:keepNext/>
              <w:spacing w:after="0" w:line="300" w:lineRule="auto"/>
              <w:rPr>
                <w:rFonts w:ascii="Arial" w:hAnsi="Arial" w:cs="Arial"/>
              </w:rPr>
            </w:pPr>
            <w:r w:rsidRPr="00DE1AA1">
              <w:rPr>
                <w:rFonts w:ascii="Arial" w:hAnsi="Arial" w:cs="Arial"/>
              </w:rPr>
              <w:t>Room only</w:t>
            </w:r>
          </w:p>
        </w:tc>
        <w:tc>
          <w:tcPr>
            <w:tcW w:w="4389" w:type="dxa"/>
            <w:tcBorders>
              <w:top w:val="single" w:sz="4" w:space="0" w:color="auto"/>
              <w:left w:val="single" w:sz="4" w:space="0" w:color="auto"/>
              <w:bottom w:val="single" w:sz="4" w:space="0" w:color="auto"/>
              <w:right w:val="single" w:sz="4" w:space="0" w:color="auto"/>
            </w:tcBorders>
            <w:hideMark/>
          </w:tcPr>
          <w:p w14:paraId="78CECF8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£390</w:t>
            </w:r>
          </w:p>
        </w:tc>
      </w:tr>
      <w:tr w:rsidR="00360825" w:rsidRPr="00DE1AA1" w14:paraId="6DB37FCF"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680B71E4" w14:textId="77777777" w:rsidR="00360825" w:rsidRPr="00DE1AA1" w:rsidRDefault="00360825" w:rsidP="00C04569">
            <w:pPr>
              <w:keepNext/>
              <w:spacing w:after="0" w:line="300" w:lineRule="auto"/>
              <w:rPr>
                <w:rFonts w:ascii="Arial" w:hAnsi="Arial" w:cs="Arial"/>
              </w:rPr>
            </w:pPr>
            <w:r w:rsidRPr="00DE1AA1">
              <w:rPr>
                <w:rFonts w:ascii="Arial" w:hAnsi="Arial" w:cs="Arial"/>
              </w:rPr>
              <w:t>Studio</w:t>
            </w:r>
          </w:p>
        </w:tc>
        <w:tc>
          <w:tcPr>
            <w:tcW w:w="4389" w:type="dxa"/>
            <w:tcBorders>
              <w:top w:val="single" w:sz="4" w:space="0" w:color="auto"/>
              <w:left w:val="single" w:sz="4" w:space="0" w:color="auto"/>
              <w:bottom w:val="single" w:sz="4" w:space="0" w:color="auto"/>
              <w:right w:val="single" w:sz="4" w:space="0" w:color="auto"/>
            </w:tcBorders>
            <w:hideMark/>
          </w:tcPr>
          <w:p w14:paraId="1A1D362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£550</w:t>
            </w:r>
          </w:p>
        </w:tc>
      </w:tr>
      <w:tr w:rsidR="00360825" w:rsidRPr="00DE1AA1" w14:paraId="53053D01"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1A3B1BE4" w14:textId="77777777" w:rsidR="00360825" w:rsidRPr="00DE1AA1" w:rsidRDefault="00360825" w:rsidP="00C04569">
            <w:pPr>
              <w:keepNext/>
              <w:spacing w:after="0" w:line="300" w:lineRule="auto"/>
              <w:rPr>
                <w:rFonts w:ascii="Arial" w:hAnsi="Arial" w:cs="Arial"/>
              </w:rPr>
            </w:pPr>
            <w:r w:rsidRPr="00DE1AA1">
              <w:rPr>
                <w:rFonts w:ascii="Arial" w:hAnsi="Arial" w:cs="Arial"/>
              </w:rPr>
              <w:t>1-bedroom</w:t>
            </w:r>
          </w:p>
        </w:tc>
        <w:tc>
          <w:tcPr>
            <w:tcW w:w="4389" w:type="dxa"/>
            <w:tcBorders>
              <w:top w:val="single" w:sz="4" w:space="0" w:color="auto"/>
              <w:left w:val="single" w:sz="4" w:space="0" w:color="auto"/>
              <w:bottom w:val="single" w:sz="4" w:space="0" w:color="auto"/>
              <w:right w:val="single" w:sz="4" w:space="0" w:color="auto"/>
            </w:tcBorders>
            <w:hideMark/>
          </w:tcPr>
          <w:p w14:paraId="68A9BEA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£650</w:t>
            </w:r>
          </w:p>
        </w:tc>
      </w:tr>
      <w:tr w:rsidR="00360825" w:rsidRPr="00DE1AA1" w14:paraId="7A185AFB"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0B022BC1" w14:textId="77777777" w:rsidR="00360825" w:rsidRPr="00DE1AA1" w:rsidRDefault="00360825" w:rsidP="00C04569">
            <w:pPr>
              <w:keepNext/>
              <w:spacing w:after="0" w:line="300" w:lineRule="auto"/>
              <w:rPr>
                <w:rFonts w:ascii="Arial" w:hAnsi="Arial" w:cs="Arial"/>
              </w:rPr>
            </w:pPr>
            <w:r w:rsidRPr="00DE1AA1">
              <w:rPr>
                <w:rFonts w:ascii="Arial" w:hAnsi="Arial" w:cs="Arial"/>
              </w:rPr>
              <w:t>2-bedrooms</w:t>
            </w:r>
          </w:p>
        </w:tc>
        <w:tc>
          <w:tcPr>
            <w:tcW w:w="4389" w:type="dxa"/>
            <w:tcBorders>
              <w:top w:val="single" w:sz="4" w:space="0" w:color="auto"/>
              <w:left w:val="single" w:sz="4" w:space="0" w:color="auto"/>
              <w:bottom w:val="single" w:sz="4" w:space="0" w:color="auto"/>
              <w:right w:val="single" w:sz="4" w:space="0" w:color="auto"/>
            </w:tcBorders>
            <w:hideMark/>
          </w:tcPr>
          <w:p w14:paraId="6D553D2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£825</w:t>
            </w:r>
          </w:p>
        </w:tc>
      </w:tr>
      <w:tr w:rsidR="00360825" w:rsidRPr="00DE1AA1" w14:paraId="65D476B9"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13675096" w14:textId="77777777" w:rsidR="00360825" w:rsidRPr="00DE1AA1" w:rsidRDefault="00360825" w:rsidP="00C04569">
            <w:pPr>
              <w:keepNext/>
              <w:spacing w:after="0" w:line="300" w:lineRule="auto"/>
              <w:rPr>
                <w:rFonts w:ascii="Arial" w:hAnsi="Arial" w:cs="Arial"/>
              </w:rPr>
            </w:pPr>
            <w:r w:rsidRPr="00DE1AA1">
              <w:rPr>
                <w:rFonts w:ascii="Arial" w:hAnsi="Arial" w:cs="Arial"/>
              </w:rPr>
              <w:t>3-bedrooms</w:t>
            </w:r>
          </w:p>
        </w:tc>
        <w:tc>
          <w:tcPr>
            <w:tcW w:w="4389" w:type="dxa"/>
            <w:tcBorders>
              <w:top w:val="single" w:sz="4" w:space="0" w:color="auto"/>
              <w:left w:val="single" w:sz="4" w:space="0" w:color="auto"/>
              <w:bottom w:val="single" w:sz="4" w:space="0" w:color="auto"/>
              <w:right w:val="single" w:sz="4" w:space="0" w:color="auto"/>
            </w:tcBorders>
            <w:hideMark/>
          </w:tcPr>
          <w:p w14:paraId="7D8B58A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£975</w:t>
            </w:r>
          </w:p>
        </w:tc>
      </w:tr>
      <w:tr w:rsidR="00360825" w:rsidRPr="00DE1AA1" w14:paraId="34290150"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22DB8DD2" w14:textId="77777777" w:rsidR="00360825" w:rsidRPr="00DE1AA1" w:rsidRDefault="00360825" w:rsidP="00C04569">
            <w:pPr>
              <w:keepNext/>
              <w:spacing w:after="0" w:line="300" w:lineRule="auto"/>
              <w:rPr>
                <w:rFonts w:ascii="Arial" w:hAnsi="Arial" w:cs="Arial"/>
              </w:rPr>
            </w:pPr>
            <w:r w:rsidRPr="00DE1AA1">
              <w:rPr>
                <w:rFonts w:ascii="Arial" w:hAnsi="Arial" w:cs="Arial"/>
              </w:rPr>
              <w:t>4-bedrooms</w:t>
            </w:r>
          </w:p>
        </w:tc>
        <w:tc>
          <w:tcPr>
            <w:tcW w:w="4389" w:type="dxa"/>
            <w:tcBorders>
              <w:top w:val="single" w:sz="4" w:space="0" w:color="auto"/>
              <w:left w:val="single" w:sz="4" w:space="0" w:color="auto"/>
              <w:bottom w:val="single" w:sz="4" w:space="0" w:color="auto"/>
              <w:right w:val="single" w:sz="4" w:space="0" w:color="auto"/>
            </w:tcBorders>
            <w:hideMark/>
          </w:tcPr>
          <w:p w14:paraId="5BDC795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£1,360</w:t>
            </w:r>
          </w:p>
        </w:tc>
      </w:tr>
      <w:tr w:rsidR="00360825" w:rsidRPr="00DE1AA1" w14:paraId="4514C930"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24241EB3" w14:textId="77777777" w:rsidR="00360825" w:rsidRPr="00DE1AA1" w:rsidRDefault="00360825" w:rsidP="00C04569">
            <w:pPr>
              <w:keepNext/>
              <w:spacing w:after="0" w:line="300" w:lineRule="auto"/>
              <w:rPr>
                <w:rFonts w:ascii="Arial" w:hAnsi="Arial" w:cs="Arial"/>
              </w:rPr>
            </w:pPr>
            <w:r w:rsidRPr="00DE1AA1">
              <w:rPr>
                <w:rFonts w:ascii="Arial" w:hAnsi="Arial" w:cs="Arial"/>
              </w:rPr>
              <w:t>All properties</w:t>
            </w:r>
          </w:p>
        </w:tc>
        <w:tc>
          <w:tcPr>
            <w:tcW w:w="4389" w:type="dxa"/>
            <w:tcBorders>
              <w:top w:val="single" w:sz="4" w:space="0" w:color="auto"/>
              <w:left w:val="single" w:sz="4" w:space="0" w:color="auto"/>
              <w:bottom w:val="single" w:sz="4" w:space="0" w:color="auto"/>
              <w:right w:val="single" w:sz="4" w:space="0" w:color="auto"/>
            </w:tcBorders>
            <w:hideMark/>
          </w:tcPr>
          <w:p w14:paraId="18BA7B3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£775</w:t>
            </w:r>
          </w:p>
        </w:tc>
      </w:tr>
    </w:tbl>
    <w:p w14:paraId="49770DBB"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ONS</w:t>
      </w:r>
    </w:p>
    <w:p w14:paraId="775689DC"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rental figures above have been taken from ONS data; it is however of interest for this study to see how these vary by location. The table below shows an estimate of the overall lower quartile private rent in each of the sub-areas; this is based on analysis of Rightmove data on available lettings which has then been adjusted to be consistent with the data from ONS.</w:t>
      </w:r>
      <w:r w:rsidRPr="00D556DB">
        <w:rPr>
          <w:rFonts w:ascii="Arial" w:eastAsiaTheme="majorEastAsia" w:hAnsi="Arial" w:cs="Arial"/>
        </w:rPr>
        <w:t xml:space="preserve"> </w:t>
      </w:r>
      <w:r w:rsidRPr="00D556DB">
        <w:rPr>
          <w:rFonts w:ascii="Arial" w:hAnsi="Arial" w:cs="Arial"/>
        </w:rPr>
        <w:t>The analysis shows some variation in prices and rents, with prices (and rents) estimated to be highest in the Plan Area North. The lowest prices and rents were found to be in Chichester City.</w:t>
      </w:r>
    </w:p>
    <w:p w14:paraId="4DF3AF56" w14:textId="77777777" w:rsidR="00360825" w:rsidRPr="00D556DB" w:rsidRDefault="00360825" w:rsidP="001A7584">
      <w:pPr>
        <w:pStyle w:val="Heading4"/>
        <w:ind w:firstLine="0"/>
      </w:pPr>
      <w:r w:rsidRPr="00DE1AA1">
        <w:lastRenderedPageBreak/>
        <w:t>Lower Quartile Prices and Market Rents, by sub-area</w:t>
      </w:r>
    </w:p>
    <w:tbl>
      <w:tblPr>
        <w:tblStyle w:val="TableTheme"/>
        <w:tblW w:w="5000" w:type="pct"/>
        <w:tblInd w:w="0" w:type="dxa"/>
        <w:tblLook w:val="04A0" w:firstRow="1" w:lastRow="0" w:firstColumn="1" w:lastColumn="0" w:noHBand="0" w:noVBand="1"/>
      </w:tblPr>
      <w:tblGrid>
        <w:gridCol w:w="2925"/>
        <w:gridCol w:w="2926"/>
        <w:gridCol w:w="2926"/>
      </w:tblGrid>
      <w:tr w:rsidR="00360825" w:rsidRPr="00DE1AA1" w14:paraId="491B1A35" w14:textId="77777777" w:rsidTr="00C04569">
        <w:tc>
          <w:tcPr>
            <w:tcW w:w="2925" w:type="dxa"/>
            <w:tcBorders>
              <w:top w:val="single" w:sz="4" w:space="0" w:color="auto"/>
              <w:left w:val="single" w:sz="4" w:space="0" w:color="auto"/>
              <w:bottom w:val="single" w:sz="4" w:space="0" w:color="auto"/>
              <w:right w:val="single" w:sz="4" w:space="0" w:color="auto"/>
            </w:tcBorders>
            <w:shd w:val="clear" w:color="auto" w:fill="002060"/>
          </w:tcPr>
          <w:p w14:paraId="189A5E2C" w14:textId="77777777" w:rsidR="00360825" w:rsidRPr="00DE1AA1" w:rsidRDefault="00360825" w:rsidP="00C04569">
            <w:pPr>
              <w:keepNext/>
              <w:spacing w:after="0" w:line="300" w:lineRule="auto"/>
              <w:jc w:val="left"/>
              <w:rPr>
                <w:rFonts w:ascii="Arial" w:hAnsi="Arial" w:cs="Arial"/>
              </w:rPr>
            </w:pPr>
          </w:p>
        </w:tc>
        <w:tc>
          <w:tcPr>
            <w:tcW w:w="2926" w:type="dxa"/>
            <w:tcBorders>
              <w:top w:val="single" w:sz="4" w:space="0" w:color="auto"/>
              <w:left w:val="single" w:sz="4" w:space="0" w:color="auto"/>
              <w:bottom w:val="single" w:sz="4" w:space="0" w:color="auto"/>
              <w:right w:val="single" w:sz="4" w:space="0" w:color="auto"/>
            </w:tcBorders>
            <w:shd w:val="clear" w:color="auto" w:fill="002060"/>
            <w:hideMark/>
          </w:tcPr>
          <w:p w14:paraId="751B6EF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Lower quartile price (existing dwellings)</w:t>
            </w:r>
          </w:p>
        </w:tc>
        <w:tc>
          <w:tcPr>
            <w:tcW w:w="2926" w:type="dxa"/>
            <w:tcBorders>
              <w:top w:val="single" w:sz="4" w:space="0" w:color="auto"/>
              <w:left w:val="single" w:sz="4" w:space="0" w:color="auto"/>
              <w:bottom w:val="single" w:sz="4" w:space="0" w:color="auto"/>
              <w:right w:val="single" w:sz="4" w:space="0" w:color="auto"/>
            </w:tcBorders>
            <w:shd w:val="clear" w:color="auto" w:fill="002060"/>
            <w:hideMark/>
          </w:tcPr>
          <w:p w14:paraId="387DB1C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Lower Quartile rent, pcm</w:t>
            </w:r>
          </w:p>
        </w:tc>
      </w:tr>
      <w:tr w:rsidR="00360825" w:rsidRPr="00DE1AA1" w14:paraId="0AF30F0B"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2FC92C16"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Chichester City</w:t>
            </w:r>
          </w:p>
        </w:tc>
        <w:tc>
          <w:tcPr>
            <w:tcW w:w="2926" w:type="dxa"/>
            <w:tcBorders>
              <w:top w:val="single" w:sz="4" w:space="0" w:color="auto"/>
              <w:left w:val="single" w:sz="4" w:space="0" w:color="auto"/>
              <w:bottom w:val="single" w:sz="4" w:space="0" w:color="auto"/>
              <w:right w:val="single" w:sz="4" w:space="0" w:color="auto"/>
            </w:tcBorders>
            <w:vAlign w:val="bottom"/>
            <w:hideMark/>
          </w:tcPr>
          <w:p w14:paraId="53AD10B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£270,000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3168578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£715</w:t>
            </w:r>
          </w:p>
        </w:tc>
      </w:tr>
      <w:tr w:rsidR="00360825" w:rsidRPr="00DE1AA1" w14:paraId="346642D5"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2994DE88"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EW Corridor</w:t>
            </w:r>
          </w:p>
        </w:tc>
        <w:tc>
          <w:tcPr>
            <w:tcW w:w="2926" w:type="dxa"/>
            <w:tcBorders>
              <w:top w:val="single" w:sz="4" w:space="0" w:color="auto"/>
              <w:left w:val="single" w:sz="4" w:space="0" w:color="auto"/>
              <w:bottom w:val="single" w:sz="4" w:space="0" w:color="auto"/>
              <w:right w:val="single" w:sz="4" w:space="0" w:color="auto"/>
            </w:tcBorders>
            <w:vAlign w:val="bottom"/>
            <w:hideMark/>
          </w:tcPr>
          <w:p w14:paraId="4F29D07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£298,000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22F1C8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£780</w:t>
            </w:r>
          </w:p>
        </w:tc>
      </w:tr>
      <w:tr w:rsidR="00360825" w:rsidRPr="00DE1AA1" w14:paraId="758014F2"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521EAC69"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Manhood</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DC9197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£296,000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6E3354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£740</w:t>
            </w:r>
          </w:p>
        </w:tc>
      </w:tr>
      <w:tr w:rsidR="00360825" w:rsidRPr="00DE1AA1" w14:paraId="78E81BD1"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4DB0898A"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Plan Area North</w:t>
            </w:r>
          </w:p>
        </w:tc>
        <w:tc>
          <w:tcPr>
            <w:tcW w:w="2926" w:type="dxa"/>
            <w:tcBorders>
              <w:top w:val="single" w:sz="4" w:space="0" w:color="auto"/>
              <w:left w:val="single" w:sz="4" w:space="0" w:color="auto"/>
              <w:bottom w:val="single" w:sz="4" w:space="0" w:color="auto"/>
              <w:right w:val="single" w:sz="4" w:space="0" w:color="auto"/>
            </w:tcBorders>
            <w:vAlign w:val="bottom"/>
            <w:hideMark/>
          </w:tcPr>
          <w:p w14:paraId="0899564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£454,000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D8F2E1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£1,070</w:t>
            </w:r>
          </w:p>
        </w:tc>
      </w:tr>
      <w:tr w:rsidR="00360825" w:rsidRPr="00DE1AA1" w14:paraId="0A5589C2"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7B801DA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SDNP</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CFF86A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£347,000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1DEC5C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£870</w:t>
            </w:r>
          </w:p>
        </w:tc>
      </w:tr>
      <w:tr w:rsidR="00360825" w:rsidRPr="00DE1AA1" w14:paraId="2FC32C49" w14:textId="77777777" w:rsidTr="00C04569">
        <w:tc>
          <w:tcPr>
            <w:tcW w:w="2925" w:type="dxa"/>
            <w:tcBorders>
              <w:top w:val="single" w:sz="4" w:space="0" w:color="auto"/>
              <w:left w:val="single" w:sz="4" w:space="0" w:color="auto"/>
              <w:bottom w:val="single" w:sz="4" w:space="0" w:color="auto"/>
              <w:right w:val="single" w:sz="4" w:space="0" w:color="auto"/>
            </w:tcBorders>
            <w:hideMark/>
          </w:tcPr>
          <w:p w14:paraId="0E9288B5" w14:textId="77777777" w:rsidR="00360825" w:rsidRPr="00DE1AA1" w:rsidRDefault="00360825" w:rsidP="00C04569">
            <w:pPr>
              <w:keepNext/>
              <w:spacing w:after="0" w:line="300" w:lineRule="auto"/>
              <w:rPr>
                <w:rFonts w:ascii="Arial" w:hAnsi="Arial" w:cs="Arial"/>
              </w:rPr>
            </w:pPr>
            <w:r w:rsidRPr="00DE1AA1">
              <w:rPr>
                <w:rFonts w:ascii="Arial" w:hAnsi="Arial" w:cs="Arial"/>
              </w:rPr>
              <w:t>All properties</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693483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£305,000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B4561B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£775</w:t>
            </w:r>
          </w:p>
        </w:tc>
      </w:tr>
    </w:tbl>
    <w:p w14:paraId="6D86AEFA"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 xml:space="preserve">Source: </w:t>
      </w:r>
      <w:r w:rsidRPr="00DE1AA1">
        <w:rPr>
          <w:rFonts w:ascii="Arial" w:hAnsi="Arial" w:cs="Arial"/>
          <w:i/>
          <w:iCs/>
          <w:sz w:val="16"/>
          <w:szCs w:val="16"/>
        </w:rPr>
        <w:t xml:space="preserve">Internet private rental cost search and Land </w:t>
      </w:r>
      <w:r w:rsidRPr="00D556DB">
        <w:rPr>
          <w:rFonts w:ascii="Arial" w:hAnsi="Arial" w:cs="Arial"/>
          <w:i/>
          <w:iCs/>
          <w:sz w:val="16"/>
          <w:szCs w:val="16"/>
        </w:rPr>
        <w:t>Registry</w:t>
      </w:r>
    </w:p>
    <w:p w14:paraId="62F3B171"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Household Incomes</w:t>
      </w:r>
    </w:p>
    <w:p w14:paraId="39EB295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Following on from the assessment of local prices and rents it is important to understand local income levels as these (along with the price/rent data) will determine levels of affordability (i.e. the ability of a household to afford to buy or rent housing in the market without the need for some sort of subsidy). Data about total household income has been based on ONS modelled income estimates, with additional data from the English Housing Survey (EHS) being used to provide information about the distribution of incomes.</w:t>
      </w:r>
    </w:p>
    <w:p w14:paraId="0D9EFBE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Drawing all of this data together an income distribution for the whole District has been constructed for 2021. The figure below shows that approaching a quarter of households have incomes below £20,000 with a further third in the range of £20,000 to £40,000. Overall, the average (mean) income is estimated to be around £48,500, with a median income of £36,700; the lower quartile income of all households is estimated to be £21,300.</w:t>
      </w:r>
    </w:p>
    <w:p w14:paraId="27319C77" w14:textId="77777777" w:rsidR="00360825" w:rsidRPr="00D556DB" w:rsidRDefault="00360825" w:rsidP="001A7584">
      <w:pPr>
        <w:pStyle w:val="Heading4"/>
        <w:ind w:firstLine="0"/>
      </w:pPr>
      <w:r>
        <w:t xml:space="preserve">-  </w:t>
      </w:r>
      <w:r w:rsidRPr="00D556DB">
        <w:t>Distribution of household income (2021) – Chichester</w:t>
      </w:r>
    </w:p>
    <w:p w14:paraId="354C3DC6" w14:textId="77777777" w:rsidR="00360825" w:rsidRPr="00DE1AA1" w:rsidRDefault="00360825" w:rsidP="00360825">
      <w:pPr>
        <w:pStyle w:val="11Bodytext"/>
        <w:tabs>
          <w:tab w:val="clear" w:pos="794"/>
          <w:tab w:val="left" w:pos="720"/>
        </w:tabs>
        <w:spacing w:before="0" w:after="0" w:line="240" w:lineRule="auto"/>
        <w:ind w:left="0" w:firstLine="0"/>
        <w:jc w:val="left"/>
        <w:rPr>
          <w:color w:val="auto"/>
        </w:rPr>
      </w:pPr>
      <w:r w:rsidRPr="00DE1AA1">
        <w:rPr>
          <w:noProof/>
          <w:lang w:eastAsia="en-GB"/>
        </w:rPr>
        <w:drawing>
          <wp:inline distT="0" distB="0" distL="0" distR="0" wp14:anchorId="5BEE240B" wp14:editId="76AA32F0">
            <wp:extent cx="5556250" cy="2889250"/>
            <wp:effectExtent l="0" t="0" r="6350" b="6350"/>
            <wp:docPr id="64" name="Chart 64" descr="The figure below shows that approaching a quarter of households have incomes below £20,000 with a further third in the range of £20,000 to £40,000. Overall, the average (mean) income is estimated to be around £48,500, with a median income of £36,700; the lower quartile income of all households is estimated to be £21,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8EAA5C7" w14:textId="77777777" w:rsidR="00360825" w:rsidRPr="00DE1AA1" w:rsidRDefault="00360825" w:rsidP="00360825">
      <w:pPr>
        <w:pStyle w:val="11Bodytext"/>
        <w:tabs>
          <w:tab w:val="clear" w:pos="794"/>
          <w:tab w:val="left" w:pos="720"/>
        </w:tabs>
        <w:spacing w:before="0" w:after="360" w:line="300" w:lineRule="auto"/>
        <w:ind w:left="0" w:firstLine="0"/>
        <w:jc w:val="left"/>
        <w:rPr>
          <w:i/>
          <w:iCs/>
          <w:color w:val="auto"/>
          <w:sz w:val="16"/>
          <w:szCs w:val="16"/>
        </w:rPr>
      </w:pPr>
      <w:r w:rsidRPr="00DE1AA1">
        <w:rPr>
          <w:i/>
          <w:iCs/>
          <w:color w:val="auto"/>
          <w:sz w:val="16"/>
          <w:szCs w:val="16"/>
        </w:rPr>
        <w:t>Source: Derived from a range of data as discussed</w:t>
      </w:r>
    </w:p>
    <w:p w14:paraId="6CE69CC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Analysis has also been undertaken to estimate how incomes vary by sub-area, with the table below showing the estimated median household income in each area, the table also shows the variance in incomes from the District average. There is some variation in the estimated incomes by area, median figures ranging from £32,400 in the Manhood Peninsula, up to £45,300 in Plan Area North.</w:t>
      </w:r>
    </w:p>
    <w:p w14:paraId="661893AB" w14:textId="77777777" w:rsidR="00360825" w:rsidRPr="00D556DB" w:rsidRDefault="00360825" w:rsidP="001A7584">
      <w:pPr>
        <w:pStyle w:val="Heading4"/>
        <w:ind w:firstLine="0"/>
      </w:pPr>
      <w:r w:rsidRPr="00DE1AA1">
        <w:t>Estimated average (median) household income by sub-area (mid-2021 estimate)</w:t>
      </w:r>
    </w:p>
    <w:tbl>
      <w:tblPr>
        <w:tblStyle w:val="TableTheme"/>
        <w:tblW w:w="5000" w:type="pct"/>
        <w:tblInd w:w="0" w:type="dxa"/>
        <w:tblLayout w:type="fixed"/>
        <w:tblLook w:val="04A0" w:firstRow="1" w:lastRow="0" w:firstColumn="1" w:lastColumn="0" w:noHBand="0" w:noVBand="1"/>
      </w:tblPr>
      <w:tblGrid>
        <w:gridCol w:w="3182"/>
        <w:gridCol w:w="2797"/>
        <w:gridCol w:w="2798"/>
      </w:tblGrid>
      <w:tr w:rsidR="00360825" w:rsidRPr="00DE1AA1" w14:paraId="12A96728" w14:textId="77777777" w:rsidTr="00C04569">
        <w:tc>
          <w:tcPr>
            <w:tcW w:w="3182" w:type="dxa"/>
            <w:tcBorders>
              <w:top w:val="single" w:sz="4" w:space="0" w:color="auto"/>
              <w:left w:val="single" w:sz="4" w:space="0" w:color="auto"/>
              <w:bottom w:val="single" w:sz="4" w:space="0" w:color="auto"/>
              <w:right w:val="single" w:sz="4" w:space="0" w:color="auto"/>
            </w:tcBorders>
            <w:shd w:val="clear" w:color="auto" w:fill="002060"/>
          </w:tcPr>
          <w:p w14:paraId="57E5F531" w14:textId="77777777" w:rsidR="00360825" w:rsidRPr="00DE1AA1" w:rsidRDefault="00360825" w:rsidP="00C04569">
            <w:pPr>
              <w:keepNext/>
              <w:spacing w:before="60" w:after="60" w:line="300" w:lineRule="auto"/>
              <w:jc w:val="left"/>
              <w:rPr>
                <w:rFonts w:ascii="Arial" w:hAnsi="Arial" w:cs="Arial"/>
              </w:rPr>
            </w:pPr>
          </w:p>
        </w:tc>
        <w:tc>
          <w:tcPr>
            <w:tcW w:w="279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BFC2C1F"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Median income</w:t>
            </w:r>
          </w:p>
        </w:tc>
        <w:tc>
          <w:tcPr>
            <w:tcW w:w="279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4357A81"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As a % of District average</w:t>
            </w:r>
          </w:p>
        </w:tc>
      </w:tr>
      <w:tr w:rsidR="00360825" w:rsidRPr="00DE1AA1" w14:paraId="0BBFECD4" w14:textId="77777777" w:rsidTr="00C04569">
        <w:tc>
          <w:tcPr>
            <w:tcW w:w="3182" w:type="dxa"/>
            <w:tcBorders>
              <w:top w:val="single" w:sz="4" w:space="0" w:color="auto"/>
              <w:left w:val="single" w:sz="4" w:space="0" w:color="auto"/>
              <w:bottom w:val="single" w:sz="4" w:space="0" w:color="auto"/>
              <w:right w:val="single" w:sz="4" w:space="0" w:color="auto"/>
            </w:tcBorders>
            <w:vAlign w:val="bottom"/>
            <w:hideMark/>
          </w:tcPr>
          <w:p w14:paraId="07E7172B"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Chichester City</w:t>
            </w:r>
          </w:p>
        </w:tc>
        <w:tc>
          <w:tcPr>
            <w:tcW w:w="2797" w:type="dxa"/>
            <w:tcBorders>
              <w:top w:val="single" w:sz="4" w:space="0" w:color="auto"/>
              <w:left w:val="single" w:sz="4" w:space="0" w:color="auto"/>
              <w:bottom w:val="single" w:sz="4" w:space="0" w:color="auto"/>
              <w:right w:val="single" w:sz="4" w:space="0" w:color="auto"/>
            </w:tcBorders>
            <w:vAlign w:val="bottom"/>
            <w:hideMark/>
          </w:tcPr>
          <w:p w14:paraId="4770717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£35,500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3FBE89F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97%</w:t>
            </w:r>
          </w:p>
        </w:tc>
      </w:tr>
      <w:tr w:rsidR="00360825" w:rsidRPr="00DE1AA1" w14:paraId="46127C91" w14:textId="77777777" w:rsidTr="00C04569">
        <w:tc>
          <w:tcPr>
            <w:tcW w:w="3182" w:type="dxa"/>
            <w:tcBorders>
              <w:top w:val="single" w:sz="4" w:space="0" w:color="auto"/>
              <w:left w:val="single" w:sz="4" w:space="0" w:color="auto"/>
              <w:bottom w:val="single" w:sz="4" w:space="0" w:color="auto"/>
              <w:right w:val="single" w:sz="4" w:space="0" w:color="auto"/>
            </w:tcBorders>
            <w:vAlign w:val="bottom"/>
            <w:hideMark/>
          </w:tcPr>
          <w:p w14:paraId="5CED2C8C"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EW Corridor</w:t>
            </w:r>
          </w:p>
        </w:tc>
        <w:tc>
          <w:tcPr>
            <w:tcW w:w="2797" w:type="dxa"/>
            <w:tcBorders>
              <w:top w:val="single" w:sz="4" w:space="0" w:color="auto"/>
              <w:left w:val="single" w:sz="4" w:space="0" w:color="auto"/>
              <w:bottom w:val="single" w:sz="4" w:space="0" w:color="auto"/>
              <w:right w:val="single" w:sz="4" w:space="0" w:color="auto"/>
            </w:tcBorders>
            <w:vAlign w:val="bottom"/>
            <w:hideMark/>
          </w:tcPr>
          <w:p w14:paraId="11D2E52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£40,200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62ADF16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110%</w:t>
            </w:r>
          </w:p>
        </w:tc>
      </w:tr>
      <w:tr w:rsidR="00360825" w:rsidRPr="00DE1AA1" w14:paraId="051AC3E6" w14:textId="77777777" w:rsidTr="00C04569">
        <w:tc>
          <w:tcPr>
            <w:tcW w:w="3182" w:type="dxa"/>
            <w:tcBorders>
              <w:top w:val="single" w:sz="4" w:space="0" w:color="auto"/>
              <w:left w:val="single" w:sz="4" w:space="0" w:color="auto"/>
              <w:bottom w:val="single" w:sz="4" w:space="0" w:color="auto"/>
              <w:right w:val="single" w:sz="4" w:space="0" w:color="auto"/>
            </w:tcBorders>
            <w:vAlign w:val="bottom"/>
            <w:hideMark/>
          </w:tcPr>
          <w:p w14:paraId="4E41AE73"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Manhood</w:t>
            </w:r>
          </w:p>
        </w:tc>
        <w:tc>
          <w:tcPr>
            <w:tcW w:w="2797" w:type="dxa"/>
            <w:tcBorders>
              <w:top w:val="single" w:sz="4" w:space="0" w:color="auto"/>
              <w:left w:val="single" w:sz="4" w:space="0" w:color="auto"/>
              <w:bottom w:val="single" w:sz="4" w:space="0" w:color="auto"/>
              <w:right w:val="single" w:sz="4" w:space="0" w:color="auto"/>
            </w:tcBorders>
            <w:vAlign w:val="bottom"/>
            <w:hideMark/>
          </w:tcPr>
          <w:p w14:paraId="48CE619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£32,400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3081F82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88%</w:t>
            </w:r>
          </w:p>
        </w:tc>
      </w:tr>
      <w:tr w:rsidR="00360825" w:rsidRPr="00DE1AA1" w14:paraId="753EB7EE" w14:textId="77777777" w:rsidTr="00C04569">
        <w:tc>
          <w:tcPr>
            <w:tcW w:w="3182" w:type="dxa"/>
            <w:tcBorders>
              <w:top w:val="single" w:sz="4" w:space="0" w:color="auto"/>
              <w:left w:val="single" w:sz="4" w:space="0" w:color="auto"/>
              <w:bottom w:val="single" w:sz="4" w:space="0" w:color="auto"/>
              <w:right w:val="single" w:sz="4" w:space="0" w:color="auto"/>
            </w:tcBorders>
            <w:vAlign w:val="bottom"/>
            <w:hideMark/>
          </w:tcPr>
          <w:p w14:paraId="6ED9F118"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Plan Area North</w:t>
            </w:r>
          </w:p>
        </w:tc>
        <w:tc>
          <w:tcPr>
            <w:tcW w:w="2797" w:type="dxa"/>
            <w:tcBorders>
              <w:top w:val="single" w:sz="4" w:space="0" w:color="auto"/>
              <w:left w:val="single" w:sz="4" w:space="0" w:color="auto"/>
              <w:bottom w:val="single" w:sz="4" w:space="0" w:color="auto"/>
              <w:right w:val="single" w:sz="4" w:space="0" w:color="auto"/>
            </w:tcBorders>
            <w:vAlign w:val="bottom"/>
            <w:hideMark/>
          </w:tcPr>
          <w:p w14:paraId="3A031BC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£45,300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244E91D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123%</w:t>
            </w:r>
          </w:p>
        </w:tc>
      </w:tr>
      <w:tr w:rsidR="00360825" w:rsidRPr="00DE1AA1" w14:paraId="2EE2A856" w14:textId="77777777" w:rsidTr="00C04569">
        <w:tc>
          <w:tcPr>
            <w:tcW w:w="3182" w:type="dxa"/>
            <w:tcBorders>
              <w:top w:val="single" w:sz="4" w:space="0" w:color="auto"/>
              <w:left w:val="single" w:sz="4" w:space="0" w:color="auto"/>
              <w:bottom w:val="single" w:sz="4" w:space="0" w:color="auto"/>
              <w:right w:val="single" w:sz="4" w:space="0" w:color="auto"/>
            </w:tcBorders>
            <w:vAlign w:val="bottom"/>
            <w:hideMark/>
          </w:tcPr>
          <w:p w14:paraId="02230DD7"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SDNP</w:t>
            </w:r>
          </w:p>
        </w:tc>
        <w:tc>
          <w:tcPr>
            <w:tcW w:w="2797" w:type="dxa"/>
            <w:tcBorders>
              <w:top w:val="single" w:sz="4" w:space="0" w:color="auto"/>
              <w:left w:val="single" w:sz="4" w:space="0" w:color="auto"/>
              <w:bottom w:val="single" w:sz="4" w:space="0" w:color="auto"/>
              <w:right w:val="single" w:sz="4" w:space="0" w:color="auto"/>
            </w:tcBorders>
            <w:vAlign w:val="bottom"/>
            <w:hideMark/>
          </w:tcPr>
          <w:p w14:paraId="15D6A5A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£37,900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669CF7F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103%</w:t>
            </w:r>
          </w:p>
        </w:tc>
      </w:tr>
      <w:tr w:rsidR="00360825" w:rsidRPr="00DE1AA1" w14:paraId="1EEFF33E" w14:textId="77777777" w:rsidTr="00C04569">
        <w:tc>
          <w:tcPr>
            <w:tcW w:w="3182" w:type="dxa"/>
            <w:tcBorders>
              <w:top w:val="single" w:sz="4" w:space="0" w:color="auto"/>
              <w:left w:val="single" w:sz="4" w:space="0" w:color="auto"/>
              <w:bottom w:val="single" w:sz="4" w:space="0" w:color="auto"/>
              <w:right w:val="single" w:sz="4" w:space="0" w:color="auto"/>
            </w:tcBorders>
            <w:hideMark/>
          </w:tcPr>
          <w:p w14:paraId="4860B5A5" w14:textId="77777777" w:rsidR="00360825" w:rsidRPr="00DE1AA1" w:rsidRDefault="00360825" w:rsidP="00C04569">
            <w:pPr>
              <w:keepNext/>
              <w:spacing w:after="0" w:line="300" w:lineRule="auto"/>
              <w:rPr>
                <w:rFonts w:ascii="Arial" w:hAnsi="Arial" w:cs="Arial"/>
                <w:color w:val="000000"/>
              </w:rPr>
            </w:pPr>
            <w:r w:rsidRPr="00DE1AA1">
              <w:rPr>
                <w:rFonts w:ascii="Arial" w:hAnsi="Arial" w:cs="Arial"/>
                <w:color w:val="000000"/>
              </w:rPr>
              <w:t>All households</w:t>
            </w:r>
          </w:p>
        </w:tc>
        <w:tc>
          <w:tcPr>
            <w:tcW w:w="2797" w:type="dxa"/>
            <w:tcBorders>
              <w:top w:val="single" w:sz="4" w:space="0" w:color="auto"/>
              <w:left w:val="single" w:sz="4" w:space="0" w:color="auto"/>
              <w:bottom w:val="single" w:sz="4" w:space="0" w:color="auto"/>
              <w:right w:val="single" w:sz="4" w:space="0" w:color="auto"/>
            </w:tcBorders>
            <w:vAlign w:val="bottom"/>
            <w:hideMark/>
          </w:tcPr>
          <w:p w14:paraId="412562F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£36,700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525195E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w:t>
            </w:r>
          </w:p>
        </w:tc>
      </w:tr>
    </w:tbl>
    <w:p w14:paraId="765359D4" w14:textId="77777777" w:rsidR="00360825" w:rsidRPr="00DE1AA1" w:rsidRDefault="00360825" w:rsidP="00360825">
      <w:pPr>
        <w:pStyle w:val="11Bodytext"/>
        <w:tabs>
          <w:tab w:val="clear" w:pos="794"/>
          <w:tab w:val="left" w:pos="720"/>
        </w:tabs>
        <w:spacing w:before="0" w:after="360" w:line="300" w:lineRule="auto"/>
        <w:ind w:left="0" w:firstLine="0"/>
        <w:rPr>
          <w:i/>
          <w:iCs/>
          <w:color w:val="auto"/>
          <w:sz w:val="16"/>
          <w:szCs w:val="16"/>
        </w:rPr>
      </w:pPr>
      <w:r w:rsidRPr="00DE1AA1">
        <w:rPr>
          <w:i/>
          <w:iCs/>
          <w:color w:val="auto"/>
          <w:sz w:val="16"/>
          <w:szCs w:val="16"/>
        </w:rPr>
        <w:t>Source: Derived from a range of data as discussed</w:t>
      </w:r>
    </w:p>
    <w:p w14:paraId="76A9FEB7"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Affordability Thresholds</w:t>
      </w:r>
    </w:p>
    <w:p w14:paraId="729DB77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bookmarkStart w:id="27" w:name="_Hlk30689195"/>
      <w:r w:rsidRPr="00D556DB">
        <w:rPr>
          <w:rFonts w:ascii="Arial" w:hAnsi="Arial" w:cs="Arial"/>
        </w:rPr>
        <w:t>To assess affordability two different measures are used; firstly to consider what income levels are likely to be needed to access private rented housing (this establishes those households in need of social/affordable rented housing) and secondly to consider what income level is needed to access owner occupation (this, along with the first test helps to identify households in the ‘gap’ between renting and buying). This analysis therefore brings together the data on household incomes with the estimated incomes required to access private sector housing. Additionally, different affordability tests are applied to different parts of the analysis depending on the group being studied (e.g. recognising that newly forming households are likely on average to have lower incomes than existing households).</w:t>
      </w:r>
    </w:p>
    <w:p w14:paraId="2794AD0C"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To assess affordability two different measures are used; firstly to consider what income levels are likely to be needed to access private rented housing (this establishes those households in need of social/affordable rented housing) and secondly to consider what income level is needed to access owner occupation (this, along with the first test helps to identify households in the ‘gap’ between renting and buying). This analysis therefore brings together the data on household incomes with the estimated incomes required to access private sector housing. Additionally, different affordability tests are applied to different parts of the analysis depending on the group being studied (e.g. recognising that newly forming households are likely on average to have lower incomes than existing households).</w:t>
      </w:r>
    </w:p>
    <w:p w14:paraId="0DBF643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A household is considered able to afford market rented housing in cases where the rent payable would constitute no more than a particular percentage of gross income. The choice of an appropriate threshold is an important aspect of the analysis – the PPG does not provide any guidance on this </w:t>
      </w:r>
      <w:r w:rsidRPr="00D556DB">
        <w:rPr>
          <w:rFonts w:ascii="Arial" w:hAnsi="Arial" w:cs="Arial"/>
        </w:rPr>
        <w:lastRenderedPageBreak/>
        <w:t xml:space="preserve">issue. CLG SHMA guidance prepared in 2007 suggested that 25% of income is a reasonable start point, it also noted that a different figure could be used depending on local housing costs. </w:t>
      </w:r>
    </w:p>
    <w:p w14:paraId="0274C7C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At £775 per calendar month, lower quartile rent levels in Chichester are typically above average in comparison to those seen nationally (a lower quartile rent of £565 for England in the year to March 2021). This would suggest that a proportion of income to be spent on housing could be higher than the bottom end of the range (the range starting from 25%). On balance, it is considered that a threshold of 30% is reasonable in a local context, to afford a £775 pcm rent this would imply a gross household income of about £31,000 (and in net terms the rent would likely be around 37% of income).</w:t>
      </w:r>
    </w:p>
    <w:p w14:paraId="55202A4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reality, many households may well spend a higher proportion of their income on housing and therefore would have less money for other living costs – for the purposes of this assessment these households would essentially be assumed as ideally having some form of subsidised rent so as to ensure a sufficient level of residual income.</w:t>
      </w:r>
    </w:p>
    <w:p w14:paraId="4E02C69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Generally, the income required to access owner-occupied housing is higher than that required to rent and so the analysis of the need for social/affordable rented housing is based on the ability to afford to access private rented housing. However, local house prices (and affordability) are important when looking at the need for affordable home ownership.</w:t>
      </w:r>
    </w:p>
    <w:p w14:paraId="5B89E67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For the purposes of this assessment, the income thresholds for owner-occupation assume a household has a 10% deposit and can secure a mortgage for four and a half times their salary. These assumptions are considered to be broadly in line with typical lending practices although it is recognised that there will be differences on a case-by-case basis.</w:t>
      </w:r>
    </w:p>
    <w:p w14:paraId="545C8D3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table below shows the estimated incomes required to both buy and rent (privately) in each sub-area. This shows a notable ‘gap’ in all areas across the study area, particularly locations with higher house prices. The information in the table below is taken forward into further analysis in this section to look at affordable needs in different locations.</w:t>
      </w:r>
    </w:p>
    <w:p w14:paraId="7DA1A90D" w14:textId="77777777" w:rsidR="00360825" w:rsidRPr="00D556DB" w:rsidRDefault="00360825" w:rsidP="001A7584">
      <w:pPr>
        <w:pStyle w:val="Heading4"/>
        <w:ind w:firstLine="0"/>
      </w:pPr>
      <w:r w:rsidRPr="00D556DB">
        <w:t>Estimated Household Income Required to Buy and Privately Rent by sub-area</w:t>
      </w:r>
    </w:p>
    <w:tbl>
      <w:tblPr>
        <w:tblStyle w:val="TableTheme"/>
        <w:tblW w:w="5000" w:type="pct"/>
        <w:tblInd w:w="0" w:type="dxa"/>
        <w:tblLook w:val="04A0" w:firstRow="1" w:lastRow="0" w:firstColumn="1" w:lastColumn="0" w:noHBand="0" w:noVBand="1"/>
      </w:tblPr>
      <w:tblGrid>
        <w:gridCol w:w="2194"/>
        <w:gridCol w:w="2194"/>
        <w:gridCol w:w="2194"/>
        <w:gridCol w:w="2195"/>
      </w:tblGrid>
      <w:tr w:rsidR="00360825" w:rsidRPr="00DE1AA1" w14:paraId="6DA02419"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3DDF5B86" w14:textId="77777777" w:rsidR="00360825" w:rsidRPr="00D556DB" w:rsidRDefault="00360825" w:rsidP="00C04569">
            <w:pPr>
              <w:keepNext/>
              <w:spacing w:before="60" w:after="60" w:line="300" w:lineRule="auto"/>
              <w:jc w:val="left"/>
              <w:rPr>
                <w:rFonts w:ascii="Arial" w:hAnsi="Arial" w:cs="Arial"/>
                <w:bCs/>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C6EAA3"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To buy</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244994"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To rent (privately)</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9278EDB"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Income gap</w:t>
            </w:r>
          </w:p>
        </w:tc>
      </w:tr>
      <w:tr w:rsidR="00360825" w:rsidRPr="00DE1AA1" w14:paraId="532F8838"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3395CA4B"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47E78C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£54,000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2EC932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£28,600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8D7359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£25,400</w:t>
            </w:r>
          </w:p>
        </w:tc>
      </w:tr>
      <w:tr w:rsidR="00360825" w:rsidRPr="00DE1AA1" w14:paraId="68F4C403"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6189A62E"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8B92AB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£59,600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2A9BAC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£31,200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46F329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£28,400</w:t>
            </w:r>
          </w:p>
        </w:tc>
      </w:tr>
      <w:tr w:rsidR="00360825" w:rsidRPr="00DE1AA1" w14:paraId="11613C35"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11109C5B"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54B0CC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£59,200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6B36E1B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£29,600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337E5A7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£29,600</w:t>
            </w:r>
          </w:p>
        </w:tc>
      </w:tr>
      <w:tr w:rsidR="00360825" w:rsidRPr="00DE1AA1" w14:paraId="5F7F74B3"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5A4F80D7"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vAlign w:val="bottom"/>
            <w:hideMark/>
          </w:tcPr>
          <w:p w14:paraId="370E8BC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£90,800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4160D3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£42,800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1D04E2D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£48,000</w:t>
            </w:r>
          </w:p>
        </w:tc>
      </w:tr>
      <w:tr w:rsidR="00360825" w:rsidRPr="00DE1AA1" w14:paraId="16BC0212"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37ACD703"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CC15BB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£69,400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0E85C3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£34,800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D2670A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£34,600</w:t>
            </w:r>
          </w:p>
        </w:tc>
      </w:tr>
      <w:tr w:rsidR="00360825" w:rsidRPr="00DE1AA1" w14:paraId="7F0A6035"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45A832BF"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color w:val="000000"/>
              </w:rPr>
            </w:pPr>
            <w:r w:rsidRPr="00DE1AA1">
              <w:rPr>
                <w:rFonts w:ascii="Arial" w:hAnsi="Arial" w:cs="Arial"/>
                <w:color w:val="000000"/>
              </w:rPr>
              <w:t>District-wide</w:t>
            </w:r>
          </w:p>
        </w:tc>
        <w:tc>
          <w:tcPr>
            <w:tcW w:w="2194" w:type="dxa"/>
            <w:tcBorders>
              <w:top w:val="single" w:sz="4" w:space="0" w:color="auto"/>
              <w:left w:val="single" w:sz="4" w:space="0" w:color="auto"/>
              <w:bottom w:val="single" w:sz="4" w:space="0" w:color="auto"/>
              <w:right w:val="single" w:sz="4" w:space="0" w:color="auto"/>
            </w:tcBorders>
            <w:vAlign w:val="bottom"/>
            <w:hideMark/>
          </w:tcPr>
          <w:p w14:paraId="60AFAAC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£61,000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E380CA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£31,000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74B4E5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£30,000</w:t>
            </w:r>
          </w:p>
        </w:tc>
      </w:tr>
    </w:tbl>
    <w:p w14:paraId="4C19DF51"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Based on Housing Market Cost Analysis</w:t>
      </w:r>
    </w:p>
    <w:p w14:paraId="17990F41"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lastRenderedPageBreak/>
        <w:t>Need for Social/Affordable Rented Housing</w:t>
      </w:r>
    </w:p>
    <w:bookmarkEnd w:id="27"/>
    <w:p w14:paraId="65EAE88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sections below work through the various stages of analysis to estimate the need for social/affordable housing in the District and sub-areas. Final figures are provided as an annual need (including an allowance to deal with current need). As per 2a-024 of the PPG, this figure can then be compared with likely delivery of affordable housing.</w:t>
      </w:r>
    </w:p>
    <w:p w14:paraId="7FE6B065" w14:textId="77777777" w:rsidR="00360825" w:rsidRPr="00D556DB" w:rsidRDefault="00360825" w:rsidP="00360825">
      <w:pPr>
        <w:pStyle w:val="Heading3"/>
        <w:rPr>
          <w:rFonts w:ascii="Arial" w:hAnsi="Arial" w:cs="Arial"/>
        </w:rPr>
      </w:pPr>
      <w:r w:rsidRPr="00D556DB">
        <w:rPr>
          <w:rStyle w:val="Strong"/>
          <w:rFonts w:ascii="Arial" w:hAnsi="Arial" w:cs="Arial"/>
          <w:b/>
          <w:bCs w:val="0"/>
        </w:rPr>
        <w:t>Current Need</w:t>
      </w:r>
    </w:p>
    <w:p w14:paraId="500A057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line with PPG paragraph 2a-020</w:t>
      </w:r>
      <w:r w:rsidRPr="00D556DB">
        <w:rPr>
          <w:rFonts w:ascii="Arial" w:hAnsi="Arial" w:cs="Arial"/>
          <w:shd w:val="clear" w:color="auto" w:fill="FFFFFF"/>
        </w:rPr>
        <w:t>,</w:t>
      </w:r>
      <w:r w:rsidRPr="00D556DB">
        <w:rPr>
          <w:rFonts w:ascii="Arial" w:hAnsi="Arial" w:cs="Arial"/>
        </w:rPr>
        <w:t xml:space="preserve"> the current need for affordable housing has been based on considering the likely number of households with one or more housing problems. The table below sets out the categories in the PPG and the sources of data being used to establish numbers. The PPG also includes a category where households cannot afford to own despite it being their aspiration – this category is considered separately in this report (under the title of the need for affordable home ownership).</w:t>
      </w:r>
    </w:p>
    <w:p w14:paraId="2B812404" w14:textId="77777777" w:rsidR="00360825" w:rsidRPr="00D556DB" w:rsidRDefault="00360825" w:rsidP="001A7584">
      <w:pPr>
        <w:pStyle w:val="Heading4"/>
        <w:ind w:firstLine="0"/>
      </w:pPr>
      <w:r w:rsidRPr="00D556DB">
        <w:t>Main sources for assessing the current need for affordable housing</w:t>
      </w:r>
    </w:p>
    <w:tbl>
      <w:tblPr>
        <w:tblStyle w:val="TableTheme"/>
        <w:tblW w:w="5000" w:type="pct"/>
        <w:tblInd w:w="0" w:type="dxa"/>
        <w:tblLook w:val="04A0" w:firstRow="1" w:lastRow="0" w:firstColumn="1" w:lastColumn="0" w:noHBand="0" w:noVBand="1"/>
      </w:tblPr>
      <w:tblGrid>
        <w:gridCol w:w="2574"/>
        <w:gridCol w:w="2428"/>
        <w:gridCol w:w="3775"/>
      </w:tblGrid>
      <w:tr w:rsidR="00360825" w:rsidRPr="00DE1AA1" w14:paraId="39B4D6C2" w14:textId="77777777" w:rsidTr="00C04569">
        <w:trPr>
          <w:trHeight w:val="188"/>
        </w:trPr>
        <w:tc>
          <w:tcPr>
            <w:tcW w:w="2405" w:type="dxa"/>
            <w:tcBorders>
              <w:top w:val="single" w:sz="4" w:space="0" w:color="auto"/>
              <w:left w:val="single" w:sz="4" w:space="0" w:color="auto"/>
              <w:bottom w:val="single" w:sz="4" w:space="0" w:color="auto"/>
              <w:right w:val="single" w:sz="4" w:space="0" w:color="auto"/>
            </w:tcBorders>
            <w:shd w:val="clear" w:color="auto" w:fill="002060"/>
            <w:vAlign w:val="center"/>
          </w:tcPr>
          <w:p w14:paraId="144F6940" w14:textId="77777777" w:rsidR="00360825" w:rsidRPr="00DE1AA1" w:rsidRDefault="00360825" w:rsidP="00C04569">
            <w:pPr>
              <w:keepNext/>
              <w:spacing w:before="60" w:after="60" w:line="300" w:lineRule="auto"/>
              <w:jc w:val="left"/>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5856DC7" w14:textId="77777777" w:rsidR="00360825" w:rsidRPr="00DE1AA1" w:rsidRDefault="00360825" w:rsidP="00C04569">
            <w:pPr>
              <w:keepNext/>
              <w:spacing w:before="60" w:after="60" w:line="300" w:lineRule="auto"/>
              <w:jc w:val="left"/>
              <w:rPr>
                <w:rFonts w:ascii="Arial" w:hAnsi="Arial" w:cs="Arial"/>
              </w:rPr>
            </w:pPr>
            <w:r w:rsidRPr="00DE1AA1">
              <w:rPr>
                <w:rFonts w:ascii="Arial" w:hAnsi="Arial" w:cs="Arial"/>
              </w:rPr>
              <w:t>Source</w:t>
            </w:r>
          </w:p>
        </w:tc>
        <w:tc>
          <w:tcPr>
            <w:tcW w:w="35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AD1479B" w14:textId="77777777" w:rsidR="00360825" w:rsidRPr="00DE1AA1" w:rsidRDefault="00360825" w:rsidP="00C04569">
            <w:pPr>
              <w:keepNext/>
              <w:spacing w:before="60" w:after="60" w:line="300" w:lineRule="auto"/>
              <w:jc w:val="left"/>
              <w:rPr>
                <w:rFonts w:ascii="Arial" w:hAnsi="Arial" w:cs="Arial"/>
              </w:rPr>
            </w:pPr>
            <w:r w:rsidRPr="00DE1AA1">
              <w:rPr>
                <w:rFonts w:ascii="Arial" w:hAnsi="Arial" w:cs="Arial"/>
              </w:rPr>
              <w:t>Notes</w:t>
            </w:r>
          </w:p>
        </w:tc>
      </w:tr>
      <w:tr w:rsidR="00360825" w:rsidRPr="00DE1AA1" w14:paraId="24288D65" w14:textId="77777777" w:rsidTr="00C04569">
        <w:tc>
          <w:tcPr>
            <w:tcW w:w="2405" w:type="dxa"/>
            <w:tcBorders>
              <w:top w:val="single" w:sz="4" w:space="0" w:color="auto"/>
              <w:left w:val="single" w:sz="4" w:space="0" w:color="auto"/>
              <w:bottom w:val="single" w:sz="4" w:space="0" w:color="auto"/>
              <w:right w:val="single" w:sz="4" w:space="0" w:color="auto"/>
            </w:tcBorders>
            <w:vAlign w:val="center"/>
            <w:hideMark/>
          </w:tcPr>
          <w:p w14:paraId="699F94F5"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Homeless households (those in temporary accommodation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A227BF5"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MHCLG Statutory Homelessness data</w:t>
            </w:r>
          </w:p>
        </w:tc>
        <w:tc>
          <w:tcPr>
            <w:tcW w:w="3526" w:type="dxa"/>
            <w:tcBorders>
              <w:top w:val="single" w:sz="4" w:space="0" w:color="auto"/>
              <w:left w:val="single" w:sz="4" w:space="0" w:color="auto"/>
              <w:bottom w:val="single" w:sz="4" w:space="0" w:color="auto"/>
              <w:right w:val="single" w:sz="4" w:space="0" w:color="auto"/>
            </w:tcBorders>
            <w:vAlign w:val="center"/>
            <w:hideMark/>
          </w:tcPr>
          <w:p w14:paraId="07FA30A3"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Household in temporary accommodation at end of quarter.</w:t>
            </w:r>
          </w:p>
        </w:tc>
      </w:tr>
      <w:tr w:rsidR="00360825" w:rsidRPr="00DE1AA1" w14:paraId="5AA4A1F7" w14:textId="77777777" w:rsidTr="00C04569">
        <w:tc>
          <w:tcPr>
            <w:tcW w:w="2405" w:type="dxa"/>
            <w:tcBorders>
              <w:top w:val="single" w:sz="4" w:space="0" w:color="auto"/>
              <w:left w:val="single" w:sz="4" w:space="0" w:color="auto"/>
              <w:bottom w:val="single" w:sz="4" w:space="0" w:color="auto"/>
              <w:right w:val="single" w:sz="4" w:space="0" w:color="auto"/>
            </w:tcBorders>
            <w:vAlign w:val="center"/>
            <w:hideMark/>
          </w:tcPr>
          <w:p w14:paraId="42C52DAA"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Households in overcrowded housing</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175A1A9"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Census table LC4108EW</w:t>
            </w:r>
          </w:p>
        </w:tc>
        <w:tc>
          <w:tcPr>
            <w:tcW w:w="3526" w:type="dxa"/>
            <w:tcBorders>
              <w:top w:val="single" w:sz="4" w:space="0" w:color="auto"/>
              <w:left w:val="single" w:sz="4" w:space="0" w:color="auto"/>
              <w:bottom w:val="single" w:sz="4" w:space="0" w:color="auto"/>
              <w:right w:val="single" w:sz="4" w:space="0" w:color="auto"/>
            </w:tcBorders>
            <w:vAlign w:val="center"/>
            <w:hideMark/>
          </w:tcPr>
          <w:p w14:paraId="38C78E23"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Analysis undertaken by tenure and updated by reference to national changes (from the English Housing Survey (EHS))</w:t>
            </w:r>
          </w:p>
        </w:tc>
      </w:tr>
      <w:tr w:rsidR="00360825" w:rsidRPr="00DE1AA1" w14:paraId="72377C81" w14:textId="77777777" w:rsidTr="00C04569">
        <w:tc>
          <w:tcPr>
            <w:tcW w:w="2405" w:type="dxa"/>
            <w:tcBorders>
              <w:top w:val="single" w:sz="4" w:space="0" w:color="auto"/>
              <w:left w:val="single" w:sz="4" w:space="0" w:color="auto"/>
              <w:bottom w:val="single" w:sz="4" w:space="0" w:color="auto"/>
              <w:right w:val="single" w:sz="4" w:space="0" w:color="auto"/>
            </w:tcBorders>
            <w:vAlign w:val="center"/>
            <w:hideMark/>
          </w:tcPr>
          <w:p w14:paraId="78E664FB"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Concealed households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9BCF2BC"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Census table LC1110EW</w:t>
            </w:r>
          </w:p>
        </w:tc>
        <w:tc>
          <w:tcPr>
            <w:tcW w:w="3526" w:type="dxa"/>
            <w:tcBorders>
              <w:top w:val="single" w:sz="4" w:space="0" w:color="auto"/>
              <w:left w:val="single" w:sz="4" w:space="0" w:color="auto"/>
              <w:bottom w:val="single" w:sz="4" w:space="0" w:color="auto"/>
              <w:right w:val="single" w:sz="4" w:space="0" w:color="auto"/>
            </w:tcBorders>
            <w:vAlign w:val="center"/>
            <w:hideMark/>
          </w:tcPr>
          <w:p w14:paraId="20B8F263"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Number of concealed families</w:t>
            </w:r>
          </w:p>
        </w:tc>
      </w:tr>
      <w:tr w:rsidR="00360825" w:rsidRPr="00DE1AA1" w14:paraId="7DF83A7D" w14:textId="77777777" w:rsidTr="00C04569">
        <w:tc>
          <w:tcPr>
            <w:tcW w:w="2405" w:type="dxa"/>
            <w:tcBorders>
              <w:top w:val="single" w:sz="4" w:space="0" w:color="auto"/>
              <w:left w:val="single" w:sz="4" w:space="0" w:color="auto"/>
              <w:bottom w:val="single" w:sz="4" w:space="0" w:color="auto"/>
              <w:right w:val="single" w:sz="4" w:space="0" w:color="auto"/>
            </w:tcBorders>
            <w:vAlign w:val="center"/>
            <w:hideMark/>
          </w:tcPr>
          <w:p w14:paraId="55B05813"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Existing affordable housing tenants in need</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92FAA71"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Modelled data linking to past survey analysis</w:t>
            </w:r>
          </w:p>
        </w:tc>
        <w:tc>
          <w:tcPr>
            <w:tcW w:w="3526" w:type="dxa"/>
            <w:vMerge w:val="restart"/>
            <w:tcBorders>
              <w:top w:val="single" w:sz="4" w:space="0" w:color="auto"/>
              <w:left w:val="single" w:sz="4" w:space="0" w:color="auto"/>
              <w:bottom w:val="single" w:sz="4" w:space="0" w:color="auto"/>
              <w:right w:val="single" w:sz="4" w:space="0" w:color="auto"/>
            </w:tcBorders>
            <w:vAlign w:val="center"/>
            <w:hideMark/>
          </w:tcPr>
          <w:p w14:paraId="64AA8D36"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Excludes overcrowded households – tenure estimates updated by reference to the EHS</w:t>
            </w:r>
          </w:p>
        </w:tc>
      </w:tr>
      <w:tr w:rsidR="00360825" w:rsidRPr="00DE1AA1" w14:paraId="5C98142E" w14:textId="77777777" w:rsidTr="00C04569">
        <w:tc>
          <w:tcPr>
            <w:tcW w:w="2405" w:type="dxa"/>
            <w:tcBorders>
              <w:top w:val="single" w:sz="4" w:space="0" w:color="auto"/>
              <w:left w:val="single" w:sz="4" w:space="0" w:color="auto"/>
              <w:bottom w:val="single" w:sz="4" w:space="0" w:color="auto"/>
              <w:right w:val="single" w:sz="4" w:space="0" w:color="auto"/>
            </w:tcBorders>
            <w:vAlign w:val="center"/>
            <w:hideMark/>
          </w:tcPr>
          <w:p w14:paraId="36E8C080"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Households from other tenures in need</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A2DC857"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Modelled data linking to past survey analysis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6B8346" w14:textId="77777777" w:rsidR="00360825" w:rsidRPr="00DE1AA1" w:rsidRDefault="00360825" w:rsidP="00C04569">
            <w:pPr>
              <w:spacing w:after="0" w:line="240" w:lineRule="auto"/>
              <w:jc w:val="left"/>
              <w:rPr>
                <w:rFonts w:ascii="Arial" w:hAnsi="Arial" w:cs="Arial"/>
              </w:rPr>
            </w:pPr>
          </w:p>
        </w:tc>
      </w:tr>
    </w:tbl>
    <w:p w14:paraId="514B1D4C" w14:textId="77777777" w:rsidR="00360825" w:rsidRPr="00DE1AA1" w:rsidRDefault="00360825" w:rsidP="00360825">
      <w:pPr>
        <w:pStyle w:val="11Bodytext"/>
        <w:widowControl w:val="0"/>
        <w:tabs>
          <w:tab w:val="clear" w:pos="794"/>
          <w:tab w:val="left" w:pos="720"/>
        </w:tabs>
        <w:spacing w:before="0" w:after="360" w:line="300" w:lineRule="auto"/>
        <w:ind w:left="0" w:firstLine="0"/>
        <w:rPr>
          <w:i/>
          <w:iCs/>
          <w:color w:val="auto"/>
          <w:sz w:val="16"/>
          <w:szCs w:val="16"/>
        </w:rPr>
      </w:pPr>
      <w:r w:rsidRPr="00DE1AA1">
        <w:rPr>
          <w:i/>
          <w:iCs/>
          <w:color w:val="auto"/>
          <w:sz w:val="16"/>
          <w:szCs w:val="16"/>
        </w:rPr>
        <w:t>Source: PPG [2a-020]</w:t>
      </w:r>
    </w:p>
    <w:p w14:paraId="49AFDEB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It should be noted that there may be some overlap between categories (such as overcrowding and concealed households, whereby the overcrowding would be remedied if the concealed household moved). The data available does not enable analysis to be undertaken to study the impact of this and so it is possible that the figures presented include a small element of double counting (although this is likely to be small). Additionally, some of the concealed households may be older people who have moved back in with their families and might not be considered as in need.</w:t>
      </w:r>
    </w:p>
    <w:p w14:paraId="7B00518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table below shows the initial estimate of the number of households within each sub-area with a current housing need. These figures are before any ‘affordability test’ has been applied to assess the ability of households to meet their own housing needs; and has been termed ‘the number of </w:t>
      </w:r>
      <w:r w:rsidRPr="00D556DB">
        <w:rPr>
          <w:rFonts w:ascii="Arial" w:hAnsi="Arial" w:cs="Arial"/>
        </w:rPr>
        <w:lastRenderedPageBreak/>
        <w:t>households in unsuitable housing.’ Overall, the analysis estimates that there are currently some 3,300 households living in unsuitable housing (or without housing).</w:t>
      </w:r>
    </w:p>
    <w:p w14:paraId="564548BE" w14:textId="77777777" w:rsidR="00360825" w:rsidRPr="00D556DB" w:rsidRDefault="00360825" w:rsidP="001A7584">
      <w:pPr>
        <w:pStyle w:val="Heading4"/>
        <w:ind w:firstLine="0"/>
      </w:pPr>
      <w:r w:rsidRPr="00D556DB">
        <w:t>Estimated Number of Households Living in Unsuitable Housing</w:t>
      </w:r>
    </w:p>
    <w:tbl>
      <w:tblPr>
        <w:tblStyle w:val="TableTheme"/>
        <w:tblW w:w="5000" w:type="pct"/>
        <w:tblInd w:w="0" w:type="dxa"/>
        <w:tblLayout w:type="fixed"/>
        <w:tblLook w:val="04A0" w:firstRow="1" w:lastRow="0" w:firstColumn="1" w:lastColumn="0" w:noHBand="0" w:noVBand="1"/>
      </w:tblPr>
      <w:tblGrid>
        <w:gridCol w:w="1980"/>
        <w:gridCol w:w="1359"/>
        <w:gridCol w:w="1359"/>
        <w:gridCol w:w="1360"/>
        <w:gridCol w:w="1359"/>
        <w:gridCol w:w="1360"/>
      </w:tblGrid>
      <w:tr w:rsidR="00360825" w:rsidRPr="00DE1AA1" w14:paraId="5C3B0D04" w14:textId="77777777" w:rsidTr="00C04569">
        <w:tc>
          <w:tcPr>
            <w:tcW w:w="1980" w:type="dxa"/>
            <w:tcBorders>
              <w:top w:val="single" w:sz="4" w:space="0" w:color="auto"/>
              <w:left w:val="single" w:sz="4" w:space="0" w:color="auto"/>
              <w:bottom w:val="single" w:sz="4" w:space="0" w:color="auto"/>
              <w:right w:val="single" w:sz="4" w:space="0" w:color="auto"/>
            </w:tcBorders>
            <w:shd w:val="clear" w:color="auto" w:fill="002060"/>
          </w:tcPr>
          <w:p w14:paraId="3B04759E" w14:textId="77777777" w:rsidR="00360825" w:rsidRPr="00D556DB" w:rsidRDefault="00360825" w:rsidP="00C04569">
            <w:pPr>
              <w:keepNext/>
              <w:spacing w:after="0" w:line="240" w:lineRule="auto"/>
              <w:jc w:val="left"/>
              <w:rPr>
                <w:rFonts w:ascii="Arial" w:hAnsi="Arial" w:cs="Arial"/>
              </w:rPr>
            </w:pPr>
          </w:p>
        </w:tc>
        <w:tc>
          <w:tcPr>
            <w:tcW w:w="13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210B0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Homeless/ concealed households</w:t>
            </w:r>
          </w:p>
        </w:tc>
        <w:tc>
          <w:tcPr>
            <w:tcW w:w="13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FB0390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 xml:space="preserve">Households in </w:t>
            </w:r>
            <w:r w:rsidRPr="00E0137A">
              <w:rPr>
                <w:rFonts w:ascii="Arial Narrow" w:hAnsi="Arial Narrow" w:cs="Arial"/>
              </w:rPr>
              <w:t>overcrowded</w:t>
            </w:r>
            <w:r w:rsidRPr="00D556DB">
              <w:rPr>
                <w:rFonts w:ascii="Arial" w:hAnsi="Arial" w:cs="Arial"/>
              </w:rPr>
              <w:t xml:space="preserve"> housing</w:t>
            </w:r>
          </w:p>
        </w:tc>
        <w:tc>
          <w:tcPr>
            <w:tcW w:w="13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895BB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Existing affordable housing tenants in need</w:t>
            </w:r>
          </w:p>
        </w:tc>
        <w:tc>
          <w:tcPr>
            <w:tcW w:w="13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E90A44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Households from other tenures in need</w:t>
            </w:r>
          </w:p>
        </w:tc>
        <w:tc>
          <w:tcPr>
            <w:tcW w:w="13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DFBB42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w:t>
            </w:r>
          </w:p>
        </w:tc>
      </w:tr>
      <w:tr w:rsidR="00360825" w:rsidRPr="00DE1AA1" w14:paraId="3880F4B0"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606F2BE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Chichester City</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3F4AB9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105</w:t>
            </w:r>
          </w:p>
        </w:tc>
        <w:tc>
          <w:tcPr>
            <w:tcW w:w="1359" w:type="dxa"/>
            <w:tcBorders>
              <w:top w:val="single" w:sz="4" w:space="0" w:color="auto"/>
              <w:left w:val="single" w:sz="4" w:space="0" w:color="auto"/>
              <w:bottom w:val="single" w:sz="4" w:space="0" w:color="auto"/>
              <w:right w:val="single" w:sz="4" w:space="0" w:color="auto"/>
            </w:tcBorders>
            <w:vAlign w:val="bottom"/>
            <w:hideMark/>
          </w:tcPr>
          <w:p w14:paraId="7C66A14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581</w:t>
            </w:r>
          </w:p>
        </w:tc>
        <w:tc>
          <w:tcPr>
            <w:tcW w:w="1360" w:type="dxa"/>
            <w:tcBorders>
              <w:top w:val="single" w:sz="4" w:space="0" w:color="auto"/>
              <w:left w:val="single" w:sz="4" w:space="0" w:color="auto"/>
              <w:bottom w:val="single" w:sz="4" w:space="0" w:color="auto"/>
              <w:right w:val="single" w:sz="4" w:space="0" w:color="auto"/>
            </w:tcBorders>
            <w:vAlign w:val="bottom"/>
            <w:hideMark/>
          </w:tcPr>
          <w:p w14:paraId="0847200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63</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BA5702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329</w:t>
            </w:r>
          </w:p>
        </w:tc>
        <w:tc>
          <w:tcPr>
            <w:tcW w:w="1360" w:type="dxa"/>
            <w:tcBorders>
              <w:top w:val="single" w:sz="4" w:space="0" w:color="auto"/>
              <w:left w:val="single" w:sz="4" w:space="0" w:color="auto"/>
              <w:bottom w:val="single" w:sz="4" w:space="0" w:color="auto"/>
              <w:right w:val="single" w:sz="4" w:space="0" w:color="auto"/>
            </w:tcBorders>
            <w:vAlign w:val="bottom"/>
            <w:hideMark/>
          </w:tcPr>
          <w:p w14:paraId="04CC9BC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1,078</w:t>
            </w:r>
          </w:p>
        </w:tc>
      </w:tr>
      <w:tr w:rsidR="00360825" w:rsidRPr="00DE1AA1" w14:paraId="15C02DD0"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4637E42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1359" w:type="dxa"/>
            <w:tcBorders>
              <w:top w:val="single" w:sz="4" w:space="0" w:color="auto"/>
              <w:left w:val="single" w:sz="4" w:space="0" w:color="auto"/>
              <w:bottom w:val="single" w:sz="4" w:space="0" w:color="auto"/>
              <w:right w:val="single" w:sz="4" w:space="0" w:color="auto"/>
            </w:tcBorders>
            <w:vAlign w:val="bottom"/>
            <w:hideMark/>
          </w:tcPr>
          <w:p w14:paraId="693841F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103</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E47C1D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240</w:t>
            </w:r>
          </w:p>
        </w:tc>
        <w:tc>
          <w:tcPr>
            <w:tcW w:w="1360" w:type="dxa"/>
            <w:tcBorders>
              <w:top w:val="single" w:sz="4" w:space="0" w:color="auto"/>
              <w:left w:val="single" w:sz="4" w:space="0" w:color="auto"/>
              <w:bottom w:val="single" w:sz="4" w:space="0" w:color="auto"/>
              <w:right w:val="single" w:sz="4" w:space="0" w:color="auto"/>
            </w:tcBorders>
            <w:vAlign w:val="bottom"/>
            <w:hideMark/>
          </w:tcPr>
          <w:p w14:paraId="11E3A9B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25</w:t>
            </w:r>
          </w:p>
        </w:tc>
        <w:tc>
          <w:tcPr>
            <w:tcW w:w="1359" w:type="dxa"/>
            <w:tcBorders>
              <w:top w:val="single" w:sz="4" w:space="0" w:color="auto"/>
              <w:left w:val="single" w:sz="4" w:space="0" w:color="auto"/>
              <w:bottom w:val="single" w:sz="4" w:space="0" w:color="auto"/>
              <w:right w:val="single" w:sz="4" w:space="0" w:color="auto"/>
            </w:tcBorders>
            <w:vAlign w:val="bottom"/>
            <w:hideMark/>
          </w:tcPr>
          <w:p w14:paraId="65F2F1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214</w:t>
            </w:r>
          </w:p>
        </w:tc>
        <w:tc>
          <w:tcPr>
            <w:tcW w:w="1360" w:type="dxa"/>
            <w:tcBorders>
              <w:top w:val="single" w:sz="4" w:space="0" w:color="auto"/>
              <w:left w:val="single" w:sz="4" w:space="0" w:color="auto"/>
              <w:bottom w:val="single" w:sz="4" w:space="0" w:color="auto"/>
              <w:right w:val="single" w:sz="4" w:space="0" w:color="auto"/>
            </w:tcBorders>
            <w:vAlign w:val="bottom"/>
            <w:hideMark/>
          </w:tcPr>
          <w:p w14:paraId="3428A14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582</w:t>
            </w:r>
          </w:p>
        </w:tc>
      </w:tr>
      <w:tr w:rsidR="00360825" w:rsidRPr="00DE1AA1" w14:paraId="66DA152C"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08AA323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1359" w:type="dxa"/>
            <w:tcBorders>
              <w:top w:val="single" w:sz="4" w:space="0" w:color="auto"/>
              <w:left w:val="single" w:sz="4" w:space="0" w:color="auto"/>
              <w:bottom w:val="single" w:sz="4" w:space="0" w:color="auto"/>
              <w:right w:val="single" w:sz="4" w:space="0" w:color="auto"/>
            </w:tcBorders>
            <w:vAlign w:val="bottom"/>
            <w:hideMark/>
          </w:tcPr>
          <w:p w14:paraId="0454736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155</w:t>
            </w:r>
          </w:p>
        </w:tc>
        <w:tc>
          <w:tcPr>
            <w:tcW w:w="1359" w:type="dxa"/>
            <w:tcBorders>
              <w:top w:val="single" w:sz="4" w:space="0" w:color="auto"/>
              <w:left w:val="single" w:sz="4" w:space="0" w:color="auto"/>
              <w:bottom w:val="single" w:sz="4" w:space="0" w:color="auto"/>
              <w:right w:val="single" w:sz="4" w:space="0" w:color="auto"/>
            </w:tcBorders>
            <w:vAlign w:val="bottom"/>
            <w:hideMark/>
          </w:tcPr>
          <w:p w14:paraId="36DBAB4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299</w:t>
            </w:r>
          </w:p>
        </w:tc>
        <w:tc>
          <w:tcPr>
            <w:tcW w:w="1360" w:type="dxa"/>
            <w:tcBorders>
              <w:top w:val="single" w:sz="4" w:space="0" w:color="auto"/>
              <w:left w:val="single" w:sz="4" w:space="0" w:color="auto"/>
              <w:bottom w:val="single" w:sz="4" w:space="0" w:color="auto"/>
              <w:right w:val="single" w:sz="4" w:space="0" w:color="auto"/>
            </w:tcBorders>
            <w:vAlign w:val="bottom"/>
            <w:hideMark/>
          </w:tcPr>
          <w:p w14:paraId="2445B3F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24</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116761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259</w:t>
            </w:r>
          </w:p>
        </w:tc>
        <w:tc>
          <w:tcPr>
            <w:tcW w:w="1360" w:type="dxa"/>
            <w:tcBorders>
              <w:top w:val="single" w:sz="4" w:space="0" w:color="auto"/>
              <w:left w:val="single" w:sz="4" w:space="0" w:color="auto"/>
              <w:bottom w:val="single" w:sz="4" w:space="0" w:color="auto"/>
              <w:right w:val="single" w:sz="4" w:space="0" w:color="auto"/>
            </w:tcBorders>
            <w:vAlign w:val="bottom"/>
            <w:hideMark/>
          </w:tcPr>
          <w:p w14:paraId="75BCCB8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736</w:t>
            </w:r>
          </w:p>
        </w:tc>
      </w:tr>
      <w:tr w:rsidR="00360825" w:rsidRPr="00DE1AA1" w14:paraId="17C46351"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576B2C4C"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1359" w:type="dxa"/>
            <w:tcBorders>
              <w:top w:val="single" w:sz="4" w:space="0" w:color="auto"/>
              <w:left w:val="single" w:sz="4" w:space="0" w:color="auto"/>
              <w:bottom w:val="single" w:sz="4" w:space="0" w:color="auto"/>
              <w:right w:val="single" w:sz="4" w:space="0" w:color="auto"/>
            </w:tcBorders>
            <w:vAlign w:val="bottom"/>
            <w:hideMark/>
          </w:tcPr>
          <w:p w14:paraId="458F4E5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32</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5BDBE5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50</w:t>
            </w:r>
          </w:p>
        </w:tc>
        <w:tc>
          <w:tcPr>
            <w:tcW w:w="1360" w:type="dxa"/>
            <w:tcBorders>
              <w:top w:val="single" w:sz="4" w:space="0" w:color="auto"/>
              <w:left w:val="single" w:sz="4" w:space="0" w:color="auto"/>
              <w:bottom w:val="single" w:sz="4" w:space="0" w:color="auto"/>
              <w:right w:val="single" w:sz="4" w:space="0" w:color="auto"/>
            </w:tcBorders>
            <w:vAlign w:val="bottom"/>
            <w:hideMark/>
          </w:tcPr>
          <w:p w14:paraId="7B3CF6A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w:t>
            </w:r>
          </w:p>
        </w:tc>
        <w:tc>
          <w:tcPr>
            <w:tcW w:w="1359" w:type="dxa"/>
            <w:tcBorders>
              <w:top w:val="single" w:sz="4" w:space="0" w:color="auto"/>
              <w:left w:val="single" w:sz="4" w:space="0" w:color="auto"/>
              <w:bottom w:val="single" w:sz="4" w:space="0" w:color="auto"/>
              <w:right w:val="single" w:sz="4" w:space="0" w:color="auto"/>
            </w:tcBorders>
            <w:vAlign w:val="bottom"/>
            <w:hideMark/>
          </w:tcPr>
          <w:p w14:paraId="6CCF9B6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63</w:t>
            </w:r>
          </w:p>
        </w:tc>
        <w:tc>
          <w:tcPr>
            <w:tcW w:w="1360" w:type="dxa"/>
            <w:tcBorders>
              <w:top w:val="single" w:sz="4" w:space="0" w:color="auto"/>
              <w:left w:val="single" w:sz="4" w:space="0" w:color="auto"/>
              <w:bottom w:val="single" w:sz="4" w:space="0" w:color="auto"/>
              <w:right w:val="single" w:sz="4" w:space="0" w:color="auto"/>
            </w:tcBorders>
            <w:vAlign w:val="bottom"/>
            <w:hideMark/>
          </w:tcPr>
          <w:p w14:paraId="738A329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151</w:t>
            </w:r>
          </w:p>
        </w:tc>
      </w:tr>
      <w:tr w:rsidR="00360825" w:rsidRPr="00DE1AA1" w14:paraId="6EAACA89"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6422C967"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595705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90</w:t>
            </w:r>
          </w:p>
        </w:tc>
        <w:tc>
          <w:tcPr>
            <w:tcW w:w="1359" w:type="dxa"/>
            <w:tcBorders>
              <w:top w:val="single" w:sz="4" w:space="0" w:color="auto"/>
              <w:left w:val="single" w:sz="4" w:space="0" w:color="auto"/>
              <w:bottom w:val="single" w:sz="4" w:space="0" w:color="auto"/>
              <w:right w:val="single" w:sz="4" w:space="0" w:color="auto"/>
            </w:tcBorders>
            <w:vAlign w:val="bottom"/>
            <w:hideMark/>
          </w:tcPr>
          <w:p w14:paraId="7103F0C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277</w:t>
            </w:r>
          </w:p>
        </w:tc>
        <w:tc>
          <w:tcPr>
            <w:tcW w:w="1360" w:type="dxa"/>
            <w:tcBorders>
              <w:top w:val="single" w:sz="4" w:space="0" w:color="auto"/>
              <w:left w:val="single" w:sz="4" w:space="0" w:color="auto"/>
              <w:bottom w:val="single" w:sz="4" w:space="0" w:color="auto"/>
              <w:right w:val="single" w:sz="4" w:space="0" w:color="auto"/>
            </w:tcBorders>
            <w:vAlign w:val="bottom"/>
            <w:hideMark/>
          </w:tcPr>
          <w:p w14:paraId="3F39ECF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49</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C43DF2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339</w:t>
            </w:r>
          </w:p>
        </w:tc>
        <w:tc>
          <w:tcPr>
            <w:tcW w:w="1360" w:type="dxa"/>
            <w:tcBorders>
              <w:top w:val="single" w:sz="4" w:space="0" w:color="auto"/>
              <w:left w:val="single" w:sz="4" w:space="0" w:color="auto"/>
              <w:bottom w:val="single" w:sz="4" w:space="0" w:color="auto"/>
              <w:right w:val="single" w:sz="4" w:space="0" w:color="auto"/>
            </w:tcBorders>
            <w:vAlign w:val="bottom"/>
            <w:hideMark/>
          </w:tcPr>
          <w:p w14:paraId="42D4897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755</w:t>
            </w:r>
          </w:p>
        </w:tc>
      </w:tr>
      <w:tr w:rsidR="00360825" w:rsidRPr="00DE1AA1" w14:paraId="4F66C225" w14:textId="77777777" w:rsidTr="00C04569">
        <w:tc>
          <w:tcPr>
            <w:tcW w:w="1980" w:type="dxa"/>
            <w:tcBorders>
              <w:top w:val="single" w:sz="4" w:space="0" w:color="auto"/>
              <w:left w:val="single" w:sz="4" w:space="0" w:color="auto"/>
              <w:bottom w:val="single" w:sz="4" w:space="0" w:color="auto"/>
              <w:right w:val="single" w:sz="4" w:space="0" w:color="auto"/>
            </w:tcBorders>
            <w:hideMark/>
          </w:tcPr>
          <w:p w14:paraId="2928D2F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1359" w:type="dxa"/>
            <w:tcBorders>
              <w:top w:val="single" w:sz="4" w:space="0" w:color="auto"/>
              <w:left w:val="single" w:sz="4" w:space="0" w:color="auto"/>
              <w:bottom w:val="single" w:sz="4" w:space="0" w:color="auto"/>
              <w:right w:val="single" w:sz="4" w:space="0" w:color="auto"/>
            </w:tcBorders>
            <w:vAlign w:val="bottom"/>
            <w:hideMark/>
          </w:tcPr>
          <w:p w14:paraId="1E324ED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485</w:t>
            </w:r>
          </w:p>
        </w:tc>
        <w:tc>
          <w:tcPr>
            <w:tcW w:w="1359" w:type="dxa"/>
            <w:tcBorders>
              <w:top w:val="single" w:sz="4" w:space="0" w:color="auto"/>
              <w:left w:val="single" w:sz="4" w:space="0" w:color="auto"/>
              <w:bottom w:val="single" w:sz="4" w:space="0" w:color="auto"/>
              <w:right w:val="single" w:sz="4" w:space="0" w:color="auto"/>
            </w:tcBorders>
            <w:vAlign w:val="bottom"/>
            <w:hideMark/>
          </w:tcPr>
          <w:p w14:paraId="0B0719F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1,446</w:t>
            </w:r>
          </w:p>
        </w:tc>
        <w:tc>
          <w:tcPr>
            <w:tcW w:w="1360" w:type="dxa"/>
            <w:tcBorders>
              <w:top w:val="single" w:sz="4" w:space="0" w:color="auto"/>
              <w:left w:val="single" w:sz="4" w:space="0" w:color="auto"/>
              <w:bottom w:val="single" w:sz="4" w:space="0" w:color="auto"/>
              <w:right w:val="single" w:sz="4" w:space="0" w:color="auto"/>
            </w:tcBorders>
            <w:vAlign w:val="bottom"/>
            <w:hideMark/>
          </w:tcPr>
          <w:p w14:paraId="2A7B273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167.7216</w:t>
            </w:r>
          </w:p>
        </w:tc>
        <w:tc>
          <w:tcPr>
            <w:tcW w:w="1359" w:type="dxa"/>
            <w:tcBorders>
              <w:top w:val="single" w:sz="4" w:space="0" w:color="auto"/>
              <w:left w:val="single" w:sz="4" w:space="0" w:color="auto"/>
              <w:bottom w:val="single" w:sz="4" w:space="0" w:color="auto"/>
              <w:right w:val="single" w:sz="4" w:space="0" w:color="auto"/>
            </w:tcBorders>
            <w:vAlign w:val="bottom"/>
            <w:hideMark/>
          </w:tcPr>
          <w:p w14:paraId="519C3BB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1,204</w:t>
            </w:r>
          </w:p>
        </w:tc>
        <w:tc>
          <w:tcPr>
            <w:tcW w:w="1360" w:type="dxa"/>
            <w:tcBorders>
              <w:top w:val="single" w:sz="4" w:space="0" w:color="auto"/>
              <w:left w:val="single" w:sz="4" w:space="0" w:color="auto"/>
              <w:bottom w:val="single" w:sz="4" w:space="0" w:color="auto"/>
              <w:right w:val="single" w:sz="4" w:space="0" w:color="auto"/>
            </w:tcBorders>
            <w:vAlign w:val="bottom"/>
            <w:hideMark/>
          </w:tcPr>
          <w:p w14:paraId="71AB303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3,302</w:t>
            </w:r>
          </w:p>
        </w:tc>
      </w:tr>
    </w:tbl>
    <w:p w14:paraId="3432D697"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MHCLG Live Tables, Census 2011 and Data Modelling</w:t>
      </w:r>
    </w:p>
    <w:p w14:paraId="1D5F2DD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taking this estimate forward, the data modelling next estimates housing unsuitability by tenure. From the overall number in unsuitable housing, households living in affordable housing are excluded (as these households would release a dwelling on moving and so no net need for affordable housing will arise). The analysis also excludes 90% of owner-occupiers under the assumption (which is supported by analysis of survey data) that the vast majority will be able to afford housing once savings and equity are taken into account.</w:t>
      </w:r>
    </w:p>
    <w:p w14:paraId="676E091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 final adjustment is to slightly reduce the unsuitability figures in the private rented sector to take account of student-only households (only really an issue in Chichester) – such households could technically be overcrowded/living in unsuitable housing but would be unlikely to be allocated affordable housing (student needs are essentially assumed to be transient). Once these households are removed from the analysis, the remainder are taken forward for affordability testing.</w:t>
      </w:r>
    </w:p>
    <w:p w14:paraId="035F807D"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tables below show it is estimated that there are around 1,800 households living in unsuitable housing (excluding current social tenants and the majority of owner-occupiers) in Chichester.</w:t>
      </w:r>
    </w:p>
    <w:p w14:paraId="01D0F9AE" w14:textId="77777777" w:rsidR="00360825" w:rsidRPr="00D556DB" w:rsidRDefault="00360825" w:rsidP="001A7584">
      <w:pPr>
        <w:pStyle w:val="Heading4"/>
        <w:ind w:firstLine="0"/>
      </w:pPr>
      <w:r w:rsidRPr="00D556DB">
        <w:t>Unsuitable Housing by Tenure and Number to Take Forward into Affordability Modelling (Chichester)</w:t>
      </w:r>
    </w:p>
    <w:tbl>
      <w:tblPr>
        <w:tblStyle w:val="TableTheme"/>
        <w:tblW w:w="5000" w:type="pct"/>
        <w:tblInd w:w="0" w:type="dxa"/>
        <w:tblLook w:val="04A0" w:firstRow="1" w:lastRow="0" w:firstColumn="1" w:lastColumn="0" w:noHBand="0" w:noVBand="1"/>
      </w:tblPr>
      <w:tblGrid>
        <w:gridCol w:w="3486"/>
        <w:gridCol w:w="2645"/>
        <w:gridCol w:w="2646"/>
      </w:tblGrid>
      <w:tr w:rsidR="00360825" w:rsidRPr="00DE1AA1" w14:paraId="7FD04873" w14:textId="77777777" w:rsidTr="00C04569">
        <w:tc>
          <w:tcPr>
            <w:tcW w:w="3486" w:type="dxa"/>
            <w:tcBorders>
              <w:top w:val="single" w:sz="4" w:space="0" w:color="auto"/>
              <w:left w:val="single" w:sz="4" w:space="0" w:color="auto"/>
              <w:bottom w:val="single" w:sz="4" w:space="0" w:color="auto"/>
              <w:right w:val="single" w:sz="4" w:space="0" w:color="auto"/>
            </w:tcBorders>
            <w:shd w:val="clear" w:color="auto" w:fill="002060"/>
          </w:tcPr>
          <w:p w14:paraId="49073983" w14:textId="77777777" w:rsidR="00360825" w:rsidRPr="00D556DB" w:rsidRDefault="00360825" w:rsidP="00C04569">
            <w:pPr>
              <w:keepNext/>
              <w:spacing w:after="0" w:line="240" w:lineRule="auto"/>
              <w:jc w:val="left"/>
              <w:rPr>
                <w:rFonts w:ascii="Arial" w:hAnsi="Arial" w:cs="Arial"/>
                <w:bCs/>
              </w:rPr>
            </w:pPr>
          </w:p>
        </w:tc>
        <w:tc>
          <w:tcPr>
            <w:tcW w:w="264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36445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In Unsuitable Housing</w:t>
            </w:r>
          </w:p>
        </w:tc>
        <w:tc>
          <w:tcPr>
            <w:tcW w:w="26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E9723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Number to Take Forward for Affordability Testing</w:t>
            </w:r>
          </w:p>
        </w:tc>
      </w:tr>
      <w:tr w:rsidR="00360825" w:rsidRPr="00DE1AA1" w14:paraId="61B0F284" w14:textId="77777777" w:rsidTr="00C04569">
        <w:tc>
          <w:tcPr>
            <w:tcW w:w="3486" w:type="dxa"/>
            <w:tcBorders>
              <w:top w:val="single" w:sz="4" w:space="0" w:color="auto"/>
              <w:left w:val="single" w:sz="4" w:space="0" w:color="auto"/>
              <w:bottom w:val="single" w:sz="4" w:space="0" w:color="auto"/>
              <w:right w:val="single" w:sz="4" w:space="0" w:color="auto"/>
            </w:tcBorders>
            <w:hideMark/>
          </w:tcPr>
          <w:p w14:paraId="74787044"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Owner-occupied</w:t>
            </w:r>
          </w:p>
        </w:tc>
        <w:tc>
          <w:tcPr>
            <w:tcW w:w="2645" w:type="dxa"/>
            <w:tcBorders>
              <w:top w:val="single" w:sz="4" w:space="0" w:color="auto"/>
              <w:left w:val="single" w:sz="4" w:space="0" w:color="auto"/>
              <w:bottom w:val="single" w:sz="4" w:space="0" w:color="auto"/>
              <w:right w:val="single" w:sz="4" w:space="0" w:color="auto"/>
            </w:tcBorders>
            <w:vAlign w:val="bottom"/>
            <w:hideMark/>
          </w:tcPr>
          <w:p w14:paraId="4B77D0B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734</w:t>
            </w:r>
          </w:p>
        </w:tc>
        <w:tc>
          <w:tcPr>
            <w:tcW w:w="2646" w:type="dxa"/>
            <w:tcBorders>
              <w:top w:val="single" w:sz="4" w:space="0" w:color="auto"/>
              <w:left w:val="single" w:sz="4" w:space="0" w:color="auto"/>
              <w:bottom w:val="single" w:sz="4" w:space="0" w:color="auto"/>
              <w:right w:val="single" w:sz="4" w:space="0" w:color="auto"/>
            </w:tcBorders>
            <w:vAlign w:val="bottom"/>
            <w:hideMark/>
          </w:tcPr>
          <w:p w14:paraId="4E8F11F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73</w:t>
            </w:r>
          </w:p>
        </w:tc>
      </w:tr>
      <w:tr w:rsidR="00360825" w:rsidRPr="00DE1AA1" w14:paraId="18B0A073" w14:textId="77777777" w:rsidTr="00C04569">
        <w:tc>
          <w:tcPr>
            <w:tcW w:w="3486" w:type="dxa"/>
            <w:tcBorders>
              <w:top w:val="single" w:sz="4" w:space="0" w:color="auto"/>
              <w:left w:val="single" w:sz="4" w:space="0" w:color="auto"/>
              <w:bottom w:val="single" w:sz="4" w:space="0" w:color="auto"/>
              <w:right w:val="single" w:sz="4" w:space="0" w:color="auto"/>
            </w:tcBorders>
            <w:hideMark/>
          </w:tcPr>
          <w:p w14:paraId="5C549E3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Affordable housing</w:t>
            </w:r>
          </w:p>
        </w:tc>
        <w:tc>
          <w:tcPr>
            <w:tcW w:w="2645" w:type="dxa"/>
            <w:tcBorders>
              <w:top w:val="single" w:sz="4" w:space="0" w:color="auto"/>
              <w:left w:val="single" w:sz="4" w:space="0" w:color="auto"/>
              <w:bottom w:val="single" w:sz="4" w:space="0" w:color="auto"/>
              <w:right w:val="single" w:sz="4" w:space="0" w:color="auto"/>
            </w:tcBorders>
            <w:vAlign w:val="bottom"/>
            <w:hideMark/>
          </w:tcPr>
          <w:p w14:paraId="3546DC9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789</w:t>
            </w:r>
          </w:p>
        </w:tc>
        <w:tc>
          <w:tcPr>
            <w:tcW w:w="2646" w:type="dxa"/>
            <w:tcBorders>
              <w:top w:val="single" w:sz="4" w:space="0" w:color="auto"/>
              <w:left w:val="single" w:sz="4" w:space="0" w:color="auto"/>
              <w:bottom w:val="single" w:sz="4" w:space="0" w:color="auto"/>
              <w:right w:val="single" w:sz="4" w:space="0" w:color="auto"/>
            </w:tcBorders>
            <w:vAlign w:val="bottom"/>
            <w:hideMark/>
          </w:tcPr>
          <w:p w14:paraId="7A89EF5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0</w:t>
            </w:r>
          </w:p>
        </w:tc>
      </w:tr>
      <w:tr w:rsidR="00360825" w:rsidRPr="00DE1AA1" w14:paraId="142C158D" w14:textId="77777777" w:rsidTr="00C04569">
        <w:tc>
          <w:tcPr>
            <w:tcW w:w="3486" w:type="dxa"/>
            <w:tcBorders>
              <w:top w:val="single" w:sz="4" w:space="0" w:color="auto"/>
              <w:left w:val="single" w:sz="4" w:space="0" w:color="auto"/>
              <w:bottom w:val="single" w:sz="4" w:space="0" w:color="auto"/>
              <w:right w:val="single" w:sz="4" w:space="0" w:color="auto"/>
            </w:tcBorders>
            <w:hideMark/>
          </w:tcPr>
          <w:p w14:paraId="4B08115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Private rented</w:t>
            </w:r>
          </w:p>
        </w:tc>
        <w:tc>
          <w:tcPr>
            <w:tcW w:w="2645" w:type="dxa"/>
            <w:tcBorders>
              <w:top w:val="single" w:sz="4" w:space="0" w:color="auto"/>
              <w:left w:val="single" w:sz="4" w:space="0" w:color="auto"/>
              <w:bottom w:val="single" w:sz="4" w:space="0" w:color="auto"/>
              <w:right w:val="single" w:sz="4" w:space="0" w:color="auto"/>
            </w:tcBorders>
            <w:vAlign w:val="bottom"/>
            <w:hideMark/>
          </w:tcPr>
          <w:p w14:paraId="0F8E7EA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1,294</w:t>
            </w:r>
          </w:p>
        </w:tc>
        <w:tc>
          <w:tcPr>
            <w:tcW w:w="2646" w:type="dxa"/>
            <w:tcBorders>
              <w:top w:val="single" w:sz="4" w:space="0" w:color="auto"/>
              <w:left w:val="single" w:sz="4" w:space="0" w:color="auto"/>
              <w:bottom w:val="single" w:sz="4" w:space="0" w:color="auto"/>
              <w:right w:val="single" w:sz="4" w:space="0" w:color="auto"/>
            </w:tcBorders>
            <w:vAlign w:val="bottom"/>
            <w:hideMark/>
          </w:tcPr>
          <w:p w14:paraId="689E18D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1,238</w:t>
            </w:r>
          </w:p>
        </w:tc>
      </w:tr>
      <w:tr w:rsidR="00360825" w:rsidRPr="00DE1AA1" w14:paraId="3D8B2654" w14:textId="77777777" w:rsidTr="00C04569">
        <w:tc>
          <w:tcPr>
            <w:tcW w:w="3486" w:type="dxa"/>
            <w:tcBorders>
              <w:top w:val="single" w:sz="4" w:space="0" w:color="auto"/>
              <w:left w:val="single" w:sz="4" w:space="0" w:color="auto"/>
              <w:bottom w:val="single" w:sz="4" w:space="0" w:color="auto"/>
              <w:right w:val="single" w:sz="4" w:space="0" w:color="auto"/>
            </w:tcBorders>
            <w:hideMark/>
          </w:tcPr>
          <w:p w14:paraId="7A43781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No housing (homeless/concealed)</w:t>
            </w:r>
          </w:p>
        </w:tc>
        <w:tc>
          <w:tcPr>
            <w:tcW w:w="2645" w:type="dxa"/>
            <w:tcBorders>
              <w:top w:val="single" w:sz="4" w:space="0" w:color="auto"/>
              <w:left w:val="single" w:sz="4" w:space="0" w:color="auto"/>
              <w:bottom w:val="single" w:sz="4" w:space="0" w:color="auto"/>
              <w:right w:val="single" w:sz="4" w:space="0" w:color="auto"/>
            </w:tcBorders>
            <w:vAlign w:val="bottom"/>
            <w:hideMark/>
          </w:tcPr>
          <w:p w14:paraId="0963219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485</w:t>
            </w:r>
          </w:p>
        </w:tc>
        <w:tc>
          <w:tcPr>
            <w:tcW w:w="2646" w:type="dxa"/>
            <w:tcBorders>
              <w:top w:val="single" w:sz="4" w:space="0" w:color="auto"/>
              <w:left w:val="single" w:sz="4" w:space="0" w:color="auto"/>
              <w:bottom w:val="single" w:sz="4" w:space="0" w:color="auto"/>
              <w:right w:val="single" w:sz="4" w:space="0" w:color="auto"/>
            </w:tcBorders>
            <w:vAlign w:val="bottom"/>
            <w:hideMark/>
          </w:tcPr>
          <w:p w14:paraId="3B0B5A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485</w:t>
            </w:r>
          </w:p>
        </w:tc>
      </w:tr>
      <w:tr w:rsidR="00360825" w:rsidRPr="00DE1AA1" w14:paraId="2A0D3571" w14:textId="77777777" w:rsidTr="00C04569">
        <w:tc>
          <w:tcPr>
            <w:tcW w:w="3486" w:type="dxa"/>
            <w:tcBorders>
              <w:top w:val="single" w:sz="4" w:space="0" w:color="auto"/>
              <w:left w:val="single" w:sz="4" w:space="0" w:color="auto"/>
              <w:bottom w:val="single" w:sz="4" w:space="0" w:color="auto"/>
              <w:right w:val="single" w:sz="4" w:space="0" w:color="auto"/>
            </w:tcBorders>
            <w:hideMark/>
          </w:tcPr>
          <w:p w14:paraId="1E4A2A6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Total</w:t>
            </w:r>
          </w:p>
        </w:tc>
        <w:tc>
          <w:tcPr>
            <w:tcW w:w="2645" w:type="dxa"/>
            <w:tcBorders>
              <w:top w:val="single" w:sz="4" w:space="0" w:color="auto"/>
              <w:left w:val="single" w:sz="4" w:space="0" w:color="auto"/>
              <w:bottom w:val="single" w:sz="4" w:space="0" w:color="auto"/>
              <w:right w:val="single" w:sz="4" w:space="0" w:color="auto"/>
            </w:tcBorders>
            <w:vAlign w:val="bottom"/>
            <w:hideMark/>
          </w:tcPr>
          <w:p w14:paraId="1E4A5D2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3,302</w:t>
            </w:r>
          </w:p>
        </w:tc>
        <w:tc>
          <w:tcPr>
            <w:tcW w:w="2646" w:type="dxa"/>
            <w:tcBorders>
              <w:top w:val="single" w:sz="4" w:space="0" w:color="auto"/>
              <w:left w:val="single" w:sz="4" w:space="0" w:color="auto"/>
              <w:bottom w:val="single" w:sz="4" w:space="0" w:color="auto"/>
              <w:right w:val="single" w:sz="4" w:space="0" w:color="auto"/>
            </w:tcBorders>
            <w:vAlign w:val="bottom"/>
            <w:hideMark/>
          </w:tcPr>
          <w:p w14:paraId="25E3AA6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1,797</w:t>
            </w:r>
          </w:p>
        </w:tc>
      </w:tr>
    </w:tbl>
    <w:p w14:paraId="57C80BD6"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MHCLG Live Tables, Census 2011 and Data Modelling</w:t>
      </w:r>
    </w:p>
    <w:p w14:paraId="307AFE2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Having established this figure, it needs to be considered that a number of these households might be able to afford market housing without the need for subsidy. To consider this, the income data has been used, with the distribution adjusted to reflect a lower average income amongst households living in unsuitable housing – for the purposes of the modelling an income distribution that reduces the average household income to 88% of the figure for all households has been used to identify the proportion of households whose needs could not be met within the market (for households currently living in housing). A lower figure of 42% has been used to apply an affordability test for the concealed/homeless households who do not currently occupy housing.</w:t>
      </w:r>
    </w:p>
    <w:p w14:paraId="7974660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These two percentage figures have been based on a consideration of typical income levels of households who are in unsuitable housing (based mainly on estimates in the private rented sector) along with typical income levels of households accessing social rented housing (for those without accommodation).</w:t>
      </w:r>
    </w:p>
    <w:p w14:paraId="017BB25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figures have been based on analysis of the English Housing Survey (mainly looking at relative incomes of households in each of the private and social rented sectors) as well as consideration of similar information collected through household surveys across the country by JGC. These modelling assumptions are considered reasonable and have not been challenged through the Local Plan process in other locations (where the same assumptions have been used).</w:t>
      </w:r>
    </w:p>
    <w:p w14:paraId="0174FD9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Overall, just over half of households with a current need are estimated to be likely to have insufficient income to afford market housing and so the estimate of the total current need is around 1,037 households across the District. The table below shows how this is estimated to vary by sub-area.</w:t>
      </w:r>
    </w:p>
    <w:p w14:paraId="00311866" w14:textId="77777777" w:rsidR="00360825" w:rsidRPr="00D556DB" w:rsidRDefault="00360825" w:rsidP="001A7584">
      <w:pPr>
        <w:pStyle w:val="Heading4"/>
        <w:ind w:firstLine="0"/>
      </w:pPr>
      <w:r w:rsidRPr="00D556DB">
        <w:t>Estimated Current Affordable Housing Need (for social/affordable rented housing)</w:t>
      </w:r>
    </w:p>
    <w:tbl>
      <w:tblPr>
        <w:tblStyle w:val="TableTheme"/>
        <w:tblW w:w="5000" w:type="pct"/>
        <w:tblInd w:w="0" w:type="dxa"/>
        <w:tblLook w:val="04A0" w:firstRow="1" w:lastRow="0" w:firstColumn="1" w:lastColumn="0" w:noHBand="0" w:noVBand="1"/>
      </w:tblPr>
      <w:tblGrid>
        <w:gridCol w:w="2194"/>
        <w:gridCol w:w="2194"/>
        <w:gridCol w:w="2194"/>
        <w:gridCol w:w="2195"/>
      </w:tblGrid>
      <w:tr w:rsidR="00360825" w:rsidRPr="00DE1AA1" w14:paraId="3805D9F7"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7681A2CE" w14:textId="77777777" w:rsidR="00360825" w:rsidRPr="00D556DB" w:rsidRDefault="00360825" w:rsidP="00C04569">
            <w:pPr>
              <w:keepNext/>
              <w:spacing w:after="0" w:line="240" w:lineRule="auto"/>
              <w:jc w:val="left"/>
              <w:rPr>
                <w:rFonts w:ascii="Arial" w:hAnsi="Arial" w:cs="Arial"/>
                <w:bCs/>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64FAEA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In unsuitable housing (taken forward for affordability test)</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9ECBBA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 Unable to Afford Market Housing (without subsidy)</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9E7ADD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Revised Gross Need (including Affordability)</w:t>
            </w:r>
          </w:p>
        </w:tc>
      </w:tr>
      <w:tr w:rsidR="00360825" w:rsidRPr="00DE1AA1" w14:paraId="2334E697"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5387BB0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91F2E1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574</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C38492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51.9%</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65B2F5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298</w:t>
            </w:r>
          </w:p>
        </w:tc>
      </w:tr>
      <w:tr w:rsidR="00360825" w:rsidRPr="00DE1AA1" w14:paraId="793277AF"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3F7F069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vAlign w:val="bottom"/>
            <w:hideMark/>
          </w:tcPr>
          <w:p w14:paraId="072CE9F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307</w:t>
            </w:r>
          </w:p>
        </w:tc>
        <w:tc>
          <w:tcPr>
            <w:tcW w:w="2194" w:type="dxa"/>
            <w:tcBorders>
              <w:top w:val="single" w:sz="4" w:space="0" w:color="auto"/>
              <w:left w:val="single" w:sz="4" w:space="0" w:color="auto"/>
              <w:bottom w:val="single" w:sz="4" w:space="0" w:color="auto"/>
              <w:right w:val="single" w:sz="4" w:space="0" w:color="auto"/>
            </w:tcBorders>
            <w:vAlign w:val="bottom"/>
            <w:hideMark/>
          </w:tcPr>
          <w:p w14:paraId="611835B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55.6%</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8D0B16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171</w:t>
            </w:r>
          </w:p>
        </w:tc>
      </w:tr>
      <w:tr w:rsidR="00360825" w:rsidRPr="00DE1AA1" w14:paraId="415DCD97"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2026687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C835D3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416</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69D31E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64.1%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6791044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267</w:t>
            </w:r>
          </w:p>
        </w:tc>
      </w:tr>
      <w:tr w:rsidR="00360825" w:rsidRPr="00DE1AA1" w14:paraId="34BFE9FC"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46A503B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38CE9A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76</w:t>
            </w:r>
          </w:p>
        </w:tc>
        <w:tc>
          <w:tcPr>
            <w:tcW w:w="2194" w:type="dxa"/>
            <w:tcBorders>
              <w:top w:val="single" w:sz="4" w:space="0" w:color="auto"/>
              <w:left w:val="single" w:sz="4" w:space="0" w:color="auto"/>
              <w:bottom w:val="single" w:sz="4" w:space="0" w:color="auto"/>
              <w:right w:val="single" w:sz="4" w:space="0" w:color="auto"/>
            </w:tcBorders>
            <w:vAlign w:val="bottom"/>
            <w:hideMark/>
          </w:tcPr>
          <w:p w14:paraId="0FECD23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66.9%</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B4A197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51</w:t>
            </w:r>
          </w:p>
        </w:tc>
      </w:tr>
      <w:tr w:rsidR="00360825" w:rsidRPr="00DE1AA1" w14:paraId="7743B011"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418036C6"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vAlign w:val="bottom"/>
            <w:hideMark/>
          </w:tcPr>
          <w:p w14:paraId="6EC215A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423</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6C6A68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59.1%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2DF0504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250</w:t>
            </w:r>
          </w:p>
        </w:tc>
      </w:tr>
      <w:tr w:rsidR="00360825" w:rsidRPr="00DE1AA1" w14:paraId="3251F3BB"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7AC66FF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9C13C7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1,797</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539082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57.7%</w:t>
            </w:r>
          </w:p>
        </w:tc>
        <w:tc>
          <w:tcPr>
            <w:tcW w:w="2195" w:type="dxa"/>
            <w:tcBorders>
              <w:top w:val="single" w:sz="4" w:space="0" w:color="auto"/>
              <w:left w:val="single" w:sz="4" w:space="0" w:color="auto"/>
              <w:bottom w:val="single" w:sz="4" w:space="0" w:color="auto"/>
              <w:right w:val="single" w:sz="4" w:space="0" w:color="auto"/>
            </w:tcBorders>
            <w:vAlign w:val="bottom"/>
            <w:hideMark/>
          </w:tcPr>
          <w:p w14:paraId="27F9B99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1,037</w:t>
            </w:r>
          </w:p>
        </w:tc>
      </w:tr>
    </w:tbl>
    <w:p w14:paraId="0D001BE9"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CLG Live Tables, Census 2011 and Data Modelling</w:t>
      </w:r>
    </w:p>
    <w:p w14:paraId="583B7E5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 xml:space="preserve">The estimated figures shown above represents the number of households with a need currently. For the purposes of analysis, it is assumed that the local authority would seek to meet this need over a period of time. Given that this report typically looks at needs in the period from 2021 to 2039, the need is annualised by dividing by </w:t>
      </w:r>
      <w:r>
        <w:rPr>
          <w:rFonts w:ascii="Arial" w:hAnsi="Arial" w:cs="Arial"/>
        </w:rPr>
        <w:t>18</w:t>
      </w:r>
      <w:r w:rsidRPr="00DE1AA1">
        <w:rPr>
          <w:rFonts w:ascii="Arial" w:hAnsi="Arial" w:cs="Arial"/>
        </w:rPr>
        <w:t xml:space="preserve"> (to give an annual need for </w:t>
      </w:r>
      <w:r>
        <w:rPr>
          <w:rFonts w:ascii="Arial" w:hAnsi="Arial" w:cs="Arial"/>
        </w:rPr>
        <w:t>58</w:t>
      </w:r>
      <w:r w:rsidRPr="00DE1AA1">
        <w:rPr>
          <w:rFonts w:ascii="Arial" w:hAnsi="Arial" w:cs="Arial"/>
        </w:rPr>
        <w:t xml:space="preserve"> dwellings across all areas). This does not mean that some households would be expected to wait </w:t>
      </w:r>
      <w:r>
        <w:rPr>
          <w:rFonts w:ascii="Arial" w:hAnsi="Arial" w:cs="Arial"/>
        </w:rPr>
        <w:t>18</w:t>
      </w:r>
      <w:r w:rsidRPr="00DE1AA1">
        <w:rPr>
          <w:rFonts w:ascii="Arial" w:hAnsi="Arial" w:cs="Arial"/>
        </w:rPr>
        <w:t xml:space="preserve">-years for housing as the need </w:t>
      </w:r>
      <w:r w:rsidRPr="00DE1AA1">
        <w:rPr>
          <w:rFonts w:ascii="Arial" w:hAnsi="Arial" w:cs="Arial"/>
        </w:rPr>
        <w:lastRenderedPageBreak/>
        <w:t>is likely to be dynamic, with households leaving the current need as they are housed but with other households developing a need over time.</w:t>
      </w:r>
    </w:p>
    <w:p w14:paraId="7D6B322F" w14:textId="77777777" w:rsidR="00360825" w:rsidRPr="00D556DB" w:rsidRDefault="00360825" w:rsidP="00360825">
      <w:pPr>
        <w:pStyle w:val="Heading3"/>
        <w:rPr>
          <w:rFonts w:ascii="Arial" w:hAnsi="Arial" w:cs="Arial"/>
        </w:rPr>
      </w:pPr>
      <w:r w:rsidRPr="00D556DB">
        <w:rPr>
          <w:rStyle w:val="Strong"/>
          <w:rFonts w:ascii="Arial" w:hAnsi="Arial" w:cs="Arial"/>
          <w:b/>
          <w:bCs w:val="0"/>
        </w:rPr>
        <w:t>Newly Forming Households</w:t>
      </w:r>
    </w:p>
    <w:p w14:paraId="1471401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number of newly forming households has been estimated through demographic modelling with an affordability test also being applied. This has been undertaken by considering the changes in households in specific 5-year age bands relative to numbers in the age band below, 5 years previously, to provide an estimate of gross household formation.</w:t>
      </w:r>
    </w:p>
    <w:p w14:paraId="57B3A3E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number of newly-forming households is limited to households forming who are aged under 45 – this is consistent with CLG guidance (from 2007) which notes after age 45 that headship (household formation) rates ‘plateau’. There may be a small number of household formations beyond age 45 (e.g. due to relationship breakdown) although the number is expected to be fairly small when compared with formation of younger households.</w:t>
      </w:r>
    </w:p>
    <w:p w14:paraId="21A43CC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number of newly forming households has been estimated through demographic modelling (linked to the 2018-based SNPP and 2014-based HRRs). This is considered to provide the best view about trend-based household formation in Chichester.</w:t>
      </w:r>
    </w:p>
    <w:p w14:paraId="34BB451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assessing the ability of newly forming households to afford market housing, data has been drawn from previous surveys undertaken nationally by JGC. This establishes that the average income of newly forming households is around 84% of the figure for all households. This figure is remarkably consistent across areas (and is also consistent with analysis of English Housing Survey data at a national level).</w:t>
      </w:r>
    </w:p>
    <w:p w14:paraId="0F55D40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has therefore adjusted the overall household income data to reflect the lower average income for newly forming households. The adjustments have been made by changing the distribution of income by bands such that average income level is 84% of the all household average. In doing this it is possible to calculate the proportion of households unable to afford market housing. For the purposes of the need for social/affordable rented housing this will relate to households unable to afford to buy OR rent in the market.</w:t>
      </w:r>
    </w:p>
    <w:p w14:paraId="6AB2E5A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assessment suggests overall that around half of newly forming households will be unable to afford market housing (to rent privately) and this equates a total of 380 newly forming households will have a need per annum on average across the study area – the table below provides a breakdown by sub-area.</w:t>
      </w:r>
    </w:p>
    <w:p w14:paraId="6C204553" w14:textId="77777777" w:rsidR="00360825" w:rsidRPr="00D556DB" w:rsidRDefault="00360825" w:rsidP="001A7584">
      <w:pPr>
        <w:pStyle w:val="Heading4"/>
        <w:ind w:firstLine="0"/>
      </w:pPr>
      <w:r w:rsidRPr="00D556DB">
        <w:lastRenderedPageBreak/>
        <w:t>Estimated Need for Social/Affordable Rented Housing from Newly Forming Households (per annum)</w:t>
      </w:r>
    </w:p>
    <w:tbl>
      <w:tblPr>
        <w:tblStyle w:val="TableTheme"/>
        <w:tblW w:w="5000" w:type="pct"/>
        <w:tblInd w:w="0" w:type="dxa"/>
        <w:tblLayout w:type="fixed"/>
        <w:tblLook w:val="04A0" w:firstRow="1" w:lastRow="0" w:firstColumn="1" w:lastColumn="0" w:noHBand="0" w:noVBand="1"/>
      </w:tblPr>
      <w:tblGrid>
        <w:gridCol w:w="2194"/>
        <w:gridCol w:w="2194"/>
        <w:gridCol w:w="2194"/>
        <w:gridCol w:w="2195"/>
      </w:tblGrid>
      <w:tr w:rsidR="00360825" w:rsidRPr="00061EA6" w14:paraId="03F6C283"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2D107A50" w14:textId="77777777" w:rsidR="00360825" w:rsidRPr="00D556DB" w:rsidRDefault="00360825" w:rsidP="00C04569">
            <w:pPr>
              <w:keepNext/>
              <w:spacing w:after="0" w:line="240" w:lineRule="auto"/>
              <w:jc w:val="left"/>
              <w:rPr>
                <w:rFonts w:ascii="Arial" w:hAnsi="Arial" w:cs="Arial"/>
                <w:bCs/>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C311DF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Number of new households</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3574A7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 unable to afford</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D0D13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Annual newly forming households unable to afford to rent</w:t>
            </w:r>
          </w:p>
        </w:tc>
      </w:tr>
      <w:tr w:rsidR="00360825" w:rsidRPr="00061EA6" w14:paraId="3FCC5738"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2C90D06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A984E8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195</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009204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47.8%</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927329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93</w:t>
            </w:r>
          </w:p>
        </w:tc>
      </w:tr>
      <w:tr w:rsidR="00360825" w:rsidRPr="00061EA6" w14:paraId="6CBAA846"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1D3AD81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57F93A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154</w:t>
            </w:r>
          </w:p>
        </w:tc>
        <w:tc>
          <w:tcPr>
            <w:tcW w:w="2194" w:type="dxa"/>
            <w:tcBorders>
              <w:top w:val="single" w:sz="4" w:space="0" w:color="auto"/>
              <w:left w:val="single" w:sz="4" w:space="0" w:color="auto"/>
              <w:bottom w:val="single" w:sz="4" w:space="0" w:color="auto"/>
              <w:right w:val="single" w:sz="4" w:space="0" w:color="auto"/>
            </w:tcBorders>
            <w:vAlign w:val="bottom"/>
            <w:hideMark/>
          </w:tcPr>
          <w:p w14:paraId="3A51916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46.1%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66447EA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71</w:t>
            </w:r>
          </w:p>
        </w:tc>
      </w:tr>
      <w:tr w:rsidR="00360825" w:rsidRPr="00061EA6" w14:paraId="73A81E01"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4FD671B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0D4CBF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153</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EA2EC0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54.5%</w:t>
            </w:r>
          </w:p>
        </w:tc>
        <w:tc>
          <w:tcPr>
            <w:tcW w:w="2195" w:type="dxa"/>
            <w:tcBorders>
              <w:top w:val="single" w:sz="4" w:space="0" w:color="auto"/>
              <w:left w:val="single" w:sz="4" w:space="0" w:color="auto"/>
              <w:bottom w:val="single" w:sz="4" w:space="0" w:color="auto"/>
              <w:right w:val="single" w:sz="4" w:space="0" w:color="auto"/>
            </w:tcBorders>
            <w:vAlign w:val="bottom"/>
            <w:hideMark/>
          </w:tcPr>
          <w:p w14:paraId="3B457BB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83</w:t>
            </w:r>
          </w:p>
        </w:tc>
      </w:tr>
      <w:tr w:rsidR="00360825" w:rsidRPr="00061EA6" w14:paraId="6BF28451"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1393F63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E5A4EF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54</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994142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56.1%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20D6CFE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30</w:t>
            </w:r>
          </w:p>
        </w:tc>
      </w:tr>
      <w:tr w:rsidR="00360825" w:rsidRPr="00061EA6" w14:paraId="42A6BFCE"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51CB087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511A75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187</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14E493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54.6%</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35C9AA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102</w:t>
            </w:r>
          </w:p>
        </w:tc>
      </w:tr>
      <w:tr w:rsidR="00360825" w:rsidRPr="00061EA6" w14:paraId="242AB2CB"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12191D7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194" w:type="dxa"/>
            <w:tcBorders>
              <w:top w:val="single" w:sz="4" w:space="0" w:color="auto"/>
              <w:left w:val="single" w:sz="4" w:space="0" w:color="auto"/>
              <w:bottom w:val="single" w:sz="4" w:space="0" w:color="auto"/>
              <w:right w:val="single" w:sz="4" w:space="0" w:color="auto"/>
            </w:tcBorders>
            <w:vAlign w:val="bottom"/>
            <w:hideMark/>
          </w:tcPr>
          <w:p w14:paraId="688C8A6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556DB">
              <w:rPr>
                <w:rFonts w:ascii="Arial" w:hAnsi="Arial" w:cs="Arial"/>
                <w:color w:val="000000"/>
              </w:rPr>
              <w:t>742</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2A6EE1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556DB">
              <w:rPr>
                <w:rFonts w:ascii="Arial" w:hAnsi="Arial" w:cs="Arial"/>
                <w:color w:val="000000"/>
              </w:rPr>
              <w:t>51.1%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90872D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556DB">
              <w:rPr>
                <w:rFonts w:ascii="Arial" w:hAnsi="Arial" w:cs="Arial"/>
                <w:color w:val="000000"/>
              </w:rPr>
              <w:t>380</w:t>
            </w:r>
          </w:p>
        </w:tc>
      </w:tr>
    </w:tbl>
    <w:p w14:paraId="1519E5EC" w14:textId="77777777" w:rsidR="00360825" w:rsidRPr="00DE1AA1" w:rsidRDefault="00360825" w:rsidP="00360825">
      <w:pPr>
        <w:spacing w:line="300" w:lineRule="auto"/>
        <w:rPr>
          <w:rFonts w:ascii="Arial" w:hAnsi="Arial" w:cs="Arial"/>
          <w:i/>
          <w:iCs/>
          <w:sz w:val="16"/>
          <w:szCs w:val="16"/>
        </w:rPr>
      </w:pPr>
      <w:r w:rsidRPr="00D556DB">
        <w:rPr>
          <w:rFonts w:ascii="Arial" w:hAnsi="Arial" w:cs="Arial"/>
          <w:i/>
          <w:iCs/>
          <w:sz w:val="16"/>
          <w:szCs w:val="16"/>
        </w:rPr>
        <w:t>Source: Projection Modelling/Affordability Analysis</w:t>
      </w:r>
    </w:p>
    <w:p w14:paraId="1D964FD9" w14:textId="77777777" w:rsidR="00360825" w:rsidRPr="00D556DB" w:rsidRDefault="00360825" w:rsidP="00360825">
      <w:pPr>
        <w:pStyle w:val="Heading3"/>
        <w:rPr>
          <w:rFonts w:ascii="Arial" w:hAnsi="Arial" w:cs="Arial"/>
        </w:rPr>
      </w:pPr>
      <w:r w:rsidRPr="00D556DB">
        <w:rPr>
          <w:rStyle w:val="Strong"/>
          <w:rFonts w:ascii="Arial" w:hAnsi="Arial" w:cs="Arial"/>
          <w:b/>
          <w:bCs w:val="0"/>
        </w:rPr>
        <w:t>Existing Households Falling into Affordable Housing Need</w:t>
      </w:r>
    </w:p>
    <w:p w14:paraId="2A820BC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second element of newly arising need is existing households falling into need. To assess this, information about past lettings in social/affordable rented has been used. The assessment looked at households who have been housed in general needs housing over the past three years – this group will represent the flow of households onto the Housing Register over this period. From this, newly forming households (e.g. those currently living with family) have been discounted as well as households who have transferred from another social/affordable rented property. An affordability test has also been applied.</w:t>
      </w:r>
    </w:p>
    <w:p w14:paraId="5A09AF5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This method for assessing existing households falling into need is consistent with the 2007 SHMA guide which says on page 46 that </w:t>
      </w:r>
      <w:r w:rsidRPr="00D556DB">
        <w:rPr>
          <w:rFonts w:ascii="Arial" w:hAnsi="Arial" w:cs="Arial"/>
          <w:i/>
        </w:rPr>
        <w:t>‘Partnerships should estimate the number of existing households falling into need each year by looking at recent trends. This should include households who have entered the housing register and been housed within the year as well as households housed outside of the register (such as priority homeless household applicants).’</w:t>
      </w:r>
    </w:p>
    <w:p w14:paraId="4099BB8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is also mindful of the high level of new provision of affordable housing seen over the past few years, which has seen the number of households on the Housing Register decline; the reduction in the register is considered alongside the number of households housed and following the analysis through suggests a need arising from 66 existing households each year across the District. The table below breaks this down by sub-area.</w:t>
      </w:r>
    </w:p>
    <w:p w14:paraId="64BD33F0" w14:textId="77777777" w:rsidR="00360825" w:rsidRPr="00D556DB" w:rsidRDefault="00360825" w:rsidP="001A7584">
      <w:pPr>
        <w:pStyle w:val="Heading4"/>
        <w:ind w:firstLine="0"/>
      </w:pPr>
      <w:r w:rsidRPr="00D556DB">
        <w:lastRenderedPageBreak/>
        <w:t>Estimated Need for Social/Affordable Rented Housing from Existing Households Falling into Need (per annum)</w:t>
      </w:r>
    </w:p>
    <w:tbl>
      <w:tblPr>
        <w:tblStyle w:val="TableTheme"/>
        <w:tblW w:w="5000" w:type="pct"/>
        <w:jc w:val="center"/>
        <w:tblInd w:w="0" w:type="dxa"/>
        <w:tblLook w:val="04A0" w:firstRow="1" w:lastRow="0" w:firstColumn="1" w:lastColumn="0" w:noHBand="0" w:noVBand="1"/>
      </w:tblPr>
      <w:tblGrid>
        <w:gridCol w:w="2925"/>
        <w:gridCol w:w="2926"/>
        <w:gridCol w:w="2926"/>
      </w:tblGrid>
      <w:tr w:rsidR="00360825" w:rsidRPr="00DE1AA1" w14:paraId="32395797"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shd w:val="clear" w:color="auto" w:fill="002060"/>
          </w:tcPr>
          <w:p w14:paraId="497E79F8" w14:textId="77777777" w:rsidR="00360825" w:rsidRPr="00D556DB" w:rsidRDefault="00360825" w:rsidP="00C04569">
            <w:pPr>
              <w:keepNext/>
              <w:spacing w:after="0" w:line="240" w:lineRule="auto"/>
              <w:jc w:val="left"/>
              <w:rPr>
                <w:rFonts w:ascii="Arial" w:hAnsi="Arial" w:cs="Arial"/>
                <w:bCs/>
              </w:rPr>
            </w:pPr>
          </w:p>
        </w:tc>
        <w:tc>
          <w:tcPr>
            <w:tcW w:w="2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419FBA2"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Total Additional Need</w:t>
            </w:r>
          </w:p>
        </w:tc>
        <w:tc>
          <w:tcPr>
            <w:tcW w:w="2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3D735D7"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 of Total</w:t>
            </w:r>
          </w:p>
        </w:tc>
      </w:tr>
      <w:tr w:rsidR="00360825" w:rsidRPr="00DE1AA1" w14:paraId="53B48D25"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vAlign w:val="bottom"/>
            <w:hideMark/>
          </w:tcPr>
          <w:p w14:paraId="5CE2179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Chichester City</w:t>
            </w:r>
          </w:p>
        </w:tc>
        <w:tc>
          <w:tcPr>
            <w:tcW w:w="2926" w:type="dxa"/>
            <w:tcBorders>
              <w:top w:val="single" w:sz="4" w:space="0" w:color="auto"/>
              <w:left w:val="single" w:sz="4" w:space="0" w:color="auto"/>
              <w:bottom w:val="single" w:sz="4" w:space="0" w:color="auto"/>
              <w:right w:val="single" w:sz="4" w:space="0" w:color="auto"/>
            </w:tcBorders>
            <w:vAlign w:val="bottom"/>
            <w:hideMark/>
          </w:tcPr>
          <w:p w14:paraId="68AEFC1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24</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C0A56E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36.5%</w:t>
            </w:r>
          </w:p>
        </w:tc>
      </w:tr>
      <w:tr w:rsidR="00360825" w:rsidRPr="00DE1AA1" w14:paraId="6CB5C615"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vAlign w:val="bottom"/>
            <w:hideMark/>
          </w:tcPr>
          <w:p w14:paraId="5097AB3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2926" w:type="dxa"/>
            <w:tcBorders>
              <w:top w:val="single" w:sz="4" w:space="0" w:color="auto"/>
              <w:left w:val="single" w:sz="4" w:space="0" w:color="auto"/>
              <w:bottom w:val="single" w:sz="4" w:space="0" w:color="auto"/>
              <w:right w:val="single" w:sz="4" w:space="0" w:color="auto"/>
            </w:tcBorders>
            <w:vAlign w:val="bottom"/>
            <w:hideMark/>
          </w:tcPr>
          <w:p w14:paraId="65914B7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2088A7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14.6%</w:t>
            </w:r>
          </w:p>
        </w:tc>
      </w:tr>
      <w:tr w:rsidR="00360825" w:rsidRPr="00DE1AA1" w14:paraId="25D03D03"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vAlign w:val="bottom"/>
            <w:hideMark/>
          </w:tcPr>
          <w:p w14:paraId="147D0A5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highlight w:val="yellow"/>
              </w:rPr>
            </w:pPr>
            <w:r w:rsidRPr="00DE1AA1">
              <w:rPr>
                <w:rFonts w:ascii="Arial" w:hAnsi="Arial" w:cs="Arial"/>
                <w:color w:val="000000"/>
              </w:rPr>
              <w:t>Manhood</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C01947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03A9D80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14.4%</w:t>
            </w:r>
          </w:p>
        </w:tc>
      </w:tr>
      <w:tr w:rsidR="00360825" w:rsidRPr="00DE1AA1" w14:paraId="6C0ABFA4"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vAlign w:val="bottom"/>
            <w:hideMark/>
          </w:tcPr>
          <w:p w14:paraId="40C15AB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highlight w:val="yellow"/>
              </w:rPr>
            </w:pPr>
            <w:r w:rsidRPr="00DE1AA1">
              <w:rPr>
                <w:rFonts w:ascii="Arial" w:hAnsi="Arial" w:cs="Arial"/>
                <w:color w:val="000000"/>
              </w:rPr>
              <w:t xml:space="preserve"> Plan Area North</w:t>
            </w:r>
          </w:p>
        </w:tc>
        <w:tc>
          <w:tcPr>
            <w:tcW w:w="2926" w:type="dxa"/>
            <w:tcBorders>
              <w:top w:val="single" w:sz="4" w:space="0" w:color="auto"/>
              <w:left w:val="single" w:sz="4" w:space="0" w:color="auto"/>
              <w:bottom w:val="single" w:sz="4" w:space="0" w:color="auto"/>
              <w:right w:val="single" w:sz="4" w:space="0" w:color="auto"/>
            </w:tcBorders>
            <w:vAlign w:val="bottom"/>
            <w:hideMark/>
          </w:tcPr>
          <w:p w14:paraId="54C28C1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w:t>
            </w:r>
          </w:p>
        </w:tc>
        <w:tc>
          <w:tcPr>
            <w:tcW w:w="2926" w:type="dxa"/>
            <w:tcBorders>
              <w:top w:val="single" w:sz="4" w:space="0" w:color="auto"/>
              <w:left w:val="single" w:sz="4" w:space="0" w:color="auto"/>
              <w:bottom w:val="single" w:sz="4" w:space="0" w:color="auto"/>
              <w:right w:val="single" w:sz="4" w:space="0" w:color="auto"/>
            </w:tcBorders>
            <w:vAlign w:val="bottom"/>
            <w:hideMark/>
          </w:tcPr>
          <w:p w14:paraId="4684B46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4.3%</w:t>
            </w:r>
          </w:p>
        </w:tc>
      </w:tr>
      <w:tr w:rsidR="00360825" w:rsidRPr="00DE1AA1" w14:paraId="02FBF8B8"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vAlign w:val="bottom"/>
            <w:hideMark/>
          </w:tcPr>
          <w:p w14:paraId="7366F50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926" w:type="dxa"/>
            <w:tcBorders>
              <w:top w:val="single" w:sz="4" w:space="0" w:color="auto"/>
              <w:left w:val="single" w:sz="4" w:space="0" w:color="auto"/>
              <w:bottom w:val="single" w:sz="4" w:space="0" w:color="auto"/>
              <w:right w:val="single" w:sz="4" w:space="0" w:color="auto"/>
            </w:tcBorders>
            <w:vAlign w:val="bottom"/>
            <w:hideMark/>
          </w:tcPr>
          <w:p w14:paraId="4FD40B4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4C2747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30.1%</w:t>
            </w:r>
          </w:p>
        </w:tc>
      </w:tr>
      <w:tr w:rsidR="00360825" w:rsidRPr="00DE1AA1" w14:paraId="10FA55CA"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hideMark/>
          </w:tcPr>
          <w:p w14:paraId="1781506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926" w:type="dxa"/>
            <w:tcBorders>
              <w:top w:val="single" w:sz="4" w:space="0" w:color="auto"/>
              <w:left w:val="single" w:sz="4" w:space="0" w:color="auto"/>
              <w:bottom w:val="single" w:sz="4" w:space="0" w:color="auto"/>
              <w:right w:val="single" w:sz="4" w:space="0" w:color="auto"/>
            </w:tcBorders>
            <w:vAlign w:val="bottom"/>
            <w:hideMark/>
          </w:tcPr>
          <w:p w14:paraId="56F5998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66</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70F4C9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100.0%</w:t>
            </w:r>
          </w:p>
        </w:tc>
      </w:tr>
    </w:tbl>
    <w:p w14:paraId="6EB9CF71"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Derived from a range of sources as described in text</w:t>
      </w:r>
    </w:p>
    <w:p w14:paraId="69581091" w14:textId="77777777" w:rsidR="00360825" w:rsidRPr="00D556DB" w:rsidRDefault="00360825" w:rsidP="00360825">
      <w:pPr>
        <w:pStyle w:val="Heading3"/>
        <w:rPr>
          <w:rFonts w:ascii="Arial" w:hAnsi="Arial" w:cs="Arial"/>
        </w:rPr>
      </w:pPr>
      <w:r w:rsidRPr="00D556DB">
        <w:rPr>
          <w:rStyle w:val="Strong"/>
          <w:rFonts w:ascii="Arial" w:hAnsi="Arial" w:cs="Arial"/>
          <w:b/>
          <w:bCs w:val="0"/>
        </w:rPr>
        <w:t>Supply of Social/Affordable Rented Housing Through Relets</w:t>
      </w:r>
    </w:p>
    <w:p w14:paraId="728087E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future supply of affordable housing through relets is the flow of affordable housing arising from the existing stock that is available to meet future need. This focusses on the annual supply of social/affordable rent relets.</w:t>
      </w:r>
    </w:p>
    <w:p w14:paraId="47E9B09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Practice Guidance suggests that the estimate of likely future relets from the social rented stock should be based on past trend data which can be taken as a prediction for the future. Information from </w:t>
      </w:r>
      <w:proofErr w:type="spellStart"/>
      <w:r w:rsidRPr="00D556DB">
        <w:rPr>
          <w:rFonts w:ascii="Arial" w:hAnsi="Arial" w:cs="Arial"/>
        </w:rPr>
        <w:t>CoRe</w:t>
      </w:r>
      <w:proofErr w:type="spellEnd"/>
      <w:r w:rsidRPr="00D556DB">
        <w:rPr>
          <w:rFonts w:ascii="Arial" w:hAnsi="Arial" w:cs="Arial"/>
        </w:rPr>
        <w:t xml:space="preserve"> has been used to establish past patterns of social housing turnover. The figures are for general needs lettings but exclude lettings of new properties and also exclude an estimate of the number of transfers from other social rented homes. These exclusions are made to ensure that the figures presented reflect relets from the existing stock.</w:t>
      </w:r>
    </w:p>
    <w:p w14:paraId="6B28290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On the basis of past trend data it is</w:t>
      </w:r>
      <w:r>
        <w:rPr>
          <w:rFonts w:ascii="Arial" w:hAnsi="Arial" w:cs="Arial"/>
        </w:rPr>
        <w:t xml:space="preserve"> </w:t>
      </w:r>
      <w:r w:rsidRPr="00D556DB">
        <w:rPr>
          <w:rFonts w:ascii="Arial" w:hAnsi="Arial" w:cs="Arial"/>
        </w:rPr>
        <w:t>estimated that 226 units of social/affordable rented housing are likely to become available each year moving forward for occupation by newly forming households and existing households falling into need from other tenures. In interpreting this data, the high level of new delivery over this period should be noted, in particular it is possible that the new delivery helps to see relet rates increase slightly in the future and this is something the Council should monitor.</w:t>
      </w:r>
    </w:p>
    <w:p w14:paraId="7EBBF19F" w14:textId="77777777" w:rsidR="00360825" w:rsidRPr="00D556DB" w:rsidRDefault="00360825" w:rsidP="001A7584">
      <w:pPr>
        <w:pStyle w:val="Heading4"/>
        <w:ind w:firstLine="0"/>
      </w:pPr>
      <w:r w:rsidRPr="00D556DB">
        <w:t>Analysis of Past Social/Affordable Rented Housing Supply, 2017/18 – 2019/20 (average per annum) – Chichester</w:t>
      </w:r>
    </w:p>
    <w:tbl>
      <w:tblPr>
        <w:tblStyle w:val="TableGrid"/>
        <w:tblW w:w="5000" w:type="pct"/>
        <w:tblLook w:val="04A0" w:firstRow="1" w:lastRow="0" w:firstColumn="1" w:lastColumn="0" w:noHBand="0" w:noVBand="1"/>
      </w:tblPr>
      <w:tblGrid>
        <w:gridCol w:w="1462"/>
        <w:gridCol w:w="1463"/>
        <w:gridCol w:w="1463"/>
        <w:gridCol w:w="1463"/>
        <w:gridCol w:w="1463"/>
        <w:gridCol w:w="1463"/>
      </w:tblGrid>
      <w:tr w:rsidR="00360825" w:rsidRPr="00DE1AA1" w14:paraId="37AD97BE" w14:textId="77777777" w:rsidTr="00C04569">
        <w:tc>
          <w:tcPr>
            <w:tcW w:w="1462" w:type="dxa"/>
            <w:tcBorders>
              <w:top w:val="single" w:sz="4" w:space="0" w:color="auto"/>
              <w:left w:val="single" w:sz="4" w:space="0" w:color="auto"/>
              <w:bottom w:val="single" w:sz="4" w:space="0" w:color="auto"/>
              <w:right w:val="single" w:sz="4" w:space="0" w:color="auto"/>
            </w:tcBorders>
            <w:shd w:val="clear" w:color="auto" w:fill="002060"/>
          </w:tcPr>
          <w:p w14:paraId="0B316490" w14:textId="77777777" w:rsidR="00360825" w:rsidRPr="00D556DB" w:rsidRDefault="00360825" w:rsidP="00C04569">
            <w:pPr>
              <w:keepNext/>
              <w:spacing w:after="0" w:line="240" w:lineRule="auto"/>
              <w:jc w:val="left"/>
              <w:rPr>
                <w:rFonts w:ascii="Arial" w:hAnsi="Arial" w:cs="Arial"/>
              </w:rPr>
            </w:pP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EBAF4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 Lettings</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CAFC46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 as Non-New Build</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0F8C0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Lettings in Existing Stock</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57C96E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 Non-Transfers</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B50C8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Lettings to New Tenants</w:t>
            </w:r>
          </w:p>
        </w:tc>
      </w:tr>
      <w:tr w:rsidR="00360825" w:rsidRPr="00DE1AA1" w14:paraId="2D5C4EE0"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19A3169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2017/18</w:t>
            </w:r>
          </w:p>
        </w:tc>
        <w:tc>
          <w:tcPr>
            <w:tcW w:w="1463" w:type="dxa"/>
            <w:tcBorders>
              <w:top w:val="single" w:sz="4" w:space="0" w:color="auto"/>
              <w:left w:val="single" w:sz="4" w:space="0" w:color="auto"/>
              <w:bottom w:val="single" w:sz="4" w:space="0" w:color="auto"/>
              <w:right w:val="single" w:sz="4" w:space="0" w:color="auto"/>
            </w:tcBorders>
            <w:vAlign w:val="bottom"/>
            <w:hideMark/>
          </w:tcPr>
          <w:p w14:paraId="20A5512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362</w:t>
            </w:r>
          </w:p>
        </w:tc>
        <w:tc>
          <w:tcPr>
            <w:tcW w:w="1463" w:type="dxa"/>
            <w:tcBorders>
              <w:top w:val="single" w:sz="4" w:space="0" w:color="auto"/>
              <w:left w:val="single" w:sz="4" w:space="0" w:color="auto"/>
              <w:bottom w:val="single" w:sz="4" w:space="0" w:color="auto"/>
              <w:right w:val="single" w:sz="4" w:space="0" w:color="auto"/>
            </w:tcBorders>
            <w:vAlign w:val="bottom"/>
            <w:hideMark/>
          </w:tcPr>
          <w:p w14:paraId="0128146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84.3%</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9A359D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305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0ABB075F"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66.6%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4167A3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203</w:t>
            </w:r>
          </w:p>
        </w:tc>
      </w:tr>
      <w:tr w:rsidR="00360825" w:rsidRPr="00DE1AA1" w14:paraId="29479B90"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494AC39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2018/19</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43F288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476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1602189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81.7%</w:t>
            </w:r>
          </w:p>
        </w:tc>
        <w:tc>
          <w:tcPr>
            <w:tcW w:w="1463" w:type="dxa"/>
            <w:tcBorders>
              <w:top w:val="single" w:sz="4" w:space="0" w:color="auto"/>
              <w:left w:val="single" w:sz="4" w:space="0" w:color="auto"/>
              <w:bottom w:val="single" w:sz="4" w:space="0" w:color="auto"/>
              <w:right w:val="single" w:sz="4" w:space="0" w:color="auto"/>
            </w:tcBorders>
            <w:vAlign w:val="bottom"/>
            <w:hideMark/>
          </w:tcPr>
          <w:p w14:paraId="6975002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389</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894196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63.0%</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49F95E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245</w:t>
            </w:r>
          </w:p>
        </w:tc>
      </w:tr>
      <w:tr w:rsidR="00360825" w:rsidRPr="00DE1AA1" w14:paraId="34BEC014"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3B279D8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2019/20</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9D3496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457</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9B44DA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81.8%</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5132FD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374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C2046B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61.5%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D44D57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230</w:t>
            </w:r>
          </w:p>
        </w:tc>
      </w:tr>
      <w:tr w:rsidR="00360825" w:rsidRPr="00DE1AA1" w14:paraId="7E52C140"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14DB846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Average</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474162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432</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483884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82.5%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50ED92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356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15ADF8E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63.5%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E3264D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226</w:t>
            </w:r>
          </w:p>
        </w:tc>
      </w:tr>
    </w:tbl>
    <w:p w14:paraId="47CCA2D8"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 xml:space="preserve">Source: </w:t>
      </w:r>
      <w:proofErr w:type="spellStart"/>
      <w:r w:rsidRPr="00DE1AA1">
        <w:rPr>
          <w:rFonts w:ascii="Arial" w:hAnsi="Arial" w:cs="Arial"/>
          <w:i/>
          <w:iCs/>
          <w:sz w:val="16"/>
          <w:szCs w:val="16"/>
        </w:rPr>
        <w:t>CoRe</w:t>
      </w:r>
      <w:proofErr w:type="spellEnd"/>
      <w:r w:rsidRPr="00DE1AA1">
        <w:rPr>
          <w:rFonts w:ascii="Arial" w:hAnsi="Arial" w:cs="Arial"/>
          <w:i/>
          <w:iCs/>
          <w:sz w:val="16"/>
          <w:szCs w:val="16"/>
        </w:rPr>
        <w:t>/LAHS</w:t>
      </w:r>
    </w:p>
    <w:p w14:paraId="1090163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The table below shows the estimated supply of affordable housing from relets in each sub-area. The sub-area figures have been based on the size of the stock in each sub-area as of 2011 (Census data).</w:t>
      </w:r>
    </w:p>
    <w:p w14:paraId="02B0ABA6" w14:textId="77777777" w:rsidR="00360825" w:rsidRPr="00D556DB" w:rsidRDefault="00360825" w:rsidP="001A7584">
      <w:pPr>
        <w:pStyle w:val="Heading4"/>
        <w:ind w:firstLine="0"/>
      </w:pPr>
      <w:r w:rsidRPr="00DE1AA1">
        <w:t>Estimated supply of affordable housing from relets of existing stock by sub-area (per annum)</w:t>
      </w:r>
    </w:p>
    <w:tbl>
      <w:tblPr>
        <w:tblStyle w:val="TableGrid"/>
        <w:tblW w:w="5000" w:type="pct"/>
        <w:tblLook w:val="04A0" w:firstRow="1" w:lastRow="0" w:firstColumn="1" w:lastColumn="0" w:noHBand="0" w:noVBand="1"/>
      </w:tblPr>
      <w:tblGrid>
        <w:gridCol w:w="2925"/>
        <w:gridCol w:w="2926"/>
        <w:gridCol w:w="2926"/>
      </w:tblGrid>
      <w:tr w:rsidR="00360825" w:rsidRPr="00DE1AA1" w14:paraId="3918FB93" w14:textId="77777777" w:rsidTr="00C04569">
        <w:tc>
          <w:tcPr>
            <w:tcW w:w="2925" w:type="dxa"/>
            <w:tcBorders>
              <w:top w:val="single" w:sz="4" w:space="0" w:color="auto"/>
              <w:left w:val="single" w:sz="4" w:space="0" w:color="auto"/>
              <w:bottom w:val="single" w:sz="4" w:space="0" w:color="auto"/>
              <w:right w:val="single" w:sz="4" w:space="0" w:color="auto"/>
            </w:tcBorders>
            <w:shd w:val="clear" w:color="auto" w:fill="002060"/>
          </w:tcPr>
          <w:p w14:paraId="4EB5C237" w14:textId="77777777" w:rsidR="00360825" w:rsidRPr="00D556DB" w:rsidRDefault="00360825" w:rsidP="00C04569">
            <w:pPr>
              <w:keepNext/>
              <w:spacing w:before="60" w:after="60" w:line="240" w:lineRule="auto"/>
              <w:jc w:val="left"/>
              <w:rPr>
                <w:rFonts w:ascii="Arial" w:hAnsi="Arial" w:cs="Arial"/>
              </w:rPr>
            </w:pPr>
          </w:p>
        </w:tc>
        <w:tc>
          <w:tcPr>
            <w:tcW w:w="2926" w:type="dxa"/>
            <w:tcBorders>
              <w:top w:val="single" w:sz="4" w:space="0" w:color="auto"/>
              <w:left w:val="single" w:sz="4" w:space="0" w:color="auto"/>
              <w:bottom w:val="single" w:sz="4" w:space="0" w:color="auto"/>
              <w:right w:val="single" w:sz="4" w:space="0" w:color="auto"/>
            </w:tcBorders>
            <w:shd w:val="clear" w:color="auto" w:fill="002060"/>
            <w:hideMark/>
          </w:tcPr>
          <w:p w14:paraId="2DE899B1"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E1AA1">
              <w:rPr>
                <w:rFonts w:ascii="Arial" w:hAnsi="Arial" w:cs="Arial"/>
                <w:bCs/>
              </w:rPr>
              <w:t>Annual supply</w:t>
            </w:r>
          </w:p>
        </w:tc>
        <w:tc>
          <w:tcPr>
            <w:tcW w:w="2926" w:type="dxa"/>
            <w:tcBorders>
              <w:top w:val="single" w:sz="4" w:space="0" w:color="auto"/>
              <w:left w:val="single" w:sz="4" w:space="0" w:color="auto"/>
              <w:bottom w:val="single" w:sz="4" w:space="0" w:color="auto"/>
              <w:right w:val="single" w:sz="4" w:space="0" w:color="auto"/>
            </w:tcBorders>
            <w:shd w:val="clear" w:color="auto" w:fill="002060"/>
            <w:hideMark/>
          </w:tcPr>
          <w:p w14:paraId="4F5CE062"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E1AA1">
              <w:rPr>
                <w:rFonts w:ascii="Arial" w:hAnsi="Arial" w:cs="Arial"/>
                <w:bCs/>
              </w:rPr>
              <w:t>% of supply</w:t>
            </w:r>
          </w:p>
        </w:tc>
      </w:tr>
      <w:tr w:rsidR="00360825" w:rsidRPr="00DE1AA1" w14:paraId="0642F241"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0E78066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Chichester City</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D9B5D2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84</w:t>
            </w:r>
          </w:p>
        </w:tc>
        <w:tc>
          <w:tcPr>
            <w:tcW w:w="2926" w:type="dxa"/>
            <w:tcBorders>
              <w:top w:val="single" w:sz="4" w:space="0" w:color="auto"/>
              <w:left w:val="single" w:sz="4" w:space="0" w:color="auto"/>
              <w:bottom w:val="single" w:sz="4" w:space="0" w:color="auto"/>
              <w:right w:val="single" w:sz="4" w:space="0" w:color="auto"/>
            </w:tcBorders>
            <w:vAlign w:val="bottom"/>
            <w:hideMark/>
          </w:tcPr>
          <w:p w14:paraId="3C50E3E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37.3%</w:t>
            </w:r>
          </w:p>
        </w:tc>
      </w:tr>
      <w:tr w:rsidR="00360825" w:rsidRPr="00DE1AA1" w14:paraId="3AC72791"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51544DF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EW Corridor</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A4049A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34</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F56AA1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15.2%</w:t>
            </w:r>
          </w:p>
        </w:tc>
      </w:tr>
      <w:tr w:rsidR="00360825" w:rsidRPr="00DE1AA1" w14:paraId="7C0CD9F3"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0545B3F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Manhood</w:t>
            </w:r>
          </w:p>
        </w:tc>
        <w:tc>
          <w:tcPr>
            <w:tcW w:w="2926" w:type="dxa"/>
            <w:tcBorders>
              <w:top w:val="single" w:sz="4" w:space="0" w:color="auto"/>
              <w:left w:val="single" w:sz="4" w:space="0" w:color="auto"/>
              <w:bottom w:val="single" w:sz="4" w:space="0" w:color="auto"/>
              <w:right w:val="single" w:sz="4" w:space="0" w:color="auto"/>
            </w:tcBorders>
            <w:vAlign w:val="bottom"/>
            <w:hideMark/>
          </w:tcPr>
          <w:p w14:paraId="5E16508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32</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91CAC5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14.1%</w:t>
            </w:r>
          </w:p>
        </w:tc>
      </w:tr>
      <w:tr w:rsidR="00360825" w:rsidRPr="00DE1AA1" w14:paraId="7B9B02F7"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141236A4"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Plan Area North</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9C6F2B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9</w:t>
            </w:r>
          </w:p>
        </w:tc>
        <w:tc>
          <w:tcPr>
            <w:tcW w:w="2926" w:type="dxa"/>
            <w:tcBorders>
              <w:top w:val="single" w:sz="4" w:space="0" w:color="auto"/>
              <w:left w:val="single" w:sz="4" w:space="0" w:color="auto"/>
              <w:bottom w:val="single" w:sz="4" w:space="0" w:color="auto"/>
              <w:right w:val="single" w:sz="4" w:space="0" w:color="auto"/>
            </w:tcBorders>
            <w:vAlign w:val="bottom"/>
            <w:hideMark/>
          </w:tcPr>
          <w:p w14:paraId="0059443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4.2%</w:t>
            </w:r>
          </w:p>
        </w:tc>
      </w:tr>
      <w:tr w:rsidR="00360825" w:rsidRPr="00DE1AA1" w14:paraId="2830CDBC"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04CDA9C8"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color w:val="000000"/>
              </w:rPr>
            </w:pPr>
            <w:r w:rsidRPr="00DE1AA1">
              <w:rPr>
                <w:rFonts w:ascii="Arial" w:hAnsi="Arial" w:cs="Arial"/>
                <w:color w:val="000000"/>
              </w:rPr>
              <w:t>SDNP</w:t>
            </w:r>
          </w:p>
        </w:tc>
        <w:tc>
          <w:tcPr>
            <w:tcW w:w="2926" w:type="dxa"/>
            <w:tcBorders>
              <w:top w:val="single" w:sz="4" w:space="0" w:color="auto"/>
              <w:left w:val="single" w:sz="4" w:space="0" w:color="auto"/>
              <w:bottom w:val="single" w:sz="4" w:space="0" w:color="auto"/>
              <w:right w:val="single" w:sz="4" w:space="0" w:color="auto"/>
            </w:tcBorders>
            <w:vAlign w:val="bottom"/>
            <w:hideMark/>
          </w:tcPr>
          <w:p w14:paraId="60F71CA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66</w:t>
            </w:r>
          </w:p>
        </w:tc>
        <w:tc>
          <w:tcPr>
            <w:tcW w:w="2926" w:type="dxa"/>
            <w:tcBorders>
              <w:top w:val="single" w:sz="4" w:space="0" w:color="auto"/>
              <w:left w:val="single" w:sz="4" w:space="0" w:color="auto"/>
              <w:bottom w:val="single" w:sz="4" w:space="0" w:color="auto"/>
              <w:right w:val="single" w:sz="4" w:space="0" w:color="auto"/>
            </w:tcBorders>
            <w:vAlign w:val="bottom"/>
            <w:hideMark/>
          </w:tcPr>
          <w:p w14:paraId="0313C31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29.3%</w:t>
            </w:r>
          </w:p>
        </w:tc>
      </w:tr>
      <w:tr w:rsidR="00360825" w:rsidRPr="00DE1AA1" w14:paraId="2975E8CA" w14:textId="77777777" w:rsidTr="00C04569">
        <w:tc>
          <w:tcPr>
            <w:tcW w:w="2925" w:type="dxa"/>
            <w:tcBorders>
              <w:top w:val="single" w:sz="4" w:space="0" w:color="auto"/>
              <w:left w:val="single" w:sz="4" w:space="0" w:color="auto"/>
              <w:bottom w:val="single" w:sz="4" w:space="0" w:color="auto"/>
              <w:right w:val="single" w:sz="4" w:space="0" w:color="auto"/>
            </w:tcBorders>
            <w:hideMark/>
          </w:tcPr>
          <w:p w14:paraId="7351607D" w14:textId="72EA26D2" w:rsidR="00360825" w:rsidRPr="00DE1AA1"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w:t>
            </w:r>
            <w:r w:rsidR="008C3225">
              <w:rPr>
                <w:rFonts w:ascii="Arial" w:hAnsi="Arial" w:cs="Arial"/>
                <w:color w:val="000000"/>
              </w:rPr>
              <w:t>otal</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3EF9F4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226</w:t>
            </w:r>
          </w:p>
        </w:tc>
        <w:tc>
          <w:tcPr>
            <w:tcW w:w="2926" w:type="dxa"/>
            <w:tcBorders>
              <w:top w:val="single" w:sz="4" w:space="0" w:color="auto"/>
              <w:left w:val="single" w:sz="4" w:space="0" w:color="auto"/>
              <w:bottom w:val="single" w:sz="4" w:space="0" w:color="auto"/>
              <w:right w:val="single" w:sz="4" w:space="0" w:color="auto"/>
            </w:tcBorders>
            <w:vAlign w:val="bottom"/>
            <w:hideMark/>
          </w:tcPr>
          <w:p w14:paraId="6ABE815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100.0%</w:t>
            </w:r>
          </w:p>
        </w:tc>
      </w:tr>
    </w:tbl>
    <w:p w14:paraId="2B70479B" w14:textId="77777777" w:rsidR="00360825" w:rsidRPr="00DE1AA1" w:rsidRDefault="00360825" w:rsidP="00360825">
      <w:pPr>
        <w:pStyle w:val="Reporttext0"/>
        <w:keepLines w:val="0"/>
        <w:widowControl w:val="0"/>
        <w:numPr>
          <w:ilvl w:val="0"/>
          <w:numId w:val="0"/>
        </w:numPr>
        <w:tabs>
          <w:tab w:val="left" w:pos="720"/>
        </w:tabs>
        <w:spacing w:after="360" w:line="300" w:lineRule="auto"/>
        <w:rPr>
          <w:rFonts w:ascii="Arial" w:hAnsi="Arial" w:cs="Arial"/>
          <w:i/>
          <w:iCs/>
          <w:sz w:val="16"/>
          <w:szCs w:val="16"/>
        </w:rPr>
      </w:pPr>
      <w:r w:rsidRPr="00DE1AA1">
        <w:rPr>
          <w:rFonts w:ascii="Arial" w:hAnsi="Arial" w:cs="Arial"/>
          <w:i/>
          <w:iCs/>
          <w:sz w:val="16"/>
          <w:szCs w:val="16"/>
        </w:rPr>
        <w:t xml:space="preserve">Source: </w:t>
      </w:r>
      <w:proofErr w:type="spellStart"/>
      <w:r w:rsidRPr="00DE1AA1">
        <w:rPr>
          <w:rFonts w:ascii="Arial" w:hAnsi="Arial" w:cs="Arial"/>
          <w:i/>
          <w:iCs/>
          <w:sz w:val="16"/>
          <w:szCs w:val="16"/>
        </w:rPr>
        <w:t>CoRe</w:t>
      </w:r>
      <w:proofErr w:type="spellEnd"/>
      <w:r w:rsidRPr="00DE1AA1">
        <w:rPr>
          <w:rFonts w:ascii="Arial" w:hAnsi="Arial" w:cs="Arial"/>
          <w:i/>
          <w:iCs/>
          <w:sz w:val="16"/>
          <w:szCs w:val="16"/>
        </w:rPr>
        <w:t>/LAHS/Census (2011)</w:t>
      </w:r>
    </w:p>
    <w:p w14:paraId="0D77BDF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PPG model also includes the bringing back of vacant homes into use and the pipeline of affordable housing as part of the supply calculation. These have however not been included within the modelling in this report. Firstly, there is no evidence of any substantial stock of vacant homes (over and above a level that might be expected to allow movement in the stock). Secondly, with the pipeline supply, it is not considered appropriate to include this as to net off new housing would be to fail to show the full extent of the need, although in monitoring it will be important to net off these dwellings as they are completed.</w:t>
      </w:r>
    </w:p>
    <w:p w14:paraId="45BF1FC5" w14:textId="77777777" w:rsidR="00360825" w:rsidRPr="00D556DB" w:rsidRDefault="00360825" w:rsidP="00360825">
      <w:pPr>
        <w:pStyle w:val="Heading3"/>
        <w:rPr>
          <w:rFonts w:ascii="Arial" w:hAnsi="Arial" w:cs="Arial"/>
        </w:rPr>
      </w:pPr>
      <w:r w:rsidRPr="00D556DB">
        <w:rPr>
          <w:rStyle w:val="Strong"/>
          <w:rFonts w:ascii="Arial" w:hAnsi="Arial" w:cs="Arial"/>
          <w:b/>
          <w:bCs w:val="0"/>
        </w:rPr>
        <w:t>Net Need for Social/Affordable rented Housing</w:t>
      </w:r>
    </w:p>
    <w:p w14:paraId="5032922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table below shows the overall calculation of affordable housing need. The analysis shows that there is a need for </w:t>
      </w:r>
      <w:r>
        <w:rPr>
          <w:rFonts w:ascii="Arial" w:hAnsi="Arial" w:cs="Arial"/>
        </w:rPr>
        <w:t>278</w:t>
      </w:r>
      <w:r w:rsidRPr="00D556DB">
        <w:rPr>
          <w:rFonts w:ascii="Arial" w:hAnsi="Arial" w:cs="Arial"/>
        </w:rPr>
        <w:t xml:space="preserve"> dwellings per annum across the area – an affordable need is seen in all sub-areas. The net need is calculated as follows:</w:t>
      </w:r>
    </w:p>
    <w:p w14:paraId="3F1D7D84" w14:textId="77777777" w:rsidR="00360825" w:rsidRPr="00D556DB" w:rsidRDefault="00360825" w:rsidP="00360825">
      <w:pPr>
        <w:pStyle w:val="BodyText"/>
        <w:numPr>
          <w:ilvl w:val="0"/>
          <w:numId w:val="0"/>
        </w:numPr>
        <w:tabs>
          <w:tab w:val="left" w:pos="720"/>
        </w:tabs>
        <w:spacing w:line="300" w:lineRule="auto"/>
        <w:ind w:right="720"/>
        <w:jc w:val="center"/>
        <w:rPr>
          <w:rFonts w:ascii="Arial" w:hAnsi="Arial" w:cs="Arial"/>
          <w:b/>
        </w:rPr>
      </w:pPr>
      <w:r w:rsidRPr="00D556DB">
        <w:rPr>
          <w:rFonts w:ascii="Arial" w:hAnsi="Arial" w:cs="Arial"/>
          <w:b/>
        </w:rPr>
        <w:t>Net Need = Current Need (allowance for) + Need from Newly-Forming Households + Existing Households falling into Need – Supply of Affordable Housing</w:t>
      </w:r>
    </w:p>
    <w:p w14:paraId="69651641" w14:textId="77777777" w:rsidR="00360825" w:rsidRPr="00D556DB" w:rsidRDefault="00360825" w:rsidP="001A7584">
      <w:pPr>
        <w:pStyle w:val="Heading4"/>
        <w:ind w:firstLine="0"/>
      </w:pPr>
      <w:r w:rsidRPr="00D556DB">
        <w:t>Estimated Need for Social/Affordable Rented Housing by sub-area (per annum)</w:t>
      </w:r>
    </w:p>
    <w:tbl>
      <w:tblPr>
        <w:tblStyle w:val="TableTheme"/>
        <w:tblW w:w="5000" w:type="pct"/>
        <w:tblInd w:w="0" w:type="dxa"/>
        <w:tblLayout w:type="fixed"/>
        <w:tblLook w:val="04A0" w:firstRow="1" w:lastRow="0" w:firstColumn="1" w:lastColumn="0" w:noHBand="0" w:noVBand="1"/>
      </w:tblPr>
      <w:tblGrid>
        <w:gridCol w:w="2122"/>
        <w:gridCol w:w="990"/>
        <w:gridCol w:w="1133"/>
        <w:gridCol w:w="1420"/>
        <w:gridCol w:w="1418"/>
        <w:gridCol w:w="850"/>
        <w:gridCol w:w="844"/>
      </w:tblGrid>
      <w:tr w:rsidR="00360825" w:rsidRPr="00FF7D83" w14:paraId="5CCA2D3C" w14:textId="77777777" w:rsidTr="008C3225">
        <w:tc>
          <w:tcPr>
            <w:tcW w:w="2122" w:type="dxa"/>
            <w:tcBorders>
              <w:top w:val="single" w:sz="4" w:space="0" w:color="auto"/>
              <w:left w:val="single" w:sz="4" w:space="0" w:color="auto"/>
              <w:bottom w:val="single" w:sz="4" w:space="0" w:color="auto"/>
              <w:right w:val="single" w:sz="4" w:space="0" w:color="auto"/>
            </w:tcBorders>
            <w:shd w:val="clear" w:color="auto" w:fill="002060"/>
          </w:tcPr>
          <w:p w14:paraId="6613ABA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
              </w:rPr>
            </w:pPr>
          </w:p>
        </w:tc>
        <w:tc>
          <w:tcPr>
            <w:tcW w:w="99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AC2E8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Current need</w:t>
            </w:r>
          </w:p>
        </w:tc>
        <w:tc>
          <w:tcPr>
            <w:tcW w:w="113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81F89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Newly forming house-holds</w:t>
            </w:r>
          </w:p>
        </w:tc>
        <w:tc>
          <w:tcPr>
            <w:tcW w:w="142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02A82E3" w14:textId="42EA3D9F"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Existing households falling into need</w:t>
            </w:r>
          </w:p>
        </w:tc>
        <w:tc>
          <w:tcPr>
            <w:tcW w:w="141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9EC03A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 Gross Need</w:t>
            </w:r>
          </w:p>
        </w:tc>
        <w:tc>
          <w:tcPr>
            <w:tcW w:w="85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E53DDB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Relet Supply</w:t>
            </w:r>
          </w:p>
        </w:tc>
        <w:tc>
          <w:tcPr>
            <w:tcW w:w="84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26D0E4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Net Need</w:t>
            </w:r>
          </w:p>
        </w:tc>
      </w:tr>
      <w:tr w:rsidR="00360825" w:rsidRPr="00FF7D83" w14:paraId="31AB27C8" w14:textId="77777777" w:rsidTr="008C3225">
        <w:tc>
          <w:tcPr>
            <w:tcW w:w="2122" w:type="dxa"/>
            <w:tcBorders>
              <w:top w:val="single" w:sz="4" w:space="0" w:color="auto"/>
              <w:left w:val="single" w:sz="4" w:space="0" w:color="auto"/>
              <w:bottom w:val="single" w:sz="4" w:space="0" w:color="auto"/>
              <w:right w:val="single" w:sz="4" w:space="0" w:color="auto"/>
            </w:tcBorders>
            <w:vAlign w:val="bottom"/>
            <w:hideMark/>
          </w:tcPr>
          <w:p w14:paraId="5336367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FF7D83">
              <w:rPr>
                <w:rFonts w:ascii="Arial" w:hAnsi="Arial" w:cs="Arial"/>
                <w:color w:val="000000"/>
              </w:rPr>
              <w:t>Chichester City</w:t>
            </w:r>
          </w:p>
        </w:tc>
        <w:tc>
          <w:tcPr>
            <w:tcW w:w="990" w:type="dxa"/>
            <w:tcBorders>
              <w:top w:val="single" w:sz="4" w:space="0" w:color="auto"/>
              <w:left w:val="single" w:sz="4" w:space="0" w:color="auto"/>
              <w:bottom w:val="single" w:sz="4" w:space="0" w:color="auto"/>
              <w:right w:val="single" w:sz="4" w:space="0" w:color="auto"/>
            </w:tcBorders>
            <w:vAlign w:val="bottom"/>
            <w:hideMark/>
          </w:tcPr>
          <w:p w14:paraId="61D4E4C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17</w:t>
            </w:r>
          </w:p>
        </w:tc>
        <w:tc>
          <w:tcPr>
            <w:tcW w:w="1133" w:type="dxa"/>
            <w:tcBorders>
              <w:top w:val="single" w:sz="4" w:space="0" w:color="auto"/>
              <w:left w:val="single" w:sz="4" w:space="0" w:color="auto"/>
              <w:bottom w:val="single" w:sz="4" w:space="0" w:color="auto"/>
              <w:right w:val="single" w:sz="4" w:space="0" w:color="auto"/>
            </w:tcBorders>
            <w:vAlign w:val="bottom"/>
            <w:hideMark/>
          </w:tcPr>
          <w:p w14:paraId="3F5A575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93</w:t>
            </w:r>
          </w:p>
        </w:tc>
        <w:tc>
          <w:tcPr>
            <w:tcW w:w="1420" w:type="dxa"/>
            <w:tcBorders>
              <w:top w:val="single" w:sz="4" w:space="0" w:color="auto"/>
              <w:left w:val="single" w:sz="4" w:space="0" w:color="auto"/>
              <w:bottom w:val="single" w:sz="4" w:space="0" w:color="auto"/>
              <w:right w:val="single" w:sz="4" w:space="0" w:color="auto"/>
            </w:tcBorders>
            <w:vAlign w:val="bottom"/>
            <w:hideMark/>
          </w:tcPr>
          <w:p w14:paraId="07D4F69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24</w:t>
            </w:r>
          </w:p>
        </w:tc>
        <w:tc>
          <w:tcPr>
            <w:tcW w:w="1418" w:type="dxa"/>
            <w:tcBorders>
              <w:top w:val="single" w:sz="4" w:space="0" w:color="auto"/>
              <w:left w:val="single" w:sz="4" w:space="0" w:color="auto"/>
              <w:bottom w:val="single" w:sz="4" w:space="0" w:color="auto"/>
              <w:right w:val="single" w:sz="4" w:space="0" w:color="auto"/>
            </w:tcBorders>
            <w:vAlign w:val="bottom"/>
            <w:hideMark/>
          </w:tcPr>
          <w:p w14:paraId="1005378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134</w:t>
            </w:r>
          </w:p>
        </w:tc>
        <w:tc>
          <w:tcPr>
            <w:tcW w:w="850" w:type="dxa"/>
            <w:tcBorders>
              <w:top w:val="single" w:sz="4" w:space="0" w:color="auto"/>
              <w:left w:val="single" w:sz="4" w:space="0" w:color="auto"/>
              <w:bottom w:val="single" w:sz="4" w:space="0" w:color="auto"/>
              <w:right w:val="single" w:sz="4" w:space="0" w:color="auto"/>
            </w:tcBorders>
            <w:vAlign w:val="bottom"/>
            <w:hideMark/>
          </w:tcPr>
          <w:p w14:paraId="3331129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84</w:t>
            </w:r>
          </w:p>
        </w:tc>
        <w:tc>
          <w:tcPr>
            <w:tcW w:w="844" w:type="dxa"/>
            <w:tcBorders>
              <w:top w:val="single" w:sz="4" w:space="0" w:color="auto"/>
              <w:left w:val="single" w:sz="4" w:space="0" w:color="auto"/>
              <w:bottom w:val="single" w:sz="4" w:space="0" w:color="auto"/>
              <w:right w:val="single" w:sz="4" w:space="0" w:color="auto"/>
            </w:tcBorders>
            <w:vAlign w:val="bottom"/>
            <w:hideMark/>
          </w:tcPr>
          <w:p w14:paraId="7CA3C43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50</w:t>
            </w:r>
          </w:p>
        </w:tc>
      </w:tr>
      <w:tr w:rsidR="00360825" w:rsidRPr="00FF7D83" w14:paraId="4C543896" w14:textId="77777777" w:rsidTr="008C3225">
        <w:tc>
          <w:tcPr>
            <w:tcW w:w="2122" w:type="dxa"/>
            <w:tcBorders>
              <w:top w:val="single" w:sz="4" w:space="0" w:color="auto"/>
              <w:left w:val="single" w:sz="4" w:space="0" w:color="auto"/>
              <w:bottom w:val="single" w:sz="4" w:space="0" w:color="auto"/>
              <w:right w:val="single" w:sz="4" w:space="0" w:color="auto"/>
            </w:tcBorders>
            <w:vAlign w:val="bottom"/>
            <w:hideMark/>
          </w:tcPr>
          <w:p w14:paraId="0E21E752"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FF7D83">
              <w:rPr>
                <w:rFonts w:ascii="Arial" w:hAnsi="Arial" w:cs="Arial"/>
                <w:color w:val="000000"/>
              </w:rPr>
              <w:t>EW Corridor</w:t>
            </w:r>
          </w:p>
        </w:tc>
        <w:tc>
          <w:tcPr>
            <w:tcW w:w="990" w:type="dxa"/>
            <w:tcBorders>
              <w:top w:val="single" w:sz="4" w:space="0" w:color="auto"/>
              <w:left w:val="single" w:sz="4" w:space="0" w:color="auto"/>
              <w:bottom w:val="single" w:sz="4" w:space="0" w:color="auto"/>
              <w:right w:val="single" w:sz="4" w:space="0" w:color="auto"/>
            </w:tcBorders>
            <w:vAlign w:val="bottom"/>
            <w:hideMark/>
          </w:tcPr>
          <w:p w14:paraId="45B3E91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9</w:t>
            </w:r>
          </w:p>
        </w:tc>
        <w:tc>
          <w:tcPr>
            <w:tcW w:w="1133" w:type="dxa"/>
            <w:tcBorders>
              <w:top w:val="single" w:sz="4" w:space="0" w:color="auto"/>
              <w:left w:val="single" w:sz="4" w:space="0" w:color="auto"/>
              <w:bottom w:val="single" w:sz="4" w:space="0" w:color="auto"/>
              <w:right w:val="single" w:sz="4" w:space="0" w:color="auto"/>
            </w:tcBorders>
            <w:vAlign w:val="bottom"/>
            <w:hideMark/>
          </w:tcPr>
          <w:p w14:paraId="2201E8F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71</w:t>
            </w:r>
          </w:p>
        </w:tc>
        <w:tc>
          <w:tcPr>
            <w:tcW w:w="1420" w:type="dxa"/>
            <w:tcBorders>
              <w:top w:val="single" w:sz="4" w:space="0" w:color="auto"/>
              <w:left w:val="single" w:sz="4" w:space="0" w:color="auto"/>
              <w:bottom w:val="single" w:sz="4" w:space="0" w:color="auto"/>
              <w:right w:val="single" w:sz="4" w:space="0" w:color="auto"/>
            </w:tcBorders>
            <w:vAlign w:val="bottom"/>
            <w:hideMark/>
          </w:tcPr>
          <w:p w14:paraId="3E52AB1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10</w:t>
            </w:r>
          </w:p>
        </w:tc>
        <w:tc>
          <w:tcPr>
            <w:tcW w:w="1418" w:type="dxa"/>
            <w:tcBorders>
              <w:top w:val="single" w:sz="4" w:space="0" w:color="auto"/>
              <w:left w:val="single" w:sz="4" w:space="0" w:color="auto"/>
              <w:bottom w:val="single" w:sz="4" w:space="0" w:color="auto"/>
              <w:right w:val="single" w:sz="4" w:space="0" w:color="auto"/>
            </w:tcBorders>
            <w:vAlign w:val="bottom"/>
            <w:hideMark/>
          </w:tcPr>
          <w:p w14:paraId="0479572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90</w:t>
            </w:r>
          </w:p>
        </w:tc>
        <w:tc>
          <w:tcPr>
            <w:tcW w:w="850" w:type="dxa"/>
            <w:tcBorders>
              <w:top w:val="single" w:sz="4" w:space="0" w:color="auto"/>
              <w:left w:val="single" w:sz="4" w:space="0" w:color="auto"/>
              <w:bottom w:val="single" w:sz="4" w:space="0" w:color="auto"/>
              <w:right w:val="single" w:sz="4" w:space="0" w:color="auto"/>
            </w:tcBorders>
            <w:vAlign w:val="bottom"/>
            <w:hideMark/>
          </w:tcPr>
          <w:p w14:paraId="3E118B4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34</w:t>
            </w:r>
          </w:p>
        </w:tc>
        <w:tc>
          <w:tcPr>
            <w:tcW w:w="844" w:type="dxa"/>
            <w:tcBorders>
              <w:top w:val="single" w:sz="4" w:space="0" w:color="auto"/>
              <w:left w:val="single" w:sz="4" w:space="0" w:color="auto"/>
              <w:bottom w:val="single" w:sz="4" w:space="0" w:color="auto"/>
              <w:right w:val="single" w:sz="4" w:space="0" w:color="auto"/>
            </w:tcBorders>
            <w:vAlign w:val="bottom"/>
            <w:hideMark/>
          </w:tcPr>
          <w:p w14:paraId="4218CBE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56</w:t>
            </w:r>
          </w:p>
        </w:tc>
      </w:tr>
      <w:tr w:rsidR="00360825" w:rsidRPr="00FF7D83" w14:paraId="12F91CA8" w14:textId="77777777" w:rsidTr="008C3225">
        <w:tc>
          <w:tcPr>
            <w:tcW w:w="2122" w:type="dxa"/>
            <w:tcBorders>
              <w:top w:val="single" w:sz="4" w:space="0" w:color="auto"/>
              <w:left w:val="single" w:sz="4" w:space="0" w:color="auto"/>
              <w:bottom w:val="single" w:sz="4" w:space="0" w:color="auto"/>
              <w:right w:val="single" w:sz="4" w:space="0" w:color="auto"/>
            </w:tcBorders>
            <w:vAlign w:val="bottom"/>
            <w:hideMark/>
          </w:tcPr>
          <w:p w14:paraId="560BA52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FF7D83">
              <w:rPr>
                <w:rFonts w:ascii="Arial" w:hAnsi="Arial" w:cs="Arial"/>
                <w:color w:val="000000"/>
              </w:rPr>
              <w:t>Manhood</w:t>
            </w:r>
          </w:p>
        </w:tc>
        <w:tc>
          <w:tcPr>
            <w:tcW w:w="990" w:type="dxa"/>
            <w:tcBorders>
              <w:top w:val="single" w:sz="4" w:space="0" w:color="auto"/>
              <w:left w:val="single" w:sz="4" w:space="0" w:color="auto"/>
              <w:bottom w:val="single" w:sz="4" w:space="0" w:color="auto"/>
              <w:right w:val="single" w:sz="4" w:space="0" w:color="auto"/>
            </w:tcBorders>
            <w:vAlign w:val="bottom"/>
            <w:hideMark/>
          </w:tcPr>
          <w:p w14:paraId="17CB16F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15</w:t>
            </w:r>
          </w:p>
        </w:tc>
        <w:tc>
          <w:tcPr>
            <w:tcW w:w="1133" w:type="dxa"/>
            <w:tcBorders>
              <w:top w:val="single" w:sz="4" w:space="0" w:color="auto"/>
              <w:left w:val="single" w:sz="4" w:space="0" w:color="auto"/>
              <w:bottom w:val="single" w:sz="4" w:space="0" w:color="auto"/>
              <w:right w:val="single" w:sz="4" w:space="0" w:color="auto"/>
            </w:tcBorders>
            <w:vAlign w:val="bottom"/>
            <w:hideMark/>
          </w:tcPr>
          <w:p w14:paraId="653CE71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83</w:t>
            </w:r>
          </w:p>
        </w:tc>
        <w:tc>
          <w:tcPr>
            <w:tcW w:w="1420" w:type="dxa"/>
            <w:tcBorders>
              <w:top w:val="single" w:sz="4" w:space="0" w:color="auto"/>
              <w:left w:val="single" w:sz="4" w:space="0" w:color="auto"/>
              <w:bottom w:val="single" w:sz="4" w:space="0" w:color="auto"/>
              <w:right w:val="single" w:sz="4" w:space="0" w:color="auto"/>
            </w:tcBorders>
            <w:vAlign w:val="bottom"/>
            <w:hideMark/>
          </w:tcPr>
          <w:p w14:paraId="6C7AEDC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10</w:t>
            </w:r>
          </w:p>
        </w:tc>
        <w:tc>
          <w:tcPr>
            <w:tcW w:w="1418" w:type="dxa"/>
            <w:tcBorders>
              <w:top w:val="single" w:sz="4" w:space="0" w:color="auto"/>
              <w:left w:val="single" w:sz="4" w:space="0" w:color="auto"/>
              <w:bottom w:val="single" w:sz="4" w:space="0" w:color="auto"/>
              <w:right w:val="single" w:sz="4" w:space="0" w:color="auto"/>
            </w:tcBorders>
            <w:vAlign w:val="bottom"/>
            <w:hideMark/>
          </w:tcPr>
          <w:p w14:paraId="43016FA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108</w:t>
            </w:r>
          </w:p>
        </w:tc>
        <w:tc>
          <w:tcPr>
            <w:tcW w:w="850" w:type="dxa"/>
            <w:tcBorders>
              <w:top w:val="single" w:sz="4" w:space="0" w:color="auto"/>
              <w:left w:val="single" w:sz="4" w:space="0" w:color="auto"/>
              <w:bottom w:val="single" w:sz="4" w:space="0" w:color="auto"/>
              <w:right w:val="single" w:sz="4" w:space="0" w:color="auto"/>
            </w:tcBorders>
            <w:vAlign w:val="bottom"/>
            <w:hideMark/>
          </w:tcPr>
          <w:p w14:paraId="2925D4C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32</w:t>
            </w:r>
          </w:p>
        </w:tc>
        <w:tc>
          <w:tcPr>
            <w:tcW w:w="844" w:type="dxa"/>
            <w:tcBorders>
              <w:top w:val="single" w:sz="4" w:space="0" w:color="auto"/>
              <w:left w:val="single" w:sz="4" w:space="0" w:color="auto"/>
              <w:bottom w:val="single" w:sz="4" w:space="0" w:color="auto"/>
              <w:right w:val="single" w:sz="4" w:space="0" w:color="auto"/>
            </w:tcBorders>
            <w:vAlign w:val="bottom"/>
            <w:hideMark/>
          </w:tcPr>
          <w:p w14:paraId="2B5FBD9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76</w:t>
            </w:r>
          </w:p>
        </w:tc>
      </w:tr>
      <w:tr w:rsidR="00360825" w:rsidRPr="00FF7D83" w14:paraId="4E4AB32C" w14:textId="77777777" w:rsidTr="008C3225">
        <w:tc>
          <w:tcPr>
            <w:tcW w:w="2122" w:type="dxa"/>
            <w:tcBorders>
              <w:top w:val="single" w:sz="4" w:space="0" w:color="auto"/>
              <w:left w:val="single" w:sz="4" w:space="0" w:color="auto"/>
              <w:bottom w:val="single" w:sz="4" w:space="0" w:color="auto"/>
              <w:right w:val="single" w:sz="4" w:space="0" w:color="auto"/>
            </w:tcBorders>
            <w:vAlign w:val="bottom"/>
            <w:hideMark/>
          </w:tcPr>
          <w:p w14:paraId="79CD017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FF7D83">
              <w:rPr>
                <w:rFonts w:ascii="Arial" w:hAnsi="Arial" w:cs="Arial"/>
                <w:color w:val="000000"/>
              </w:rPr>
              <w:t>Plan Area North</w:t>
            </w:r>
          </w:p>
        </w:tc>
        <w:tc>
          <w:tcPr>
            <w:tcW w:w="990" w:type="dxa"/>
            <w:tcBorders>
              <w:top w:val="single" w:sz="4" w:space="0" w:color="auto"/>
              <w:left w:val="single" w:sz="4" w:space="0" w:color="auto"/>
              <w:bottom w:val="single" w:sz="4" w:space="0" w:color="auto"/>
              <w:right w:val="single" w:sz="4" w:space="0" w:color="auto"/>
            </w:tcBorders>
            <w:vAlign w:val="bottom"/>
            <w:hideMark/>
          </w:tcPr>
          <w:p w14:paraId="48BF1BE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w:t>
            </w:r>
          </w:p>
        </w:tc>
        <w:tc>
          <w:tcPr>
            <w:tcW w:w="1133" w:type="dxa"/>
            <w:tcBorders>
              <w:top w:val="single" w:sz="4" w:space="0" w:color="auto"/>
              <w:left w:val="single" w:sz="4" w:space="0" w:color="auto"/>
              <w:bottom w:val="single" w:sz="4" w:space="0" w:color="auto"/>
              <w:right w:val="single" w:sz="4" w:space="0" w:color="auto"/>
            </w:tcBorders>
            <w:vAlign w:val="bottom"/>
            <w:hideMark/>
          </w:tcPr>
          <w:p w14:paraId="669E8B1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30</w:t>
            </w:r>
          </w:p>
        </w:tc>
        <w:tc>
          <w:tcPr>
            <w:tcW w:w="1420" w:type="dxa"/>
            <w:tcBorders>
              <w:top w:val="single" w:sz="4" w:space="0" w:color="auto"/>
              <w:left w:val="single" w:sz="4" w:space="0" w:color="auto"/>
              <w:bottom w:val="single" w:sz="4" w:space="0" w:color="auto"/>
              <w:right w:val="single" w:sz="4" w:space="0" w:color="auto"/>
            </w:tcBorders>
            <w:vAlign w:val="bottom"/>
            <w:hideMark/>
          </w:tcPr>
          <w:p w14:paraId="6B4ADC3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w:t>
            </w:r>
          </w:p>
        </w:tc>
        <w:tc>
          <w:tcPr>
            <w:tcW w:w="1418" w:type="dxa"/>
            <w:tcBorders>
              <w:top w:val="single" w:sz="4" w:space="0" w:color="auto"/>
              <w:left w:val="single" w:sz="4" w:space="0" w:color="auto"/>
              <w:bottom w:val="single" w:sz="4" w:space="0" w:color="auto"/>
              <w:right w:val="single" w:sz="4" w:space="0" w:color="auto"/>
            </w:tcBorders>
            <w:vAlign w:val="bottom"/>
            <w:hideMark/>
          </w:tcPr>
          <w:p w14:paraId="31EE917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36</w:t>
            </w:r>
          </w:p>
        </w:tc>
        <w:tc>
          <w:tcPr>
            <w:tcW w:w="850" w:type="dxa"/>
            <w:tcBorders>
              <w:top w:val="single" w:sz="4" w:space="0" w:color="auto"/>
              <w:left w:val="single" w:sz="4" w:space="0" w:color="auto"/>
              <w:bottom w:val="single" w:sz="4" w:space="0" w:color="auto"/>
              <w:right w:val="single" w:sz="4" w:space="0" w:color="auto"/>
            </w:tcBorders>
            <w:vAlign w:val="bottom"/>
            <w:hideMark/>
          </w:tcPr>
          <w:p w14:paraId="284FE66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9</w:t>
            </w:r>
          </w:p>
        </w:tc>
        <w:tc>
          <w:tcPr>
            <w:tcW w:w="844" w:type="dxa"/>
            <w:tcBorders>
              <w:top w:val="single" w:sz="4" w:space="0" w:color="auto"/>
              <w:left w:val="single" w:sz="4" w:space="0" w:color="auto"/>
              <w:bottom w:val="single" w:sz="4" w:space="0" w:color="auto"/>
              <w:right w:val="single" w:sz="4" w:space="0" w:color="auto"/>
            </w:tcBorders>
            <w:vAlign w:val="bottom"/>
            <w:hideMark/>
          </w:tcPr>
          <w:p w14:paraId="1C46417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27</w:t>
            </w:r>
          </w:p>
        </w:tc>
      </w:tr>
      <w:tr w:rsidR="00360825" w:rsidRPr="00FF7D83" w14:paraId="6E88F58E" w14:textId="77777777" w:rsidTr="008C3225">
        <w:tc>
          <w:tcPr>
            <w:tcW w:w="2122" w:type="dxa"/>
            <w:tcBorders>
              <w:top w:val="single" w:sz="4" w:space="0" w:color="auto"/>
              <w:left w:val="single" w:sz="4" w:space="0" w:color="auto"/>
              <w:bottom w:val="single" w:sz="4" w:space="0" w:color="auto"/>
              <w:right w:val="single" w:sz="4" w:space="0" w:color="auto"/>
            </w:tcBorders>
            <w:vAlign w:val="bottom"/>
            <w:hideMark/>
          </w:tcPr>
          <w:p w14:paraId="22C86E4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FF7D83">
              <w:rPr>
                <w:rFonts w:ascii="Arial" w:hAnsi="Arial" w:cs="Arial"/>
                <w:color w:val="000000"/>
              </w:rPr>
              <w:t>SDNP</w:t>
            </w:r>
          </w:p>
        </w:tc>
        <w:tc>
          <w:tcPr>
            <w:tcW w:w="990" w:type="dxa"/>
            <w:tcBorders>
              <w:top w:val="single" w:sz="4" w:space="0" w:color="auto"/>
              <w:left w:val="single" w:sz="4" w:space="0" w:color="auto"/>
              <w:bottom w:val="single" w:sz="4" w:space="0" w:color="auto"/>
              <w:right w:val="single" w:sz="4" w:space="0" w:color="auto"/>
            </w:tcBorders>
            <w:vAlign w:val="bottom"/>
            <w:hideMark/>
          </w:tcPr>
          <w:p w14:paraId="7E3ABA8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14</w:t>
            </w:r>
          </w:p>
        </w:tc>
        <w:tc>
          <w:tcPr>
            <w:tcW w:w="1133" w:type="dxa"/>
            <w:tcBorders>
              <w:top w:val="single" w:sz="4" w:space="0" w:color="auto"/>
              <w:left w:val="single" w:sz="4" w:space="0" w:color="auto"/>
              <w:bottom w:val="single" w:sz="4" w:space="0" w:color="auto"/>
              <w:right w:val="single" w:sz="4" w:space="0" w:color="auto"/>
            </w:tcBorders>
            <w:vAlign w:val="bottom"/>
            <w:hideMark/>
          </w:tcPr>
          <w:p w14:paraId="2E13DEF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102</w:t>
            </w:r>
          </w:p>
        </w:tc>
        <w:tc>
          <w:tcPr>
            <w:tcW w:w="1420" w:type="dxa"/>
            <w:tcBorders>
              <w:top w:val="single" w:sz="4" w:space="0" w:color="auto"/>
              <w:left w:val="single" w:sz="4" w:space="0" w:color="auto"/>
              <w:bottom w:val="single" w:sz="4" w:space="0" w:color="auto"/>
              <w:right w:val="single" w:sz="4" w:space="0" w:color="auto"/>
            </w:tcBorders>
            <w:vAlign w:val="bottom"/>
            <w:hideMark/>
          </w:tcPr>
          <w:p w14:paraId="4B5D432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20</w:t>
            </w:r>
          </w:p>
        </w:tc>
        <w:tc>
          <w:tcPr>
            <w:tcW w:w="1418" w:type="dxa"/>
            <w:tcBorders>
              <w:top w:val="single" w:sz="4" w:space="0" w:color="auto"/>
              <w:left w:val="single" w:sz="4" w:space="0" w:color="auto"/>
              <w:bottom w:val="single" w:sz="4" w:space="0" w:color="auto"/>
              <w:right w:val="single" w:sz="4" w:space="0" w:color="auto"/>
            </w:tcBorders>
            <w:vAlign w:val="bottom"/>
            <w:hideMark/>
          </w:tcPr>
          <w:p w14:paraId="53E538E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136</w:t>
            </w:r>
          </w:p>
        </w:tc>
        <w:tc>
          <w:tcPr>
            <w:tcW w:w="850" w:type="dxa"/>
            <w:tcBorders>
              <w:top w:val="single" w:sz="4" w:space="0" w:color="auto"/>
              <w:left w:val="single" w:sz="4" w:space="0" w:color="auto"/>
              <w:bottom w:val="single" w:sz="4" w:space="0" w:color="auto"/>
              <w:right w:val="single" w:sz="4" w:space="0" w:color="auto"/>
            </w:tcBorders>
            <w:vAlign w:val="bottom"/>
            <w:hideMark/>
          </w:tcPr>
          <w:p w14:paraId="1BC5EA8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66</w:t>
            </w:r>
          </w:p>
        </w:tc>
        <w:tc>
          <w:tcPr>
            <w:tcW w:w="844" w:type="dxa"/>
            <w:tcBorders>
              <w:top w:val="single" w:sz="4" w:space="0" w:color="auto"/>
              <w:left w:val="single" w:sz="4" w:space="0" w:color="auto"/>
              <w:bottom w:val="single" w:sz="4" w:space="0" w:color="auto"/>
              <w:right w:val="single" w:sz="4" w:space="0" w:color="auto"/>
            </w:tcBorders>
            <w:vAlign w:val="bottom"/>
            <w:hideMark/>
          </w:tcPr>
          <w:p w14:paraId="12C36F1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70</w:t>
            </w:r>
          </w:p>
        </w:tc>
      </w:tr>
      <w:tr w:rsidR="00360825" w:rsidRPr="00FF7D83" w14:paraId="77E54CE4" w14:textId="77777777" w:rsidTr="008C3225">
        <w:tc>
          <w:tcPr>
            <w:tcW w:w="2122" w:type="dxa"/>
            <w:tcBorders>
              <w:top w:val="single" w:sz="4" w:space="0" w:color="auto"/>
              <w:left w:val="single" w:sz="4" w:space="0" w:color="auto"/>
              <w:bottom w:val="single" w:sz="4" w:space="0" w:color="auto"/>
              <w:right w:val="single" w:sz="4" w:space="0" w:color="auto"/>
            </w:tcBorders>
            <w:hideMark/>
          </w:tcPr>
          <w:p w14:paraId="174137A2" w14:textId="76472729"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w:t>
            </w:r>
            <w:r w:rsidR="008C3225">
              <w:rPr>
                <w:rFonts w:ascii="Arial" w:hAnsi="Arial" w:cs="Arial"/>
                <w:color w:val="000000"/>
              </w:rPr>
              <w:t>otal</w:t>
            </w:r>
          </w:p>
        </w:tc>
        <w:tc>
          <w:tcPr>
            <w:tcW w:w="990" w:type="dxa"/>
            <w:tcBorders>
              <w:top w:val="single" w:sz="4" w:space="0" w:color="auto"/>
              <w:left w:val="single" w:sz="4" w:space="0" w:color="auto"/>
              <w:bottom w:val="single" w:sz="4" w:space="0" w:color="auto"/>
              <w:right w:val="single" w:sz="4" w:space="0" w:color="auto"/>
            </w:tcBorders>
            <w:vAlign w:val="bottom"/>
            <w:hideMark/>
          </w:tcPr>
          <w:p w14:paraId="3BFFFCD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58</w:t>
            </w:r>
          </w:p>
        </w:tc>
        <w:tc>
          <w:tcPr>
            <w:tcW w:w="1133" w:type="dxa"/>
            <w:tcBorders>
              <w:top w:val="single" w:sz="4" w:space="0" w:color="auto"/>
              <w:left w:val="single" w:sz="4" w:space="0" w:color="auto"/>
              <w:bottom w:val="single" w:sz="4" w:space="0" w:color="auto"/>
              <w:right w:val="single" w:sz="4" w:space="0" w:color="auto"/>
            </w:tcBorders>
            <w:vAlign w:val="bottom"/>
            <w:hideMark/>
          </w:tcPr>
          <w:p w14:paraId="6692DC4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380</w:t>
            </w:r>
          </w:p>
        </w:tc>
        <w:tc>
          <w:tcPr>
            <w:tcW w:w="1420" w:type="dxa"/>
            <w:tcBorders>
              <w:top w:val="single" w:sz="4" w:space="0" w:color="auto"/>
              <w:left w:val="single" w:sz="4" w:space="0" w:color="auto"/>
              <w:bottom w:val="single" w:sz="4" w:space="0" w:color="auto"/>
              <w:right w:val="single" w:sz="4" w:space="0" w:color="auto"/>
            </w:tcBorders>
            <w:vAlign w:val="bottom"/>
            <w:hideMark/>
          </w:tcPr>
          <w:p w14:paraId="2B188CE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66</w:t>
            </w:r>
          </w:p>
        </w:tc>
        <w:tc>
          <w:tcPr>
            <w:tcW w:w="1418" w:type="dxa"/>
            <w:tcBorders>
              <w:top w:val="single" w:sz="4" w:space="0" w:color="auto"/>
              <w:left w:val="single" w:sz="4" w:space="0" w:color="auto"/>
              <w:bottom w:val="single" w:sz="4" w:space="0" w:color="auto"/>
              <w:right w:val="single" w:sz="4" w:space="0" w:color="auto"/>
            </w:tcBorders>
            <w:vAlign w:val="bottom"/>
            <w:hideMark/>
          </w:tcPr>
          <w:p w14:paraId="67E1FA8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504</w:t>
            </w:r>
          </w:p>
        </w:tc>
        <w:tc>
          <w:tcPr>
            <w:tcW w:w="850" w:type="dxa"/>
            <w:tcBorders>
              <w:top w:val="single" w:sz="4" w:space="0" w:color="auto"/>
              <w:left w:val="single" w:sz="4" w:space="0" w:color="auto"/>
              <w:bottom w:val="single" w:sz="4" w:space="0" w:color="auto"/>
              <w:right w:val="single" w:sz="4" w:space="0" w:color="auto"/>
            </w:tcBorders>
            <w:vAlign w:val="bottom"/>
            <w:hideMark/>
          </w:tcPr>
          <w:p w14:paraId="6354852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226</w:t>
            </w:r>
          </w:p>
        </w:tc>
        <w:tc>
          <w:tcPr>
            <w:tcW w:w="844" w:type="dxa"/>
            <w:tcBorders>
              <w:top w:val="single" w:sz="4" w:space="0" w:color="auto"/>
              <w:left w:val="single" w:sz="4" w:space="0" w:color="auto"/>
              <w:bottom w:val="single" w:sz="4" w:space="0" w:color="auto"/>
              <w:right w:val="single" w:sz="4" w:space="0" w:color="auto"/>
            </w:tcBorders>
            <w:vAlign w:val="bottom"/>
            <w:hideMark/>
          </w:tcPr>
          <w:p w14:paraId="3C85E66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278</w:t>
            </w:r>
          </w:p>
        </w:tc>
      </w:tr>
    </w:tbl>
    <w:p w14:paraId="32C3C59C" w14:textId="77777777" w:rsidR="00360825" w:rsidRPr="00DE1AA1" w:rsidRDefault="00360825" w:rsidP="00360825">
      <w:pPr>
        <w:spacing w:line="300" w:lineRule="auto"/>
        <w:rPr>
          <w:rFonts w:ascii="Arial" w:hAnsi="Arial" w:cs="Arial"/>
          <w:i/>
          <w:iCs/>
          <w:sz w:val="16"/>
          <w:szCs w:val="16"/>
        </w:rPr>
      </w:pPr>
      <w:r w:rsidRPr="00FF7D83">
        <w:rPr>
          <w:rFonts w:ascii="Arial" w:hAnsi="Arial" w:cs="Arial"/>
          <w:i/>
          <w:iCs/>
          <w:sz w:val="16"/>
          <w:szCs w:val="16"/>
        </w:rPr>
        <w:t>Source: Range of sources as discussed</w:t>
      </w:r>
    </w:p>
    <w:p w14:paraId="1B80B20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lastRenderedPageBreak/>
        <w:t>Whilst the need above is provided down to sub-area level, it should be remembered that affordable need can be met across the District as and when opportunities arise, and so specific sub-area data should not be treated as a local target.</w:t>
      </w:r>
    </w:p>
    <w:p w14:paraId="333ADE3C"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last assessment of affordable need was undertaken as part of a 2019 HEDNA update and followed a broadly similar methodology. At that time the annual need was calculated to be 348 per annum, higher than in this study. However, it should be noted that the previous assessment did not reflect a reduction in the Housing Register which has an impact on estimates of existing households falling into need and so it is difficult to definitively say if there has been any real change in the situation over time. Indeed, the estimates of need from newly forming households (calculated using the same methodology) are virtually identical in the two studies (380 per annum in this study and 383 per annum in 2019). Regardless, the levels of need are clear that the Council should seek to maximise the delivery of affordable housing where opportunities arise.</w:t>
      </w:r>
    </w:p>
    <w:p w14:paraId="746C6AE7"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The Relationship Between Affordable Need and Overall Housing Need</w:t>
      </w:r>
    </w:p>
    <w:p w14:paraId="7E4E083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PPG encourages local authorities to consider increasing planned housing numbers where this can help to meet the identified affordable need. Specifically, the wording of the PPG [2a-024] states:</w:t>
      </w:r>
    </w:p>
    <w:p w14:paraId="129E2031" w14:textId="77777777" w:rsidR="00360825" w:rsidRPr="00DE1AA1" w:rsidRDefault="00360825" w:rsidP="00360825">
      <w:pPr>
        <w:pStyle w:val="11Bodytext"/>
        <w:tabs>
          <w:tab w:val="clear" w:pos="794"/>
          <w:tab w:val="left" w:pos="720"/>
        </w:tabs>
        <w:spacing w:before="0" w:after="360" w:line="240" w:lineRule="auto"/>
        <w:ind w:left="720" w:firstLine="0"/>
        <w:jc w:val="left"/>
        <w:rPr>
          <w:i/>
          <w:color w:val="auto"/>
        </w:rPr>
      </w:pPr>
      <w:r w:rsidRPr="00DE1AA1">
        <w:rPr>
          <w:i/>
          <w:color w:val="auto"/>
        </w:rPr>
        <w:t>‘The total affordable housing need can then be considered in the context of its likely delivery as a proportion of mixed market and affordable housing developments, given the probable percentage of affordable housing to be delivered by market housing led developments. An increase in the total housing figures included in the strategic plan may need to be considered where it could help deliver the required number of affordable homes’</w:t>
      </w:r>
    </w:p>
    <w:p w14:paraId="5745B52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However, the relationship between affordable housing need and overall housing need is complex. This was recognised in the Planning Advisory Service (PAS) Technical Advice Note of July 2015. PAS conclude that there is no arithmetical way of combining the OAN (calculated through demographic projections) and the affordable need. There are a number of reasons why the two cannot be ‘arithmetically’ linked.</w:t>
      </w:r>
    </w:p>
    <w:p w14:paraId="2844036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Firstly, the modelling contains a category in the projection of </w:t>
      </w:r>
      <w:r w:rsidRPr="00D556DB">
        <w:rPr>
          <w:rFonts w:ascii="Arial" w:hAnsi="Arial" w:cs="Arial"/>
          <w:i/>
        </w:rPr>
        <w:t>‘existing households falling into need;’</w:t>
      </w:r>
      <w:r w:rsidRPr="00D556DB">
        <w:rPr>
          <w:rFonts w:ascii="Arial" w:hAnsi="Arial" w:cs="Arial"/>
        </w:rPr>
        <w:t xml:space="preserve"> these households already have accommodation and hence if they were to move to alternative accommodation, they would release a dwelling for use by another household – there is no net need to provide additional homes. The modelling also contains </w:t>
      </w:r>
      <w:r w:rsidRPr="00D556DB">
        <w:rPr>
          <w:rFonts w:ascii="Arial" w:hAnsi="Arial" w:cs="Arial"/>
          <w:i/>
        </w:rPr>
        <w:t>‘newly forming households;’</w:t>
      </w:r>
      <w:r w:rsidRPr="00D556DB">
        <w:rPr>
          <w:rFonts w:ascii="Arial" w:hAnsi="Arial" w:cs="Arial"/>
        </w:rPr>
        <w:t xml:space="preserve"> these households are a direct output from the demographic modelling and are therefore already included in the overall housing need figures.</w:t>
      </w:r>
    </w:p>
    <w:p w14:paraId="54430C3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This just leaves the </w:t>
      </w:r>
      <w:r w:rsidRPr="00D556DB">
        <w:rPr>
          <w:rFonts w:ascii="Arial" w:hAnsi="Arial" w:cs="Arial"/>
          <w:i/>
        </w:rPr>
        <w:t>‘current need’</w:t>
      </w:r>
      <w:r w:rsidRPr="00D556DB">
        <w:rPr>
          <w:rFonts w:ascii="Arial" w:hAnsi="Arial" w:cs="Arial"/>
        </w:rPr>
        <w:t xml:space="preserve">; much of this group will be similar to the existing households already described (in that they are already living in accommodation) although it is possible that a number will be households without housing (mainly concealed households) – these households are </w:t>
      </w:r>
      <w:r w:rsidRPr="00D556DB">
        <w:rPr>
          <w:rFonts w:ascii="Arial" w:hAnsi="Arial" w:cs="Arial"/>
        </w:rPr>
        <w:lastRenderedPageBreak/>
        <w:t>not included in the demographic modelling and so are arguably an additional need, although uplifts to trend-based demographic projections for market signals/affordability would be expected to deal with such households.</w:t>
      </w:r>
    </w:p>
    <w:p w14:paraId="2B3766C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estimates an annual need for 278 rented affordable homes, which is notionally 36% of provision of 763 dwellings per annum (the Standard Method housing need). However, as noted, caution should be exercised in trying to make a direct link between affordable need and planned delivery, with the key point being that many of those households picked up as having a need will already be living in housing and so providing an affordable option does not lead to an overall net increase in the need for housing (as they would vacate a home to be used by someone else).</w:t>
      </w:r>
    </w:p>
    <w:p w14:paraId="076DC16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It is possible to investigate this in some more detail by re-running the model and excluding those already living in accommodation. This is shown in the table below which identifies that meeting these needs would lead to an affordable need for 176 homes per annum across the study area – notionally 23% of 763 dwelling per annum. This figure is theoretical and should not be seen to be minimising the need (which is clearly acute). It does however serve to show that there is a substantial difference in the figures when looking at overall housing shortages.</w:t>
      </w:r>
    </w:p>
    <w:p w14:paraId="18A0296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is arguably even more complex than this – it can be observed that the main group of households in need are newly forming households. These households are already included within demographic projections and so the demonstrating of a need for this group again should not be seen as over and above any need derived through the normal process of looking at need. Indeed, only the 22 per annum (current need) is in addition to demographic projections and this scale of uplift will already have been included in figures when moving from a demographic start point to an estimate of housing need/delivery.</w:t>
      </w:r>
    </w:p>
    <w:p w14:paraId="53608691" w14:textId="6C0E8671" w:rsidR="00360825" w:rsidRPr="00D556DB" w:rsidRDefault="00360825" w:rsidP="001A7584">
      <w:pPr>
        <w:pStyle w:val="Heading4"/>
        <w:ind w:firstLine="0"/>
      </w:pPr>
      <w:r w:rsidRPr="00D556DB">
        <w:t>Estimated Need for Affordable Housing (social/affordable rented) excluding households already in accommodation – Chichester</w:t>
      </w:r>
      <w:r w:rsidR="00367C1E">
        <w:t xml:space="preserve"> District</w:t>
      </w:r>
    </w:p>
    <w:tbl>
      <w:tblPr>
        <w:tblStyle w:val="TableTheme"/>
        <w:tblW w:w="5000" w:type="pct"/>
        <w:tblInd w:w="0" w:type="dxa"/>
        <w:tblLayout w:type="fixed"/>
        <w:tblLook w:val="04A0" w:firstRow="1" w:lastRow="0" w:firstColumn="1" w:lastColumn="0" w:noHBand="0" w:noVBand="1"/>
      </w:tblPr>
      <w:tblGrid>
        <w:gridCol w:w="3671"/>
        <w:gridCol w:w="2553"/>
        <w:gridCol w:w="2553"/>
      </w:tblGrid>
      <w:tr w:rsidR="00360825" w:rsidRPr="00FF7D83" w14:paraId="736CD4C4" w14:textId="77777777" w:rsidTr="00C04569">
        <w:tc>
          <w:tcPr>
            <w:tcW w:w="3671" w:type="dxa"/>
            <w:tcBorders>
              <w:top w:val="single" w:sz="4" w:space="0" w:color="auto"/>
              <w:left w:val="single" w:sz="4" w:space="0" w:color="auto"/>
              <w:bottom w:val="single" w:sz="4" w:space="0" w:color="auto"/>
              <w:right w:val="single" w:sz="4" w:space="0" w:color="auto"/>
            </w:tcBorders>
            <w:shd w:val="clear" w:color="auto" w:fill="002060"/>
          </w:tcPr>
          <w:p w14:paraId="39174D1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
              </w:rPr>
            </w:pPr>
          </w:p>
        </w:tc>
        <w:tc>
          <w:tcPr>
            <w:tcW w:w="2553" w:type="dxa"/>
            <w:tcBorders>
              <w:top w:val="single" w:sz="4" w:space="0" w:color="auto"/>
              <w:left w:val="single" w:sz="4" w:space="0" w:color="auto"/>
              <w:bottom w:val="single" w:sz="4" w:space="0" w:color="auto"/>
              <w:right w:val="single" w:sz="4" w:space="0" w:color="auto"/>
            </w:tcBorders>
            <w:shd w:val="clear" w:color="auto" w:fill="002060"/>
            <w:hideMark/>
          </w:tcPr>
          <w:p w14:paraId="4DF4E16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Excluding existing households</w:t>
            </w:r>
          </w:p>
        </w:tc>
        <w:tc>
          <w:tcPr>
            <w:tcW w:w="2553" w:type="dxa"/>
            <w:tcBorders>
              <w:top w:val="single" w:sz="4" w:space="0" w:color="auto"/>
              <w:left w:val="single" w:sz="4" w:space="0" w:color="auto"/>
              <w:bottom w:val="single" w:sz="4" w:space="0" w:color="auto"/>
              <w:right w:val="single" w:sz="4" w:space="0" w:color="auto"/>
            </w:tcBorders>
            <w:shd w:val="clear" w:color="auto" w:fill="002060"/>
            <w:hideMark/>
          </w:tcPr>
          <w:p w14:paraId="46778D1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Including existing households</w:t>
            </w:r>
          </w:p>
        </w:tc>
      </w:tr>
      <w:tr w:rsidR="00360825" w:rsidRPr="00FF7D83" w14:paraId="74019C64"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312B577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Current need</w:t>
            </w:r>
          </w:p>
        </w:tc>
        <w:tc>
          <w:tcPr>
            <w:tcW w:w="2553" w:type="dxa"/>
            <w:tcBorders>
              <w:top w:val="single" w:sz="4" w:space="0" w:color="auto"/>
              <w:left w:val="single" w:sz="4" w:space="0" w:color="auto"/>
              <w:bottom w:val="single" w:sz="4" w:space="0" w:color="auto"/>
              <w:right w:val="single" w:sz="4" w:space="0" w:color="auto"/>
            </w:tcBorders>
            <w:vAlign w:val="bottom"/>
            <w:hideMark/>
          </w:tcPr>
          <w:p w14:paraId="66C8530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22</w:t>
            </w:r>
          </w:p>
        </w:tc>
        <w:tc>
          <w:tcPr>
            <w:tcW w:w="2553" w:type="dxa"/>
            <w:tcBorders>
              <w:top w:val="single" w:sz="4" w:space="0" w:color="auto"/>
              <w:left w:val="single" w:sz="4" w:space="0" w:color="auto"/>
              <w:bottom w:val="single" w:sz="4" w:space="0" w:color="auto"/>
              <w:right w:val="single" w:sz="4" w:space="0" w:color="auto"/>
            </w:tcBorders>
            <w:vAlign w:val="bottom"/>
            <w:hideMark/>
          </w:tcPr>
          <w:p w14:paraId="2E259CE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58</w:t>
            </w:r>
          </w:p>
        </w:tc>
      </w:tr>
      <w:tr w:rsidR="00360825" w:rsidRPr="00FF7D83" w14:paraId="0372E60A"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7CD98AE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Newly forming households</w:t>
            </w:r>
          </w:p>
        </w:tc>
        <w:tc>
          <w:tcPr>
            <w:tcW w:w="2553" w:type="dxa"/>
            <w:tcBorders>
              <w:top w:val="single" w:sz="4" w:space="0" w:color="auto"/>
              <w:left w:val="single" w:sz="4" w:space="0" w:color="auto"/>
              <w:bottom w:val="single" w:sz="4" w:space="0" w:color="auto"/>
              <w:right w:val="single" w:sz="4" w:space="0" w:color="auto"/>
            </w:tcBorders>
            <w:vAlign w:val="bottom"/>
            <w:hideMark/>
          </w:tcPr>
          <w:p w14:paraId="40B3CE2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380</w:t>
            </w:r>
          </w:p>
        </w:tc>
        <w:tc>
          <w:tcPr>
            <w:tcW w:w="2553" w:type="dxa"/>
            <w:tcBorders>
              <w:top w:val="single" w:sz="4" w:space="0" w:color="auto"/>
              <w:left w:val="single" w:sz="4" w:space="0" w:color="auto"/>
              <w:bottom w:val="single" w:sz="4" w:space="0" w:color="auto"/>
              <w:right w:val="single" w:sz="4" w:space="0" w:color="auto"/>
            </w:tcBorders>
            <w:vAlign w:val="bottom"/>
            <w:hideMark/>
          </w:tcPr>
          <w:p w14:paraId="4CF8E4E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380</w:t>
            </w:r>
          </w:p>
        </w:tc>
      </w:tr>
      <w:tr w:rsidR="00360825" w:rsidRPr="00FF7D83" w14:paraId="46036AD8"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69EFB8D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Existing households falling into need</w:t>
            </w:r>
          </w:p>
        </w:tc>
        <w:tc>
          <w:tcPr>
            <w:tcW w:w="2553" w:type="dxa"/>
            <w:tcBorders>
              <w:top w:val="single" w:sz="4" w:space="0" w:color="auto"/>
              <w:left w:val="single" w:sz="4" w:space="0" w:color="auto"/>
              <w:bottom w:val="single" w:sz="4" w:space="0" w:color="auto"/>
              <w:right w:val="single" w:sz="4" w:space="0" w:color="auto"/>
            </w:tcBorders>
            <w:vAlign w:val="bottom"/>
            <w:hideMark/>
          </w:tcPr>
          <w:p w14:paraId="2C93EF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0</w:t>
            </w:r>
          </w:p>
        </w:tc>
        <w:tc>
          <w:tcPr>
            <w:tcW w:w="2553" w:type="dxa"/>
            <w:tcBorders>
              <w:top w:val="single" w:sz="4" w:space="0" w:color="auto"/>
              <w:left w:val="single" w:sz="4" w:space="0" w:color="auto"/>
              <w:bottom w:val="single" w:sz="4" w:space="0" w:color="auto"/>
              <w:right w:val="single" w:sz="4" w:space="0" w:color="auto"/>
            </w:tcBorders>
            <w:vAlign w:val="bottom"/>
            <w:hideMark/>
          </w:tcPr>
          <w:p w14:paraId="424757E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66</w:t>
            </w:r>
          </w:p>
        </w:tc>
      </w:tr>
      <w:tr w:rsidR="00360825" w:rsidRPr="00FF7D83" w14:paraId="50765B29"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0C26AFF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Total Gross Need</w:t>
            </w:r>
          </w:p>
        </w:tc>
        <w:tc>
          <w:tcPr>
            <w:tcW w:w="2553" w:type="dxa"/>
            <w:tcBorders>
              <w:top w:val="single" w:sz="4" w:space="0" w:color="auto"/>
              <w:left w:val="single" w:sz="4" w:space="0" w:color="auto"/>
              <w:bottom w:val="single" w:sz="4" w:space="0" w:color="auto"/>
              <w:right w:val="single" w:sz="4" w:space="0" w:color="auto"/>
            </w:tcBorders>
            <w:vAlign w:val="bottom"/>
            <w:hideMark/>
          </w:tcPr>
          <w:p w14:paraId="43398C3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402</w:t>
            </w:r>
          </w:p>
        </w:tc>
        <w:tc>
          <w:tcPr>
            <w:tcW w:w="2553" w:type="dxa"/>
            <w:tcBorders>
              <w:top w:val="single" w:sz="4" w:space="0" w:color="auto"/>
              <w:left w:val="single" w:sz="4" w:space="0" w:color="auto"/>
              <w:bottom w:val="single" w:sz="4" w:space="0" w:color="auto"/>
              <w:right w:val="single" w:sz="4" w:space="0" w:color="auto"/>
            </w:tcBorders>
            <w:vAlign w:val="bottom"/>
            <w:hideMark/>
          </w:tcPr>
          <w:p w14:paraId="11C512F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504</w:t>
            </w:r>
          </w:p>
        </w:tc>
      </w:tr>
      <w:tr w:rsidR="00360825" w:rsidRPr="00FF7D83" w14:paraId="24A89F80"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6794194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Re-let Supply</w:t>
            </w:r>
          </w:p>
        </w:tc>
        <w:tc>
          <w:tcPr>
            <w:tcW w:w="2553" w:type="dxa"/>
            <w:tcBorders>
              <w:top w:val="single" w:sz="4" w:space="0" w:color="auto"/>
              <w:left w:val="single" w:sz="4" w:space="0" w:color="auto"/>
              <w:bottom w:val="single" w:sz="4" w:space="0" w:color="auto"/>
              <w:right w:val="single" w:sz="4" w:space="0" w:color="auto"/>
            </w:tcBorders>
            <w:vAlign w:val="bottom"/>
            <w:hideMark/>
          </w:tcPr>
          <w:p w14:paraId="379A630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226</w:t>
            </w:r>
          </w:p>
        </w:tc>
        <w:tc>
          <w:tcPr>
            <w:tcW w:w="2553" w:type="dxa"/>
            <w:tcBorders>
              <w:top w:val="single" w:sz="4" w:space="0" w:color="auto"/>
              <w:left w:val="single" w:sz="4" w:space="0" w:color="auto"/>
              <w:bottom w:val="single" w:sz="4" w:space="0" w:color="auto"/>
              <w:right w:val="single" w:sz="4" w:space="0" w:color="auto"/>
            </w:tcBorders>
            <w:vAlign w:val="bottom"/>
            <w:hideMark/>
          </w:tcPr>
          <w:p w14:paraId="38D6D4A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226</w:t>
            </w:r>
          </w:p>
        </w:tc>
      </w:tr>
      <w:tr w:rsidR="00360825" w:rsidRPr="00FF7D83" w14:paraId="2AC057FD"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73FBB80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Net Need</w:t>
            </w:r>
          </w:p>
        </w:tc>
        <w:tc>
          <w:tcPr>
            <w:tcW w:w="2553" w:type="dxa"/>
            <w:tcBorders>
              <w:top w:val="single" w:sz="4" w:space="0" w:color="auto"/>
              <w:left w:val="single" w:sz="4" w:space="0" w:color="auto"/>
              <w:bottom w:val="single" w:sz="4" w:space="0" w:color="auto"/>
              <w:right w:val="single" w:sz="4" w:space="0" w:color="auto"/>
            </w:tcBorders>
            <w:vAlign w:val="bottom"/>
            <w:hideMark/>
          </w:tcPr>
          <w:p w14:paraId="1ACEFBA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176</w:t>
            </w:r>
          </w:p>
        </w:tc>
        <w:tc>
          <w:tcPr>
            <w:tcW w:w="2553" w:type="dxa"/>
            <w:tcBorders>
              <w:top w:val="single" w:sz="4" w:space="0" w:color="auto"/>
              <w:left w:val="single" w:sz="4" w:space="0" w:color="auto"/>
              <w:bottom w:val="single" w:sz="4" w:space="0" w:color="auto"/>
              <w:right w:val="single" w:sz="4" w:space="0" w:color="auto"/>
            </w:tcBorders>
            <w:vAlign w:val="bottom"/>
            <w:hideMark/>
          </w:tcPr>
          <w:p w14:paraId="1198B76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278</w:t>
            </w:r>
          </w:p>
        </w:tc>
      </w:tr>
    </w:tbl>
    <w:p w14:paraId="2FFC4487" w14:textId="77777777" w:rsidR="00360825" w:rsidRPr="00FF7D83" w:rsidRDefault="00360825" w:rsidP="00360825">
      <w:pPr>
        <w:spacing w:line="300" w:lineRule="auto"/>
        <w:rPr>
          <w:rFonts w:ascii="Arial" w:hAnsi="Arial" w:cs="Arial"/>
          <w:i/>
          <w:iCs/>
          <w:sz w:val="16"/>
          <w:szCs w:val="16"/>
        </w:rPr>
      </w:pPr>
      <w:r w:rsidRPr="00D556DB">
        <w:rPr>
          <w:rFonts w:ascii="Arial" w:hAnsi="Arial" w:cs="Arial"/>
          <w:i/>
          <w:iCs/>
          <w:sz w:val="16"/>
          <w:szCs w:val="16"/>
        </w:rPr>
        <w:t>Source: Range of sources as discussed</w:t>
      </w:r>
    </w:p>
    <w:p w14:paraId="7BDDAAA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Additionally, it should be noted that the need estimate is on a per annum basis and should not be multiplied by the plan period to get a total need. Essentially, the estimates are for the number of households who would be expected to have a need in any given year (i.e. needing to spend more than 30% of income on housing). In reality, some (possibly many) households would see their </w:t>
      </w:r>
      <w:r w:rsidRPr="00D556DB">
        <w:rPr>
          <w:rFonts w:ascii="Arial" w:hAnsi="Arial" w:cs="Arial"/>
        </w:rPr>
        <w:lastRenderedPageBreak/>
        <w:t>circumstances change over time such that they would ‘fall out of need’ and this is not accounted for in the analysis. One example would be a newly forming household with an income level that means they spend more than 30% of income on housing, as the household’s income rises they would potentially pass the affordability test and therefore not have an affordable need. Additionally, there is the likelihood when looking over the longer-term that a newly-forming household will become an existing household in need and would be counted twice if trying to multiply the figures out for a whole plan period.</w:t>
      </w:r>
    </w:p>
    <w:p w14:paraId="01E9EBE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discussion above has already noted that the need for affordable housing does not generally lead to a need to increase overall provision (with the exception of potentially providing housing for concealed households although this should be picked up as part of an affordability uplift). It is however worth briefly thinking about how affordable need works in practice and the housing available to those unable to access market housing without Housing Benefit. In particular, the increasing role played by the Private Rented Sector (PRS) in providing housing for households who require financial support in meeting their housing needs should be recognised.</w:t>
      </w:r>
    </w:p>
    <w:p w14:paraId="060B6E7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Whilst the Private Rented Sector (PRS) does not fall within the types of affordable housing set out in the NPPF (other than affordable private rent which is a specific tenure separate from the main ‘full market’ PRS), it has evidently been playing a role in meeting the needs of households who require financial support in meeting their housing need. Government recognises this, and indeed legislated through the 2011 Localism Act to allow Councils to discharge their “homelessness duty” through providing an offer of a suitable property in the PRS.</w:t>
      </w:r>
    </w:p>
    <w:p w14:paraId="7F99562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It is also worth reflecting on the NPPF (Annex 2) definition of affordable housing. This says: </w:t>
      </w:r>
      <w:r w:rsidRPr="00D556DB">
        <w:rPr>
          <w:rFonts w:ascii="Arial" w:hAnsi="Arial" w:cs="Arial"/>
          <w:i/>
        </w:rPr>
        <w:t xml:space="preserve">‘Affordable housing: housing for sale or rent, for those whose </w:t>
      </w:r>
      <w:r w:rsidRPr="00D556DB">
        <w:rPr>
          <w:rFonts w:ascii="Arial" w:hAnsi="Arial" w:cs="Arial"/>
          <w:i/>
          <w:u w:val="single"/>
        </w:rPr>
        <w:t>needs are not met by the market’</w:t>
      </w:r>
      <w:r w:rsidRPr="00D556DB">
        <w:rPr>
          <w:rFonts w:ascii="Arial" w:hAnsi="Arial" w:cs="Arial"/>
        </w:rPr>
        <w:t xml:space="preserve"> [emphasis added]. Clearly where a household is able to access suitable housing in the private rented sector (with or without Housing Benefit) it is the case that these needs are being met by the market (as within the NPPF definition). As such the role played by the private rented sector should be recognised – it is evidently part of the functioning housing market.</w:t>
      </w:r>
    </w:p>
    <w:p w14:paraId="388BB46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Data from the Department of Work and Pensions (DWP) has been used to look at the number of Housing Benefit supported private rented homes. As of August 2021, it is estimated that there were around 2,700 benefit claimants in the private rented sector in Chichester. From this, it is clear that the PRS contributes to the wider delivery of ‘affordable homes’ with the support of benefit claims, and further complicates any attempts to find a relationship between affordable need and overall housing need.</w:t>
      </w:r>
    </w:p>
    <w:p w14:paraId="6293FF9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figure below shows the trend in the number of claimants in the District. This shows there has been a notable increase since March 2020, which is likely to be related to the Covid-19 pandemic. </w:t>
      </w:r>
      <w:r w:rsidRPr="00D556DB">
        <w:rPr>
          <w:rFonts w:ascii="Arial" w:hAnsi="Arial" w:cs="Arial"/>
        </w:rPr>
        <w:lastRenderedPageBreak/>
        <w:t>However, even the more historical data shows a substantial number of households claiming benefit support for their housing in the private sector (typically around 2,000 households).</w:t>
      </w:r>
    </w:p>
    <w:p w14:paraId="62C07A6D" w14:textId="77777777" w:rsidR="00360825" w:rsidRPr="00D556DB" w:rsidRDefault="00360825" w:rsidP="001A7584">
      <w:pPr>
        <w:pStyle w:val="Heading4"/>
        <w:ind w:firstLine="0"/>
      </w:pPr>
      <w:r w:rsidRPr="00D556DB">
        <w:t>Number of Housing Benefit claimants in the private rented sector – Chichester</w:t>
      </w:r>
    </w:p>
    <w:p w14:paraId="0D258124" w14:textId="77777777" w:rsidR="00360825" w:rsidRPr="00DE1AA1" w:rsidRDefault="00360825" w:rsidP="00360825">
      <w:pPr>
        <w:spacing w:after="0" w:line="240" w:lineRule="auto"/>
        <w:jc w:val="left"/>
        <w:rPr>
          <w:rFonts w:ascii="Arial" w:hAnsi="Arial" w:cs="Arial"/>
        </w:rPr>
      </w:pPr>
      <w:r w:rsidRPr="00D556DB">
        <w:rPr>
          <w:rFonts w:ascii="Arial" w:hAnsi="Arial" w:cs="Arial"/>
          <w:noProof/>
        </w:rPr>
        <w:drawing>
          <wp:inline distT="0" distB="0" distL="0" distR="0" wp14:anchorId="73576DB3" wp14:editId="6ABCB6B8">
            <wp:extent cx="5556250" cy="2889250"/>
            <wp:effectExtent l="0" t="0" r="6350" b="6350"/>
            <wp:docPr id="28" name="Chart 28" descr="The figure  shows the trend in the number of claimants in the District. This shows there has been a notable increase since March 2020, which is likely to be related to the Covid-19 pandemic. However, even the more historical data shows a substantial number of households claiming benefit support for their housing in the private sector (typically around 2,000 households)."/>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2D7F7E0"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Department of Work and Pensions</w:t>
      </w:r>
    </w:p>
    <w:p w14:paraId="624D363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Whilst housing delivery through the Local Plan can be expected to secure additional affordable housing it needs to be noted that delivery of affordable housing through planning obligations is an important, but not the only means, of delivery affordable housing; and the Council should also work with housing providers to secure funding to support enhanced affordable housing delivery on some sites and through use of its own land assets.</w:t>
      </w:r>
    </w:p>
    <w:p w14:paraId="4727020D"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Overall, it is difficult to link the need for affordable housing to the overall housing need; indeed, there is no justification for trying to make the link. Put simply the two do not measure the same thing and interpreting the affordable need figure consideration needs to be given to the fact that many households already live in housing, and do not therefore generate an overall net need for an additional home. Further issues arise as the need for affordable housing is complex and additionally the extent of concealed and homeless households needs to be understood as well as the role played by the private rented sector.</w:t>
      </w:r>
    </w:p>
    <w:p w14:paraId="3E868D8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Regardless of the discussion above, the analysis identifies a notable need for affordable housing, and it is clear that provision of new affordable housing is an important and pressing issue across the District. It does however need to be stressed that this report does not provide an affordable housing target; the amount of affordable housing delivered will be limited to the amount that can viably be provided. As noted previously, the evidence does however suggest that affordable housing delivery should be maximised where opportunities arise.</w:t>
      </w:r>
    </w:p>
    <w:p w14:paraId="4AF067F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Finally, whilst there is no direct link between the affordable need and overall housing need, it is the case that the levels of affordable need across areas can feed into considerations about the distribution of housing for different areas, along with an understanding of demographic trends and economic growth.</w:t>
      </w:r>
    </w:p>
    <w:p w14:paraId="03D0FBC6"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Split Between Social and Affordable Rented Housing</w:t>
      </w:r>
    </w:p>
    <w:p w14:paraId="03577F4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above has studied the overall need for social and affordable rented housing with a focus on households who cannot afford to rent in the market. These households will therefore have a need for some form of rented housing at a cost below typical market rates. Typically, there are two main types of rented affordable accommodation (social and affordable rented) with the analysis below initially considering what a reasonable split might be between these two tenures.</w:t>
      </w:r>
    </w:p>
    <w:p w14:paraId="4EBA579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An analysis has been undertaken to compare the income distribution of households with the cost of different products. Data about average social and affordable rents has been taken from the Regulator of Social Housing (RSH) and this is compared with lower quartile and median market rents (from ONS data). This analysis shows that social rents are lower than affordable rents; the analysis also shows that affordable rents are less than both lower quartile and median market rents, although typically more than 80% of lower quartile figures.</w:t>
      </w:r>
    </w:p>
    <w:p w14:paraId="5DBE969D" w14:textId="77777777" w:rsidR="00360825" w:rsidRPr="00D556DB" w:rsidRDefault="00360825" w:rsidP="001A7584">
      <w:pPr>
        <w:pStyle w:val="Heading4"/>
        <w:ind w:firstLine="0"/>
      </w:pPr>
      <w:r w:rsidRPr="00D556DB">
        <w:t>Comparison of rent levels for different products – Chichester (2020/21)</w:t>
      </w:r>
    </w:p>
    <w:tbl>
      <w:tblPr>
        <w:tblStyle w:val="TableTheme"/>
        <w:tblW w:w="5000" w:type="pct"/>
        <w:tblInd w:w="0" w:type="dxa"/>
        <w:tblLook w:val="04A0" w:firstRow="1" w:lastRow="0" w:firstColumn="1" w:lastColumn="0" w:noHBand="0" w:noVBand="1"/>
      </w:tblPr>
      <w:tblGrid>
        <w:gridCol w:w="1413"/>
        <w:gridCol w:w="1227"/>
        <w:gridCol w:w="1227"/>
        <w:gridCol w:w="1228"/>
        <w:gridCol w:w="1227"/>
        <w:gridCol w:w="1227"/>
        <w:gridCol w:w="1228"/>
      </w:tblGrid>
      <w:tr w:rsidR="00360825" w:rsidRPr="00DE1AA1" w14:paraId="175B7329" w14:textId="77777777" w:rsidTr="00C04569">
        <w:tc>
          <w:tcPr>
            <w:tcW w:w="1413" w:type="dxa"/>
            <w:tcBorders>
              <w:top w:val="single" w:sz="4" w:space="0" w:color="auto"/>
              <w:left w:val="single" w:sz="4" w:space="0" w:color="auto"/>
              <w:bottom w:val="single" w:sz="4" w:space="0" w:color="auto"/>
              <w:right w:val="single" w:sz="4" w:space="0" w:color="auto"/>
            </w:tcBorders>
            <w:shd w:val="clear" w:color="auto" w:fill="002060"/>
          </w:tcPr>
          <w:p w14:paraId="73A4FAAB" w14:textId="77777777" w:rsidR="00360825" w:rsidRPr="00D556DB" w:rsidRDefault="00360825" w:rsidP="00C04569">
            <w:pPr>
              <w:keepNext/>
              <w:spacing w:after="0" w:line="240" w:lineRule="auto"/>
              <w:jc w:val="left"/>
              <w:rPr>
                <w:rFonts w:ascii="Arial" w:hAnsi="Arial" w:cs="Arial"/>
              </w:rPr>
            </w:pPr>
          </w:p>
        </w:tc>
        <w:tc>
          <w:tcPr>
            <w:tcW w:w="12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3179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Social rent</w:t>
            </w:r>
          </w:p>
        </w:tc>
        <w:tc>
          <w:tcPr>
            <w:tcW w:w="12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3FE604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Affordable rent (AR)</w:t>
            </w:r>
          </w:p>
        </w:tc>
        <w:tc>
          <w:tcPr>
            <w:tcW w:w="122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BFB1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Lower quartile (LQ) market rent</w:t>
            </w:r>
          </w:p>
        </w:tc>
        <w:tc>
          <w:tcPr>
            <w:tcW w:w="12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4F8EB5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Median market rent</w:t>
            </w:r>
          </w:p>
        </w:tc>
        <w:tc>
          <w:tcPr>
            <w:tcW w:w="12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C6A10D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AR as % of LQ</w:t>
            </w:r>
          </w:p>
        </w:tc>
        <w:tc>
          <w:tcPr>
            <w:tcW w:w="122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161CC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AR as % of median</w:t>
            </w:r>
          </w:p>
        </w:tc>
      </w:tr>
      <w:tr w:rsidR="00360825" w:rsidRPr="00DE1AA1" w14:paraId="6D289D83" w14:textId="77777777" w:rsidTr="00C04569">
        <w:tc>
          <w:tcPr>
            <w:tcW w:w="1413" w:type="dxa"/>
            <w:tcBorders>
              <w:top w:val="single" w:sz="4" w:space="0" w:color="auto"/>
              <w:left w:val="single" w:sz="4" w:space="0" w:color="auto"/>
              <w:bottom w:val="single" w:sz="4" w:space="0" w:color="auto"/>
              <w:right w:val="single" w:sz="4" w:space="0" w:color="auto"/>
            </w:tcBorders>
            <w:hideMark/>
          </w:tcPr>
          <w:p w14:paraId="2A5DB67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bCs/>
              </w:rPr>
              <w:t>1-bedroom</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82D295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£395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279837C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£562</w:t>
            </w:r>
          </w:p>
        </w:tc>
        <w:tc>
          <w:tcPr>
            <w:tcW w:w="1228" w:type="dxa"/>
            <w:tcBorders>
              <w:top w:val="single" w:sz="4" w:space="0" w:color="auto"/>
              <w:left w:val="single" w:sz="4" w:space="0" w:color="auto"/>
              <w:bottom w:val="single" w:sz="4" w:space="0" w:color="auto"/>
              <w:right w:val="single" w:sz="4" w:space="0" w:color="auto"/>
            </w:tcBorders>
            <w:vAlign w:val="bottom"/>
            <w:hideMark/>
          </w:tcPr>
          <w:p w14:paraId="15A10EE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£650</w:t>
            </w:r>
          </w:p>
        </w:tc>
        <w:tc>
          <w:tcPr>
            <w:tcW w:w="1227" w:type="dxa"/>
            <w:tcBorders>
              <w:top w:val="single" w:sz="4" w:space="0" w:color="auto"/>
              <w:left w:val="single" w:sz="4" w:space="0" w:color="auto"/>
              <w:bottom w:val="single" w:sz="4" w:space="0" w:color="auto"/>
              <w:right w:val="single" w:sz="4" w:space="0" w:color="auto"/>
            </w:tcBorders>
            <w:vAlign w:val="bottom"/>
            <w:hideMark/>
          </w:tcPr>
          <w:p w14:paraId="5EC5C1E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£710</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3ACC32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86%</w:t>
            </w:r>
          </w:p>
        </w:tc>
        <w:tc>
          <w:tcPr>
            <w:tcW w:w="1228" w:type="dxa"/>
            <w:tcBorders>
              <w:top w:val="single" w:sz="4" w:space="0" w:color="auto"/>
              <w:left w:val="single" w:sz="4" w:space="0" w:color="auto"/>
              <w:bottom w:val="single" w:sz="4" w:space="0" w:color="auto"/>
              <w:right w:val="single" w:sz="4" w:space="0" w:color="auto"/>
            </w:tcBorders>
            <w:vAlign w:val="bottom"/>
            <w:hideMark/>
          </w:tcPr>
          <w:p w14:paraId="75C6F81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79%</w:t>
            </w:r>
          </w:p>
        </w:tc>
      </w:tr>
      <w:tr w:rsidR="00360825" w:rsidRPr="00DE1AA1" w14:paraId="550D6B5D" w14:textId="77777777" w:rsidTr="00C04569">
        <w:tc>
          <w:tcPr>
            <w:tcW w:w="1413" w:type="dxa"/>
            <w:tcBorders>
              <w:top w:val="single" w:sz="4" w:space="0" w:color="auto"/>
              <w:left w:val="single" w:sz="4" w:space="0" w:color="auto"/>
              <w:bottom w:val="single" w:sz="4" w:space="0" w:color="auto"/>
              <w:right w:val="single" w:sz="4" w:space="0" w:color="auto"/>
            </w:tcBorders>
            <w:hideMark/>
          </w:tcPr>
          <w:p w14:paraId="4A2FA0E7"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2-bedrooms</w:t>
            </w:r>
          </w:p>
        </w:tc>
        <w:tc>
          <w:tcPr>
            <w:tcW w:w="1227" w:type="dxa"/>
            <w:tcBorders>
              <w:top w:val="single" w:sz="4" w:space="0" w:color="auto"/>
              <w:left w:val="single" w:sz="4" w:space="0" w:color="auto"/>
              <w:bottom w:val="single" w:sz="4" w:space="0" w:color="auto"/>
              <w:right w:val="single" w:sz="4" w:space="0" w:color="auto"/>
            </w:tcBorders>
            <w:vAlign w:val="bottom"/>
            <w:hideMark/>
          </w:tcPr>
          <w:p w14:paraId="203C909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£454</w:t>
            </w:r>
          </w:p>
        </w:tc>
        <w:tc>
          <w:tcPr>
            <w:tcW w:w="1227" w:type="dxa"/>
            <w:tcBorders>
              <w:top w:val="single" w:sz="4" w:space="0" w:color="auto"/>
              <w:left w:val="single" w:sz="4" w:space="0" w:color="auto"/>
              <w:bottom w:val="single" w:sz="4" w:space="0" w:color="auto"/>
              <w:right w:val="single" w:sz="4" w:space="0" w:color="auto"/>
            </w:tcBorders>
            <w:vAlign w:val="bottom"/>
            <w:hideMark/>
          </w:tcPr>
          <w:p w14:paraId="4E82CB9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£681</w:t>
            </w:r>
          </w:p>
        </w:tc>
        <w:tc>
          <w:tcPr>
            <w:tcW w:w="1228" w:type="dxa"/>
            <w:tcBorders>
              <w:top w:val="single" w:sz="4" w:space="0" w:color="auto"/>
              <w:left w:val="single" w:sz="4" w:space="0" w:color="auto"/>
              <w:bottom w:val="single" w:sz="4" w:space="0" w:color="auto"/>
              <w:right w:val="single" w:sz="4" w:space="0" w:color="auto"/>
            </w:tcBorders>
            <w:vAlign w:val="bottom"/>
            <w:hideMark/>
          </w:tcPr>
          <w:p w14:paraId="0AC838B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£825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3E33AEE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£895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5FCA7EA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82%</w:t>
            </w:r>
          </w:p>
        </w:tc>
        <w:tc>
          <w:tcPr>
            <w:tcW w:w="1228" w:type="dxa"/>
            <w:tcBorders>
              <w:top w:val="single" w:sz="4" w:space="0" w:color="auto"/>
              <w:left w:val="single" w:sz="4" w:space="0" w:color="auto"/>
              <w:bottom w:val="single" w:sz="4" w:space="0" w:color="auto"/>
              <w:right w:val="single" w:sz="4" w:space="0" w:color="auto"/>
            </w:tcBorders>
            <w:vAlign w:val="bottom"/>
            <w:hideMark/>
          </w:tcPr>
          <w:p w14:paraId="7669D49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76%</w:t>
            </w:r>
          </w:p>
        </w:tc>
      </w:tr>
      <w:tr w:rsidR="00360825" w:rsidRPr="00DE1AA1" w14:paraId="2C608ED3" w14:textId="77777777" w:rsidTr="00C04569">
        <w:tc>
          <w:tcPr>
            <w:tcW w:w="1413" w:type="dxa"/>
            <w:tcBorders>
              <w:top w:val="single" w:sz="4" w:space="0" w:color="auto"/>
              <w:left w:val="single" w:sz="4" w:space="0" w:color="auto"/>
              <w:bottom w:val="single" w:sz="4" w:space="0" w:color="auto"/>
              <w:right w:val="single" w:sz="4" w:space="0" w:color="auto"/>
            </w:tcBorders>
            <w:hideMark/>
          </w:tcPr>
          <w:p w14:paraId="7EDCA5C6"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3-bedrooms</w:t>
            </w:r>
          </w:p>
        </w:tc>
        <w:tc>
          <w:tcPr>
            <w:tcW w:w="1227" w:type="dxa"/>
            <w:tcBorders>
              <w:top w:val="single" w:sz="4" w:space="0" w:color="auto"/>
              <w:left w:val="single" w:sz="4" w:space="0" w:color="auto"/>
              <w:bottom w:val="single" w:sz="4" w:space="0" w:color="auto"/>
              <w:right w:val="single" w:sz="4" w:space="0" w:color="auto"/>
            </w:tcBorders>
            <w:vAlign w:val="bottom"/>
            <w:hideMark/>
          </w:tcPr>
          <w:p w14:paraId="71D098B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£516</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A7F5AA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£809</w:t>
            </w:r>
          </w:p>
        </w:tc>
        <w:tc>
          <w:tcPr>
            <w:tcW w:w="1228" w:type="dxa"/>
            <w:tcBorders>
              <w:top w:val="single" w:sz="4" w:space="0" w:color="auto"/>
              <w:left w:val="single" w:sz="4" w:space="0" w:color="auto"/>
              <w:bottom w:val="single" w:sz="4" w:space="0" w:color="auto"/>
              <w:right w:val="single" w:sz="4" w:space="0" w:color="auto"/>
            </w:tcBorders>
            <w:vAlign w:val="bottom"/>
            <w:hideMark/>
          </w:tcPr>
          <w:p w14:paraId="32C59F1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£975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275412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£1,100</w:t>
            </w:r>
          </w:p>
        </w:tc>
        <w:tc>
          <w:tcPr>
            <w:tcW w:w="1227" w:type="dxa"/>
            <w:tcBorders>
              <w:top w:val="single" w:sz="4" w:space="0" w:color="auto"/>
              <w:left w:val="single" w:sz="4" w:space="0" w:color="auto"/>
              <w:bottom w:val="single" w:sz="4" w:space="0" w:color="auto"/>
              <w:right w:val="single" w:sz="4" w:space="0" w:color="auto"/>
            </w:tcBorders>
            <w:vAlign w:val="bottom"/>
            <w:hideMark/>
          </w:tcPr>
          <w:p w14:paraId="47520C9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83%</w:t>
            </w:r>
          </w:p>
        </w:tc>
        <w:tc>
          <w:tcPr>
            <w:tcW w:w="1228" w:type="dxa"/>
            <w:tcBorders>
              <w:top w:val="single" w:sz="4" w:space="0" w:color="auto"/>
              <w:left w:val="single" w:sz="4" w:space="0" w:color="auto"/>
              <w:bottom w:val="single" w:sz="4" w:space="0" w:color="auto"/>
              <w:right w:val="single" w:sz="4" w:space="0" w:color="auto"/>
            </w:tcBorders>
            <w:vAlign w:val="bottom"/>
            <w:hideMark/>
          </w:tcPr>
          <w:p w14:paraId="31B94A3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74%</w:t>
            </w:r>
          </w:p>
        </w:tc>
      </w:tr>
      <w:tr w:rsidR="00360825" w:rsidRPr="00DE1AA1" w14:paraId="0BA41A12" w14:textId="77777777" w:rsidTr="00C04569">
        <w:tc>
          <w:tcPr>
            <w:tcW w:w="1413" w:type="dxa"/>
            <w:tcBorders>
              <w:top w:val="single" w:sz="4" w:space="0" w:color="auto"/>
              <w:left w:val="single" w:sz="4" w:space="0" w:color="auto"/>
              <w:bottom w:val="single" w:sz="4" w:space="0" w:color="auto"/>
              <w:right w:val="single" w:sz="4" w:space="0" w:color="auto"/>
            </w:tcBorders>
            <w:hideMark/>
          </w:tcPr>
          <w:p w14:paraId="0F53F7A4"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4-bedrooms</w:t>
            </w:r>
          </w:p>
        </w:tc>
        <w:tc>
          <w:tcPr>
            <w:tcW w:w="1227" w:type="dxa"/>
            <w:tcBorders>
              <w:top w:val="single" w:sz="4" w:space="0" w:color="auto"/>
              <w:left w:val="single" w:sz="4" w:space="0" w:color="auto"/>
              <w:bottom w:val="single" w:sz="4" w:space="0" w:color="auto"/>
              <w:right w:val="single" w:sz="4" w:space="0" w:color="auto"/>
            </w:tcBorders>
            <w:vAlign w:val="bottom"/>
            <w:hideMark/>
          </w:tcPr>
          <w:p w14:paraId="235010E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£575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51A4CB2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£978</w:t>
            </w:r>
          </w:p>
        </w:tc>
        <w:tc>
          <w:tcPr>
            <w:tcW w:w="1228" w:type="dxa"/>
            <w:tcBorders>
              <w:top w:val="single" w:sz="4" w:space="0" w:color="auto"/>
              <w:left w:val="single" w:sz="4" w:space="0" w:color="auto"/>
              <w:bottom w:val="single" w:sz="4" w:space="0" w:color="auto"/>
              <w:right w:val="single" w:sz="4" w:space="0" w:color="auto"/>
            </w:tcBorders>
            <w:vAlign w:val="bottom"/>
            <w:hideMark/>
          </w:tcPr>
          <w:p w14:paraId="3A12663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£1,360</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EE83E0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£1,595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5EA0313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72%</w:t>
            </w:r>
          </w:p>
        </w:tc>
        <w:tc>
          <w:tcPr>
            <w:tcW w:w="1228" w:type="dxa"/>
            <w:tcBorders>
              <w:top w:val="single" w:sz="4" w:space="0" w:color="auto"/>
              <w:left w:val="single" w:sz="4" w:space="0" w:color="auto"/>
              <w:bottom w:val="single" w:sz="4" w:space="0" w:color="auto"/>
              <w:right w:val="single" w:sz="4" w:space="0" w:color="auto"/>
            </w:tcBorders>
            <w:vAlign w:val="bottom"/>
            <w:hideMark/>
          </w:tcPr>
          <w:p w14:paraId="428BE38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61%</w:t>
            </w:r>
          </w:p>
        </w:tc>
      </w:tr>
      <w:tr w:rsidR="00360825" w:rsidRPr="00DE1AA1" w14:paraId="06E7E6BC" w14:textId="77777777" w:rsidTr="00C04569">
        <w:tc>
          <w:tcPr>
            <w:tcW w:w="1413" w:type="dxa"/>
            <w:tcBorders>
              <w:top w:val="single" w:sz="4" w:space="0" w:color="auto"/>
              <w:left w:val="single" w:sz="4" w:space="0" w:color="auto"/>
              <w:bottom w:val="single" w:sz="4" w:space="0" w:color="auto"/>
              <w:right w:val="single" w:sz="4" w:space="0" w:color="auto"/>
            </w:tcBorders>
            <w:hideMark/>
          </w:tcPr>
          <w:p w14:paraId="3188D33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All</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91BEB6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£463</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F22A30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£708</w:t>
            </w:r>
          </w:p>
        </w:tc>
        <w:tc>
          <w:tcPr>
            <w:tcW w:w="1228" w:type="dxa"/>
            <w:tcBorders>
              <w:top w:val="single" w:sz="4" w:space="0" w:color="auto"/>
              <w:left w:val="single" w:sz="4" w:space="0" w:color="auto"/>
              <w:bottom w:val="single" w:sz="4" w:space="0" w:color="auto"/>
              <w:right w:val="single" w:sz="4" w:space="0" w:color="auto"/>
            </w:tcBorders>
            <w:vAlign w:val="bottom"/>
            <w:hideMark/>
          </w:tcPr>
          <w:p w14:paraId="1ED486B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£775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5A406E5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£900</w:t>
            </w:r>
          </w:p>
        </w:tc>
        <w:tc>
          <w:tcPr>
            <w:tcW w:w="1227" w:type="dxa"/>
            <w:tcBorders>
              <w:top w:val="single" w:sz="4" w:space="0" w:color="auto"/>
              <w:left w:val="single" w:sz="4" w:space="0" w:color="auto"/>
              <w:bottom w:val="single" w:sz="4" w:space="0" w:color="auto"/>
              <w:right w:val="single" w:sz="4" w:space="0" w:color="auto"/>
            </w:tcBorders>
            <w:vAlign w:val="bottom"/>
            <w:hideMark/>
          </w:tcPr>
          <w:p w14:paraId="74D626B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91%</w:t>
            </w:r>
          </w:p>
        </w:tc>
        <w:tc>
          <w:tcPr>
            <w:tcW w:w="1228" w:type="dxa"/>
            <w:tcBorders>
              <w:top w:val="single" w:sz="4" w:space="0" w:color="auto"/>
              <w:left w:val="single" w:sz="4" w:space="0" w:color="auto"/>
              <w:bottom w:val="single" w:sz="4" w:space="0" w:color="auto"/>
              <w:right w:val="single" w:sz="4" w:space="0" w:color="auto"/>
            </w:tcBorders>
            <w:vAlign w:val="bottom"/>
            <w:hideMark/>
          </w:tcPr>
          <w:p w14:paraId="569756C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79%</w:t>
            </w:r>
          </w:p>
        </w:tc>
      </w:tr>
    </w:tbl>
    <w:p w14:paraId="098B6BC1"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RSH and ONS</w:t>
      </w:r>
    </w:p>
    <w:p w14:paraId="44B17A1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For the affordability test, a standardised average rent for each product has been used. The table below suggests that around 19% of households who cannot afford to rent privately could afford an affordable rent, with a further 40% being able to afford a social rent (but not an affordable one). A total of 40% of households would need some degree of benefit support to be able to afford their housing (regardless of the tenure).</w:t>
      </w:r>
    </w:p>
    <w:p w14:paraId="67A5C049" w14:textId="77777777" w:rsidR="00360825" w:rsidRPr="00D556DB" w:rsidRDefault="00360825" w:rsidP="001A7584">
      <w:pPr>
        <w:pStyle w:val="Heading4"/>
        <w:ind w:firstLine="0"/>
      </w:pPr>
      <w:r w:rsidRPr="00D556DB">
        <w:lastRenderedPageBreak/>
        <w:t>Estimated need for affordable rented housing (% of households able to afford)</w:t>
      </w:r>
    </w:p>
    <w:tbl>
      <w:tblPr>
        <w:tblStyle w:val="TableTheme"/>
        <w:tblW w:w="5000" w:type="pct"/>
        <w:tblInd w:w="0" w:type="dxa"/>
        <w:tblLook w:val="04A0" w:firstRow="1" w:lastRow="0" w:firstColumn="1" w:lastColumn="0" w:noHBand="0" w:noVBand="1"/>
      </w:tblPr>
      <w:tblGrid>
        <w:gridCol w:w="4388"/>
        <w:gridCol w:w="4389"/>
      </w:tblGrid>
      <w:tr w:rsidR="00360825" w:rsidRPr="00DE1AA1" w14:paraId="57D8EED6" w14:textId="77777777" w:rsidTr="00C04569">
        <w:tc>
          <w:tcPr>
            <w:tcW w:w="4388" w:type="dxa"/>
            <w:tcBorders>
              <w:top w:val="single" w:sz="4" w:space="0" w:color="auto"/>
              <w:left w:val="single" w:sz="4" w:space="0" w:color="auto"/>
              <w:bottom w:val="single" w:sz="4" w:space="0" w:color="auto"/>
              <w:right w:val="single" w:sz="4" w:space="0" w:color="auto"/>
            </w:tcBorders>
            <w:shd w:val="clear" w:color="auto" w:fill="002060"/>
          </w:tcPr>
          <w:p w14:paraId="5CCE9AFE" w14:textId="77777777" w:rsidR="00360825" w:rsidRPr="00D556DB" w:rsidRDefault="00360825" w:rsidP="00C04569">
            <w:pPr>
              <w:keepNext/>
              <w:spacing w:before="60" w:after="60" w:line="300" w:lineRule="auto"/>
              <w:jc w:val="left"/>
              <w:rPr>
                <w:rFonts w:ascii="Arial" w:hAnsi="Arial" w:cs="Arial"/>
              </w:rPr>
            </w:pPr>
          </w:p>
        </w:tc>
        <w:tc>
          <w:tcPr>
            <w:tcW w:w="4389" w:type="dxa"/>
            <w:tcBorders>
              <w:top w:val="single" w:sz="4" w:space="0" w:color="auto"/>
              <w:left w:val="single" w:sz="4" w:space="0" w:color="auto"/>
              <w:bottom w:val="single" w:sz="4" w:space="0" w:color="auto"/>
              <w:right w:val="single" w:sz="4" w:space="0" w:color="auto"/>
            </w:tcBorders>
            <w:shd w:val="clear" w:color="auto" w:fill="002060"/>
            <w:hideMark/>
          </w:tcPr>
          <w:p w14:paraId="7D1CE061"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 of households able to afford</w:t>
            </w:r>
          </w:p>
        </w:tc>
      </w:tr>
      <w:tr w:rsidR="00360825" w:rsidRPr="00DE1AA1" w14:paraId="13AA0B4D"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384F5C7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Afford affordable rent</w:t>
            </w:r>
          </w:p>
        </w:tc>
        <w:tc>
          <w:tcPr>
            <w:tcW w:w="4389" w:type="dxa"/>
            <w:tcBorders>
              <w:top w:val="single" w:sz="4" w:space="0" w:color="auto"/>
              <w:left w:val="single" w:sz="4" w:space="0" w:color="auto"/>
              <w:bottom w:val="single" w:sz="4" w:space="0" w:color="auto"/>
              <w:right w:val="single" w:sz="4" w:space="0" w:color="auto"/>
            </w:tcBorders>
            <w:vAlign w:val="bottom"/>
            <w:hideMark/>
          </w:tcPr>
          <w:p w14:paraId="579BEB9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19%</w:t>
            </w:r>
          </w:p>
        </w:tc>
      </w:tr>
      <w:tr w:rsidR="00360825" w:rsidRPr="00DE1AA1" w14:paraId="379EF262"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7D803DB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Afford social rent</w:t>
            </w:r>
          </w:p>
        </w:tc>
        <w:tc>
          <w:tcPr>
            <w:tcW w:w="4389" w:type="dxa"/>
            <w:tcBorders>
              <w:top w:val="single" w:sz="4" w:space="0" w:color="auto"/>
              <w:left w:val="single" w:sz="4" w:space="0" w:color="auto"/>
              <w:bottom w:val="single" w:sz="4" w:space="0" w:color="auto"/>
              <w:right w:val="single" w:sz="4" w:space="0" w:color="auto"/>
            </w:tcBorders>
            <w:vAlign w:val="bottom"/>
            <w:hideMark/>
          </w:tcPr>
          <w:p w14:paraId="3BCCB74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40%</w:t>
            </w:r>
          </w:p>
        </w:tc>
      </w:tr>
      <w:tr w:rsidR="00360825" w:rsidRPr="00DE1AA1" w14:paraId="54B92115"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67C5752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Need benefit support</w:t>
            </w:r>
          </w:p>
        </w:tc>
        <w:tc>
          <w:tcPr>
            <w:tcW w:w="4389" w:type="dxa"/>
            <w:tcBorders>
              <w:top w:val="single" w:sz="4" w:space="0" w:color="auto"/>
              <w:left w:val="single" w:sz="4" w:space="0" w:color="auto"/>
              <w:bottom w:val="single" w:sz="4" w:space="0" w:color="auto"/>
              <w:right w:val="single" w:sz="4" w:space="0" w:color="auto"/>
            </w:tcBorders>
            <w:vAlign w:val="bottom"/>
            <w:hideMark/>
          </w:tcPr>
          <w:p w14:paraId="1D2CA4C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40%</w:t>
            </w:r>
          </w:p>
        </w:tc>
      </w:tr>
      <w:tr w:rsidR="00360825" w:rsidRPr="00DE1AA1" w14:paraId="18ECD378"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5D36F97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All unable to afford market</w:t>
            </w:r>
          </w:p>
        </w:tc>
        <w:tc>
          <w:tcPr>
            <w:tcW w:w="4389" w:type="dxa"/>
            <w:tcBorders>
              <w:top w:val="single" w:sz="4" w:space="0" w:color="auto"/>
              <w:left w:val="single" w:sz="4" w:space="0" w:color="auto"/>
              <w:bottom w:val="single" w:sz="4" w:space="0" w:color="auto"/>
              <w:right w:val="single" w:sz="4" w:space="0" w:color="auto"/>
            </w:tcBorders>
            <w:hideMark/>
          </w:tcPr>
          <w:p w14:paraId="210D5E7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r>
    </w:tbl>
    <w:p w14:paraId="507961D5" w14:textId="77777777" w:rsidR="00360825" w:rsidRPr="00DE1AA1" w:rsidRDefault="00360825" w:rsidP="00360825">
      <w:pPr>
        <w:pStyle w:val="Caption"/>
        <w:spacing w:after="360"/>
        <w:jc w:val="both"/>
        <w:rPr>
          <w:i/>
          <w:color w:val="auto"/>
          <w:sz w:val="16"/>
          <w:szCs w:val="16"/>
        </w:rPr>
      </w:pPr>
      <w:r w:rsidRPr="00DE1AA1">
        <w:rPr>
          <w:i/>
          <w:color w:val="auto"/>
          <w:sz w:val="16"/>
          <w:szCs w:val="16"/>
        </w:rPr>
        <w:t>Source: Affordability analysis</w:t>
      </w:r>
    </w:p>
    <w:p w14:paraId="5BAB0DE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finding that only 19% of households can afford an affordable rent does not automatically lead to a policy conclusion on the split between the two types of housing. For example, many households who will need to access rented accommodation will be benefit dependent and as such could technically afford an affordable rent – hence a higher proportion of affordable rented housing might be appropriate – indeed the analysis does identify a substantial proportion of households as being likely to need benefit support. Conversely, providing more social rents might enable households to return to work more easily, as a lower income would potentially be needed to afford the lower social (rather than affordable) rent.</w:t>
      </w:r>
    </w:p>
    <w:p w14:paraId="4C415BD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There will be a series of other considerations both at a strategic level and for specific schemes. For example, there may be funding streams that are only available for a particular type of housing, and this may exist independently to any local assessment of need. Additionally, there will be the consideration of the balance between the cost of housing and the amount that can be viably provided, for example, it is likely that affordable rented housing is more viable, and therefore a greater number of units could be provided. Finally, in considering a split between social and affordable rented housing it needs to be considered that having different tenures on the same site (at least at initial occupation) may be difficult – e.g. if tenants are paying a different rent for essentially the same size/type of property and services.</w:t>
      </w:r>
    </w:p>
    <w:p w14:paraId="026D29C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bookmarkStart w:id="28" w:name="_Hlk38531880"/>
      <w:r w:rsidRPr="00D556DB">
        <w:rPr>
          <w:rFonts w:ascii="Arial" w:hAnsi="Arial" w:cs="Arial"/>
        </w:rPr>
        <w:t xml:space="preserve">On this basis, it is not recommended that the Council has a rigid policy for the split between social and affordable rented housing, although the analysis is clear that both tenures of homes are likely to be required </w:t>
      </w:r>
      <w:bookmarkEnd w:id="28"/>
      <w:r w:rsidRPr="00D556DB">
        <w:rPr>
          <w:rFonts w:ascii="Arial" w:hAnsi="Arial" w:cs="Arial"/>
        </w:rPr>
        <w:t>across the District.</w:t>
      </w:r>
    </w:p>
    <w:p w14:paraId="30E8E654"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Establishing a Need for Affordable Home Ownership</w:t>
      </w:r>
    </w:p>
    <w:p w14:paraId="71D8E3F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Planning Practice Guidance confirms a widening definition of those to be considered as in affordable need; now including </w:t>
      </w:r>
      <w:r w:rsidRPr="00D556DB">
        <w:rPr>
          <w:rFonts w:ascii="Arial" w:hAnsi="Arial" w:cs="Arial"/>
          <w:i/>
        </w:rPr>
        <w:t>‘households which can afford to rent in the private rental market, but cannot afford to buy despite a preference for owning their own home.’</w:t>
      </w:r>
      <w:r w:rsidRPr="00D556DB">
        <w:rPr>
          <w:rFonts w:ascii="Arial" w:hAnsi="Arial" w:cs="Arial"/>
        </w:rPr>
        <w:t xml:space="preserve"> However, at the time of writing, there is no guidance about how the number of such households should be measured.</w:t>
      </w:r>
    </w:p>
    <w:p w14:paraId="28AEFF4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methodology used in this report therefore draws on the current methodology, and includes an assessment of current needs, and projected need (newly forming and existing households). The key difference is that in looking at affordability an estimate of the number of households in the ‘gap’ </w:t>
      </w:r>
      <w:r w:rsidRPr="00D556DB">
        <w:rPr>
          <w:rFonts w:ascii="Arial" w:hAnsi="Arial" w:cs="Arial"/>
        </w:rPr>
        <w:lastRenderedPageBreak/>
        <w:t>between buying and renting is used. There is also the issue of establishing an estimate of the supply of affordable home ownership homes – this is considered separately below.</w:t>
      </w:r>
    </w:p>
    <w:p w14:paraId="5C83502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has been developed in the context of First Homes with the Government proposing that 25% of all affordable housing secured through developer contributions should be within this tenure. A definition of First Homes (from the relevant PPG (70-001)) can be found later in this document.</w:t>
      </w:r>
    </w:p>
    <w:p w14:paraId="34A7E04F" w14:textId="77777777" w:rsidR="00360825" w:rsidRPr="00D556DB" w:rsidRDefault="00360825" w:rsidP="00360825">
      <w:pPr>
        <w:pStyle w:val="Heading3"/>
        <w:rPr>
          <w:rFonts w:ascii="Arial" w:hAnsi="Arial" w:cs="Arial"/>
        </w:rPr>
      </w:pPr>
      <w:r w:rsidRPr="00D556DB">
        <w:rPr>
          <w:rStyle w:val="Strong"/>
          <w:rFonts w:ascii="Arial" w:hAnsi="Arial" w:cs="Arial"/>
          <w:b/>
          <w:bCs w:val="0"/>
        </w:rPr>
        <w:t>Gross Need for Affordable Home Ownership</w:t>
      </w:r>
    </w:p>
    <w:p w14:paraId="27550A3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first part of the analysis seeks to understand what the gap between renting and buying actually means in the study area – in particular establishing the typical incomes that might be required. The information about incomes required to both buy and rent in different locations has already been provided earlier in this section and so the discussion below is a broad example.</w:t>
      </w:r>
    </w:p>
    <w:p w14:paraId="0476DAAC"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Using the income distributions developed (as set out earlier in this section) along with data about price and rents, it has been estimated that of all households living in the private rented sector, around 20% already have sufficient income to buy a lower quartile home, with 31% falling in the rent/buy ‘gap’. The final 49% are estimated to have an income below that needed to afford to rent privately (i.e. would need to spend more than the calculated threshold of their income on housing costs) although in reality it should be noted that many households will spend a higher proportion of their income on housing as demonstrated by the fact that these household are already in that sector. These figures have been based on an assumption that incomes in the private rented sector are around 88% of the equivalent figure for all households (a proportion derived from the English Housing Survey) and are used as it is clear that affordable home ownership products are likely to be targeted at households living in or who might be expected to access this sector (e.g. newly forming households).</w:t>
      </w:r>
    </w:p>
    <w:p w14:paraId="5EAFAC6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table below shows an estimate of the proportion of households living in the private rented sector who are able to afford different housing products by sub-area. This shows similar proportions of households in the rent/buy gap in all areas but with differences in estimates of the proportions who can afford to buy or rent and who cannot afford to buy or rent.</w:t>
      </w:r>
    </w:p>
    <w:p w14:paraId="14760D44" w14:textId="77777777" w:rsidR="00360825" w:rsidRPr="00D556DB" w:rsidRDefault="00360825" w:rsidP="001A7584">
      <w:pPr>
        <w:pStyle w:val="Heading4"/>
        <w:ind w:firstLine="0"/>
      </w:pPr>
      <w:r w:rsidRPr="00D556DB">
        <w:lastRenderedPageBreak/>
        <w:t>Estimated proportion of households living in Private Rented Sector able to buy and/or rent market housing</w:t>
      </w:r>
    </w:p>
    <w:tbl>
      <w:tblPr>
        <w:tblStyle w:val="TableTheme"/>
        <w:tblW w:w="5000" w:type="pct"/>
        <w:tblInd w:w="0" w:type="dxa"/>
        <w:tblLook w:val="04A0" w:firstRow="1" w:lastRow="0" w:firstColumn="1" w:lastColumn="0" w:noHBand="0" w:noVBand="1"/>
      </w:tblPr>
      <w:tblGrid>
        <w:gridCol w:w="2194"/>
        <w:gridCol w:w="2194"/>
        <w:gridCol w:w="2194"/>
        <w:gridCol w:w="2195"/>
      </w:tblGrid>
      <w:tr w:rsidR="00360825" w:rsidRPr="00DE1AA1" w14:paraId="67FD3432"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0FE7AA5F" w14:textId="77777777" w:rsidR="00360825" w:rsidRPr="00D556DB" w:rsidRDefault="00360825" w:rsidP="00C04569">
            <w:pPr>
              <w:keepNext/>
              <w:spacing w:after="0" w:line="240" w:lineRule="auto"/>
              <w:jc w:val="left"/>
              <w:rPr>
                <w:rFonts w:ascii="Arial" w:hAnsi="Arial" w:cs="Arial"/>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57FA89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Can afford to buy OR rent</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74B8B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Can afford to rent but not buy</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1E0613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Cannot afford to buy OR rent</w:t>
            </w:r>
          </w:p>
        </w:tc>
      </w:tr>
      <w:tr w:rsidR="00360825" w:rsidRPr="00DE1AA1" w14:paraId="6E6661B2"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77C8401F"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hideMark/>
          </w:tcPr>
          <w:p w14:paraId="5850DCE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24%</w:t>
            </w:r>
          </w:p>
        </w:tc>
        <w:tc>
          <w:tcPr>
            <w:tcW w:w="2194" w:type="dxa"/>
            <w:tcBorders>
              <w:top w:val="single" w:sz="4" w:space="0" w:color="auto"/>
              <w:left w:val="single" w:sz="4" w:space="0" w:color="auto"/>
              <w:bottom w:val="single" w:sz="4" w:space="0" w:color="auto"/>
              <w:right w:val="single" w:sz="4" w:space="0" w:color="auto"/>
            </w:tcBorders>
            <w:hideMark/>
          </w:tcPr>
          <w:p w14:paraId="313826B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31%</w:t>
            </w:r>
          </w:p>
        </w:tc>
        <w:tc>
          <w:tcPr>
            <w:tcW w:w="2195" w:type="dxa"/>
            <w:tcBorders>
              <w:top w:val="single" w:sz="4" w:space="0" w:color="auto"/>
              <w:left w:val="single" w:sz="4" w:space="0" w:color="auto"/>
              <w:bottom w:val="single" w:sz="4" w:space="0" w:color="auto"/>
              <w:right w:val="single" w:sz="4" w:space="0" w:color="auto"/>
            </w:tcBorders>
            <w:hideMark/>
          </w:tcPr>
          <w:p w14:paraId="52324AA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46%</w:t>
            </w:r>
          </w:p>
        </w:tc>
      </w:tr>
      <w:tr w:rsidR="00360825" w:rsidRPr="00DE1AA1" w14:paraId="62363461"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68BEEDFC"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hideMark/>
          </w:tcPr>
          <w:p w14:paraId="7FBCD45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25%</w:t>
            </w:r>
          </w:p>
        </w:tc>
        <w:tc>
          <w:tcPr>
            <w:tcW w:w="2194" w:type="dxa"/>
            <w:tcBorders>
              <w:top w:val="single" w:sz="4" w:space="0" w:color="auto"/>
              <w:left w:val="single" w:sz="4" w:space="0" w:color="auto"/>
              <w:bottom w:val="single" w:sz="4" w:space="0" w:color="auto"/>
              <w:right w:val="single" w:sz="4" w:space="0" w:color="auto"/>
            </w:tcBorders>
            <w:hideMark/>
          </w:tcPr>
          <w:p w14:paraId="0A2B91E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31%</w:t>
            </w:r>
          </w:p>
        </w:tc>
        <w:tc>
          <w:tcPr>
            <w:tcW w:w="2195" w:type="dxa"/>
            <w:tcBorders>
              <w:top w:val="single" w:sz="4" w:space="0" w:color="auto"/>
              <w:left w:val="single" w:sz="4" w:space="0" w:color="auto"/>
              <w:bottom w:val="single" w:sz="4" w:space="0" w:color="auto"/>
              <w:right w:val="single" w:sz="4" w:space="0" w:color="auto"/>
            </w:tcBorders>
            <w:hideMark/>
          </w:tcPr>
          <w:p w14:paraId="44894C0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44%</w:t>
            </w:r>
          </w:p>
        </w:tc>
      </w:tr>
      <w:tr w:rsidR="00360825" w:rsidRPr="00DE1AA1" w14:paraId="6A5B7012"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548461E7"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hideMark/>
          </w:tcPr>
          <w:p w14:paraId="75ACADA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17%</w:t>
            </w:r>
          </w:p>
        </w:tc>
        <w:tc>
          <w:tcPr>
            <w:tcW w:w="2194" w:type="dxa"/>
            <w:tcBorders>
              <w:top w:val="single" w:sz="4" w:space="0" w:color="auto"/>
              <w:left w:val="single" w:sz="4" w:space="0" w:color="auto"/>
              <w:bottom w:val="single" w:sz="4" w:space="0" w:color="auto"/>
              <w:right w:val="single" w:sz="4" w:space="0" w:color="auto"/>
            </w:tcBorders>
            <w:hideMark/>
          </w:tcPr>
          <w:p w14:paraId="7C8E346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31%</w:t>
            </w:r>
          </w:p>
        </w:tc>
        <w:tc>
          <w:tcPr>
            <w:tcW w:w="2195" w:type="dxa"/>
            <w:tcBorders>
              <w:top w:val="single" w:sz="4" w:space="0" w:color="auto"/>
              <w:left w:val="single" w:sz="4" w:space="0" w:color="auto"/>
              <w:bottom w:val="single" w:sz="4" w:space="0" w:color="auto"/>
              <w:right w:val="single" w:sz="4" w:space="0" w:color="auto"/>
            </w:tcBorders>
            <w:hideMark/>
          </w:tcPr>
          <w:p w14:paraId="767E67A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52%</w:t>
            </w:r>
          </w:p>
        </w:tc>
      </w:tr>
      <w:tr w:rsidR="00360825" w:rsidRPr="00DE1AA1" w14:paraId="3D40B612"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50E74CD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hideMark/>
          </w:tcPr>
          <w:p w14:paraId="547C8A7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14%</w:t>
            </w:r>
          </w:p>
        </w:tc>
        <w:tc>
          <w:tcPr>
            <w:tcW w:w="2194" w:type="dxa"/>
            <w:tcBorders>
              <w:top w:val="single" w:sz="4" w:space="0" w:color="auto"/>
              <w:left w:val="single" w:sz="4" w:space="0" w:color="auto"/>
              <w:bottom w:val="single" w:sz="4" w:space="0" w:color="auto"/>
              <w:right w:val="single" w:sz="4" w:space="0" w:color="auto"/>
            </w:tcBorders>
            <w:hideMark/>
          </w:tcPr>
          <w:p w14:paraId="48D891F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32%</w:t>
            </w:r>
          </w:p>
        </w:tc>
        <w:tc>
          <w:tcPr>
            <w:tcW w:w="2195" w:type="dxa"/>
            <w:tcBorders>
              <w:top w:val="single" w:sz="4" w:space="0" w:color="auto"/>
              <w:left w:val="single" w:sz="4" w:space="0" w:color="auto"/>
              <w:bottom w:val="single" w:sz="4" w:space="0" w:color="auto"/>
              <w:right w:val="single" w:sz="4" w:space="0" w:color="auto"/>
            </w:tcBorders>
            <w:hideMark/>
          </w:tcPr>
          <w:p w14:paraId="37651E1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54%</w:t>
            </w:r>
          </w:p>
        </w:tc>
      </w:tr>
      <w:tr w:rsidR="00360825" w:rsidRPr="00DE1AA1" w14:paraId="33F58A85"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7695963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hideMark/>
          </w:tcPr>
          <w:p w14:paraId="63B0DFB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17%</w:t>
            </w:r>
          </w:p>
        </w:tc>
        <w:tc>
          <w:tcPr>
            <w:tcW w:w="2194" w:type="dxa"/>
            <w:tcBorders>
              <w:top w:val="single" w:sz="4" w:space="0" w:color="auto"/>
              <w:left w:val="single" w:sz="4" w:space="0" w:color="auto"/>
              <w:bottom w:val="single" w:sz="4" w:space="0" w:color="auto"/>
              <w:right w:val="single" w:sz="4" w:space="0" w:color="auto"/>
            </w:tcBorders>
            <w:hideMark/>
          </w:tcPr>
          <w:p w14:paraId="1382AB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31%</w:t>
            </w:r>
          </w:p>
        </w:tc>
        <w:tc>
          <w:tcPr>
            <w:tcW w:w="2195" w:type="dxa"/>
            <w:tcBorders>
              <w:top w:val="single" w:sz="4" w:space="0" w:color="auto"/>
              <w:left w:val="single" w:sz="4" w:space="0" w:color="auto"/>
              <w:bottom w:val="single" w:sz="4" w:space="0" w:color="auto"/>
              <w:right w:val="single" w:sz="4" w:space="0" w:color="auto"/>
            </w:tcBorders>
            <w:hideMark/>
          </w:tcPr>
          <w:p w14:paraId="16FAF0D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52%</w:t>
            </w:r>
          </w:p>
        </w:tc>
      </w:tr>
      <w:tr w:rsidR="00360825" w:rsidRPr="00DE1AA1" w14:paraId="31A758F8"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6DCFEF2C"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194" w:type="dxa"/>
            <w:tcBorders>
              <w:top w:val="single" w:sz="4" w:space="0" w:color="auto"/>
              <w:left w:val="single" w:sz="4" w:space="0" w:color="auto"/>
              <w:bottom w:val="single" w:sz="4" w:space="0" w:color="auto"/>
              <w:right w:val="single" w:sz="4" w:space="0" w:color="auto"/>
            </w:tcBorders>
            <w:hideMark/>
          </w:tcPr>
          <w:p w14:paraId="5D17698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20%</w:t>
            </w:r>
          </w:p>
        </w:tc>
        <w:tc>
          <w:tcPr>
            <w:tcW w:w="2194" w:type="dxa"/>
            <w:tcBorders>
              <w:top w:val="single" w:sz="4" w:space="0" w:color="auto"/>
              <w:left w:val="single" w:sz="4" w:space="0" w:color="auto"/>
              <w:bottom w:val="single" w:sz="4" w:space="0" w:color="auto"/>
              <w:right w:val="single" w:sz="4" w:space="0" w:color="auto"/>
            </w:tcBorders>
            <w:hideMark/>
          </w:tcPr>
          <w:p w14:paraId="6638A50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31%</w:t>
            </w:r>
          </w:p>
        </w:tc>
        <w:tc>
          <w:tcPr>
            <w:tcW w:w="2195" w:type="dxa"/>
            <w:tcBorders>
              <w:top w:val="single" w:sz="4" w:space="0" w:color="auto"/>
              <w:left w:val="single" w:sz="4" w:space="0" w:color="auto"/>
              <w:bottom w:val="single" w:sz="4" w:space="0" w:color="auto"/>
              <w:right w:val="single" w:sz="4" w:space="0" w:color="auto"/>
            </w:tcBorders>
            <w:hideMark/>
          </w:tcPr>
          <w:p w14:paraId="261FEBD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49%</w:t>
            </w:r>
          </w:p>
        </w:tc>
      </w:tr>
    </w:tbl>
    <w:p w14:paraId="7C0CEEF8"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Housing Market Cost Analysis and Affordability Testing</w:t>
      </w:r>
    </w:p>
    <w:p w14:paraId="173887D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finding that a proportion of households in the private rented sector are likely to have an income that would allow them to buy a home is also noteworthy and suggests that for many households, barriers to accessing owner-occupation are less about income/the cost of housing and more about other factors (which could for example include the lack of a deposit or difficulties obtaining a mortgage (for example due to a poor credit rating or insecure employment). However, some households will choose to privately rent, for example as it is a more flexible option that may be more suitable for a particular household’s life stage (e.g. if moving locations with employment).</w:t>
      </w:r>
    </w:p>
    <w:p w14:paraId="6EC13F8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To study current need, an estimate of the number of households living in the Private Rented Sector (PRS) has been established, with the same (rent/buy gap) affordability test (as described above) then applied. The start point is the number of households living in private rented accommodation; as of the 2011 Census there were some 7,400 households living in the sector across the study area. Data from the English Housing Survey (EHS) suggests that since 2011, the number of households in the PRS has risen by about 19% - if the same proportion is relevant to Chichester then the number of households in the sector would now be around 8,800.</w:t>
      </w:r>
    </w:p>
    <w:p w14:paraId="06AE8C1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Additional data from the EHS suggests that 60% of all PRS households expect to become an owner at some point (5,300 households if applied to Chichester) and of these some 40% (2,100 households) would expect this to happen in the next 2-years. These figures are taken as the number of households potentially with a current need for affordable home ownership before any affordability testing.</w:t>
      </w:r>
    </w:p>
    <w:p w14:paraId="714004D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As noted above, on the basis of income it is estimated that around a third of the private rented sector sit in the gap between renting and buying (varying by location). Applying this proportion to the above figures would suggest a current need for around 655 affordable home ownership units (</w:t>
      </w:r>
      <w:r>
        <w:rPr>
          <w:rFonts w:ascii="Arial" w:hAnsi="Arial" w:cs="Arial"/>
        </w:rPr>
        <w:t>36</w:t>
      </w:r>
      <w:r w:rsidRPr="00D556DB">
        <w:rPr>
          <w:rFonts w:ascii="Arial" w:hAnsi="Arial" w:cs="Arial"/>
        </w:rPr>
        <w:t xml:space="preserve"> per annum if annualised over a</w:t>
      </w:r>
      <w:r>
        <w:rPr>
          <w:rFonts w:ascii="Arial" w:hAnsi="Arial" w:cs="Arial"/>
        </w:rPr>
        <w:t>n</w:t>
      </w:r>
      <w:r w:rsidRPr="00D556DB">
        <w:rPr>
          <w:rFonts w:ascii="Arial" w:hAnsi="Arial" w:cs="Arial"/>
        </w:rPr>
        <w:t xml:space="preserve"> 1</w:t>
      </w:r>
      <w:r>
        <w:rPr>
          <w:rFonts w:ascii="Arial" w:hAnsi="Arial" w:cs="Arial"/>
        </w:rPr>
        <w:t>8</w:t>
      </w:r>
      <w:r w:rsidRPr="00D556DB">
        <w:rPr>
          <w:rFonts w:ascii="Arial" w:hAnsi="Arial" w:cs="Arial"/>
        </w:rPr>
        <w:t>-year period).</w:t>
      </w:r>
    </w:p>
    <w:p w14:paraId="4007CEA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In projecting forward, the analysis can consider newly forming households and also the remaining existing households who expect to become owners further into the future. Applying the same affordability test (albeit on a very slightly different income assumption for newly forming households) </w:t>
      </w:r>
      <w:r w:rsidRPr="00D556DB">
        <w:rPr>
          <w:rFonts w:ascii="Arial" w:hAnsi="Arial" w:cs="Arial"/>
        </w:rPr>
        <w:lastRenderedPageBreak/>
        <w:t>suggests an annual need from these two groups of around 28</w:t>
      </w:r>
      <w:r>
        <w:rPr>
          <w:rFonts w:ascii="Arial" w:hAnsi="Arial" w:cs="Arial"/>
        </w:rPr>
        <w:t>0</w:t>
      </w:r>
      <w:r w:rsidRPr="00D556DB">
        <w:rPr>
          <w:rFonts w:ascii="Arial" w:hAnsi="Arial" w:cs="Arial"/>
        </w:rPr>
        <w:t xml:space="preserve"> dwellings (225 from newly forming households and 5</w:t>
      </w:r>
      <w:r>
        <w:rPr>
          <w:rFonts w:ascii="Arial" w:hAnsi="Arial" w:cs="Arial"/>
        </w:rPr>
        <w:t>5</w:t>
      </w:r>
      <w:r w:rsidRPr="00D556DB">
        <w:rPr>
          <w:rFonts w:ascii="Arial" w:hAnsi="Arial" w:cs="Arial"/>
        </w:rPr>
        <w:t xml:space="preserve"> from existing households in the private rented sector).</w:t>
      </w:r>
    </w:p>
    <w:p w14:paraId="068FCF6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Bringing together the above analysis suggests that there is a need for around 3</w:t>
      </w:r>
      <w:r>
        <w:rPr>
          <w:rFonts w:ascii="Arial" w:hAnsi="Arial" w:cs="Arial"/>
        </w:rPr>
        <w:t>16</w:t>
      </w:r>
      <w:r w:rsidRPr="00D556DB">
        <w:rPr>
          <w:rFonts w:ascii="Arial" w:hAnsi="Arial" w:cs="Arial"/>
        </w:rPr>
        <w:t xml:space="preserve"> affordable home ownership homes (priced for households able to afford to rent but not buy) per annum across the study area. This is before any assessment of the potential supply of housing is considered.</w:t>
      </w:r>
    </w:p>
    <w:p w14:paraId="5613BFF6" w14:textId="77777777" w:rsidR="00360825" w:rsidRPr="00D556DB" w:rsidRDefault="00360825" w:rsidP="001A7584">
      <w:pPr>
        <w:pStyle w:val="Heading4"/>
        <w:ind w:firstLine="0"/>
      </w:pPr>
      <w:r w:rsidRPr="00D556DB">
        <w:t>Estimated Gross Need for Affordable Home Ownership by sub-area (per annum)</w:t>
      </w:r>
    </w:p>
    <w:tbl>
      <w:tblPr>
        <w:tblStyle w:val="TableTheme"/>
        <w:tblW w:w="5000" w:type="pct"/>
        <w:tblInd w:w="0" w:type="dxa"/>
        <w:tblLayout w:type="fixed"/>
        <w:tblLook w:val="04A0" w:firstRow="1" w:lastRow="0" w:firstColumn="1" w:lastColumn="0" w:noHBand="0" w:noVBand="1"/>
      </w:tblPr>
      <w:tblGrid>
        <w:gridCol w:w="1980"/>
        <w:gridCol w:w="1699"/>
        <w:gridCol w:w="1699"/>
        <w:gridCol w:w="1699"/>
        <w:gridCol w:w="1700"/>
      </w:tblGrid>
      <w:tr w:rsidR="00360825" w:rsidRPr="00DE1AA1" w14:paraId="2860869E" w14:textId="77777777" w:rsidTr="00C04569">
        <w:tc>
          <w:tcPr>
            <w:tcW w:w="1980" w:type="dxa"/>
            <w:tcBorders>
              <w:top w:val="single" w:sz="4" w:space="0" w:color="auto"/>
              <w:left w:val="single" w:sz="4" w:space="0" w:color="auto"/>
              <w:bottom w:val="single" w:sz="4" w:space="0" w:color="auto"/>
              <w:right w:val="single" w:sz="4" w:space="0" w:color="auto"/>
            </w:tcBorders>
            <w:shd w:val="clear" w:color="auto" w:fill="002060"/>
          </w:tcPr>
          <w:p w14:paraId="4EB826A5" w14:textId="77777777" w:rsidR="00360825" w:rsidRPr="00D556DB" w:rsidRDefault="00360825" w:rsidP="00C04569">
            <w:pPr>
              <w:keepNext/>
              <w:spacing w:after="0" w:line="240" w:lineRule="auto"/>
              <w:jc w:val="left"/>
              <w:rPr>
                <w:rFonts w:ascii="Arial" w:hAnsi="Arial" w:cs="Arial"/>
                <w:b/>
              </w:rPr>
            </w:pPr>
          </w:p>
        </w:tc>
        <w:tc>
          <w:tcPr>
            <w:tcW w:w="16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9AF5F7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Current need</w:t>
            </w:r>
          </w:p>
        </w:tc>
        <w:tc>
          <w:tcPr>
            <w:tcW w:w="16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7EDEB5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Newly forming households</w:t>
            </w:r>
          </w:p>
        </w:tc>
        <w:tc>
          <w:tcPr>
            <w:tcW w:w="16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D6A284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Existing households falling into need</w:t>
            </w:r>
          </w:p>
        </w:tc>
        <w:tc>
          <w:tcPr>
            <w:tcW w:w="170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98AE3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 Gross Need</w:t>
            </w:r>
          </w:p>
        </w:tc>
      </w:tr>
      <w:tr w:rsidR="00360825" w:rsidRPr="00DE1AA1" w14:paraId="120036D6"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1A1920EF"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
                <w:bCs/>
              </w:rPr>
            </w:pPr>
            <w:r w:rsidRPr="00DE1AA1">
              <w:rPr>
                <w:rFonts w:ascii="Arial" w:hAnsi="Arial" w:cs="Arial"/>
                <w:color w:val="000000"/>
              </w:rPr>
              <w:t>Chichester City</w:t>
            </w:r>
          </w:p>
        </w:tc>
        <w:tc>
          <w:tcPr>
            <w:tcW w:w="1699" w:type="dxa"/>
            <w:tcBorders>
              <w:top w:val="single" w:sz="4" w:space="0" w:color="auto"/>
              <w:left w:val="single" w:sz="4" w:space="0" w:color="auto"/>
              <w:bottom w:val="single" w:sz="4" w:space="0" w:color="auto"/>
              <w:right w:val="single" w:sz="4" w:space="0" w:color="auto"/>
            </w:tcBorders>
            <w:vAlign w:val="bottom"/>
            <w:hideMark/>
          </w:tcPr>
          <w:p w14:paraId="511139E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12</w:t>
            </w:r>
          </w:p>
        </w:tc>
        <w:tc>
          <w:tcPr>
            <w:tcW w:w="1699" w:type="dxa"/>
            <w:tcBorders>
              <w:top w:val="single" w:sz="4" w:space="0" w:color="auto"/>
              <w:left w:val="single" w:sz="4" w:space="0" w:color="auto"/>
              <w:bottom w:val="single" w:sz="4" w:space="0" w:color="auto"/>
              <w:right w:val="single" w:sz="4" w:space="0" w:color="auto"/>
            </w:tcBorders>
            <w:vAlign w:val="bottom"/>
            <w:hideMark/>
          </w:tcPr>
          <w:p w14:paraId="1CE64A6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59</w:t>
            </w:r>
          </w:p>
        </w:tc>
        <w:tc>
          <w:tcPr>
            <w:tcW w:w="1699" w:type="dxa"/>
            <w:tcBorders>
              <w:top w:val="single" w:sz="4" w:space="0" w:color="auto"/>
              <w:left w:val="single" w:sz="4" w:space="0" w:color="auto"/>
              <w:bottom w:val="single" w:sz="4" w:space="0" w:color="auto"/>
              <w:right w:val="single" w:sz="4" w:space="0" w:color="auto"/>
            </w:tcBorders>
            <w:vAlign w:val="bottom"/>
            <w:hideMark/>
          </w:tcPr>
          <w:p w14:paraId="49C106D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18</w:t>
            </w:r>
          </w:p>
        </w:tc>
        <w:tc>
          <w:tcPr>
            <w:tcW w:w="1700" w:type="dxa"/>
            <w:tcBorders>
              <w:top w:val="single" w:sz="4" w:space="0" w:color="auto"/>
              <w:left w:val="single" w:sz="4" w:space="0" w:color="auto"/>
              <w:bottom w:val="single" w:sz="4" w:space="0" w:color="auto"/>
              <w:right w:val="single" w:sz="4" w:space="0" w:color="auto"/>
            </w:tcBorders>
            <w:vAlign w:val="bottom"/>
            <w:hideMark/>
          </w:tcPr>
          <w:p w14:paraId="0D30538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89</w:t>
            </w:r>
          </w:p>
        </w:tc>
      </w:tr>
      <w:tr w:rsidR="00360825" w:rsidRPr="00DE1AA1" w14:paraId="149C6731"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2D44615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357504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7AE749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48</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ABB16A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w:t>
            </w:r>
          </w:p>
        </w:tc>
        <w:tc>
          <w:tcPr>
            <w:tcW w:w="1700" w:type="dxa"/>
            <w:tcBorders>
              <w:top w:val="single" w:sz="4" w:space="0" w:color="auto"/>
              <w:left w:val="single" w:sz="4" w:space="0" w:color="auto"/>
              <w:bottom w:val="single" w:sz="4" w:space="0" w:color="auto"/>
              <w:right w:val="single" w:sz="4" w:space="0" w:color="auto"/>
            </w:tcBorders>
            <w:vAlign w:val="bottom"/>
            <w:hideMark/>
          </w:tcPr>
          <w:p w14:paraId="365FCF3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64</w:t>
            </w:r>
          </w:p>
        </w:tc>
      </w:tr>
      <w:tr w:rsidR="00360825" w:rsidRPr="00DE1AA1" w14:paraId="12D68163"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4F2F74D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1699" w:type="dxa"/>
            <w:tcBorders>
              <w:top w:val="single" w:sz="4" w:space="0" w:color="auto"/>
              <w:left w:val="single" w:sz="4" w:space="0" w:color="auto"/>
              <w:bottom w:val="single" w:sz="4" w:space="0" w:color="auto"/>
              <w:right w:val="single" w:sz="4" w:space="0" w:color="auto"/>
            </w:tcBorders>
            <w:vAlign w:val="bottom"/>
            <w:hideMark/>
          </w:tcPr>
          <w:p w14:paraId="6AA2B5E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w:t>
            </w:r>
          </w:p>
        </w:tc>
        <w:tc>
          <w:tcPr>
            <w:tcW w:w="1699" w:type="dxa"/>
            <w:tcBorders>
              <w:top w:val="single" w:sz="4" w:space="0" w:color="auto"/>
              <w:left w:val="single" w:sz="4" w:space="0" w:color="auto"/>
              <w:bottom w:val="single" w:sz="4" w:space="0" w:color="auto"/>
              <w:right w:val="single" w:sz="4" w:space="0" w:color="auto"/>
            </w:tcBorders>
            <w:vAlign w:val="bottom"/>
            <w:hideMark/>
          </w:tcPr>
          <w:p w14:paraId="7F29F9B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46</w:t>
            </w:r>
          </w:p>
        </w:tc>
        <w:tc>
          <w:tcPr>
            <w:tcW w:w="1699" w:type="dxa"/>
            <w:tcBorders>
              <w:top w:val="single" w:sz="4" w:space="0" w:color="auto"/>
              <w:left w:val="single" w:sz="4" w:space="0" w:color="auto"/>
              <w:bottom w:val="single" w:sz="4" w:space="0" w:color="auto"/>
              <w:right w:val="single" w:sz="4" w:space="0" w:color="auto"/>
            </w:tcBorders>
            <w:vAlign w:val="bottom"/>
            <w:hideMark/>
          </w:tcPr>
          <w:p w14:paraId="085D0F2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w:t>
            </w:r>
          </w:p>
        </w:tc>
        <w:tc>
          <w:tcPr>
            <w:tcW w:w="1700" w:type="dxa"/>
            <w:tcBorders>
              <w:top w:val="single" w:sz="4" w:space="0" w:color="auto"/>
              <w:left w:val="single" w:sz="4" w:space="0" w:color="auto"/>
              <w:bottom w:val="single" w:sz="4" w:space="0" w:color="auto"/>
              <w:right w:val="single" w:sz="4" w:space="0" w:color="auto"/>
            </w:tcBorders>
            <w:vAlign w:val="bottom"/>
            <w:hideMark/>
          </w:tcPr>
          <w:p w14:paraId="751A73B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63</w:t>
            </w:r>
          </w:p>
        </w:tc>
      </w:tr>
      <w:tr w:rsidR="00360825" w:rsidRPr="00DE1AA1" w14:paraId="5BFC0E66"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4A2E6C2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1699" w:type="dxa"/>
            <w:tcBorders>
              <w:top w:val="single" w:sz="4" w:space="0" w:color="auto"/>
              <w:left w:val="single" w:sz="4" w:space="0" w:color="auto"/>
              <w:bottom w:val="single" w:sz="4" w:space="0" w:color="auto"/>
              <w:right w:val="single" w:sz="4" w:space="0" w:color="auto"/>
            </w:tcBorders>
            <w:vAlign w:val="bottom"/>
            <w:hideMark/>
          </w:tcPr>
          <w:p w14:paraId="71F744E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61AD84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17</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EE8534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w:t>
            </w:r>
          </w:p>
        </w:tc>
        <w:tc>
          <w:tcPr>
            <w:tcW w:w="1700" w:type="dxa"/>
            <w:tcBorders>
              <w:top w:val="single" w:sz="4" w:space="0" w:color="auto"/>
              <w:left w:val="single" w:sz="4" w:space="0" w:color="auto"/>
              <w:bottom w:val="single" w:sz="4" w:space="0" w:color="auto"/>
              <w:right w:val="single" w:sz="4" w:space="0" w:color="auto"/>
            </w:tcBorders>
            <w:vAlign w:val="bottom"/>
            <w:hideMark/>
          </w:tcPr>
          <w:p w14:paraId="71D037D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20</w:t>
            </w:r>
          </w:p>
        </w:tc>
      </w:tr>
      <w:tr w:rsidR="00360825" w:rsidRPr="00DE1AA1" w14:paraId="7D1DA1B8"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6FC1354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1699" w:type="dxa"/>
            <w:tcBorders>
              <w:top w:val="single" w:sz="4" w:space="0" w:color="auto"/>
              <w:left w:val="single" w:sz="4" w:space="0" w:color="auto"/>
              <w:bottom w:val="single" w:sz="4" w:space="0" w:color="auto"/>
              <w:right w:val="single" w:sz="4" w:space="0" w:color="auto"/>
            </w:tcBorders>
            <w:vAlign w:val="bottom"/>
            <w:hideMark/>
          </w:tcPr>
          <w:p w14:paraId="622681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w:t>
            </w:r>
          </w:p>
        </w:tc>
        <w:tc>
          <w:tcPr>
            <w:tcW w:w="1699" w:type="dxa"/>
            <w:tcBorders>
              <w:top w:val="single" w:sz="4" w:space="0" w:color="auto"/>
              <w:left w:val="single" w:sz="4" w:space="0" w:color="auto"/>
              <w:bottom w:val="single" w:sz="4" w:space="0" w:color="auto"/>
              <w:right w:val="single" w:sz="4" w:space="0" w:color="auto"/>
            </w:tcBorders>
            <w:vAlign w:val="bottom"/>
            <w:hideMark/>
          </w:tcPr>
          <w:p w14:paraId="7A326F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55</w:t>
            </w:r>
          </w:p>
        </w:tc>
        <w:tc>
          <w:tcPr>
            <w:tcW w:w="1699" w:type="dxa"/>
            <w:tcBorders>
              <w:top w:val="single" w:sz="4" w:space="0" w:color="auto"/>
              <w:left w:val="single" w:sz="4" w:space="0" w:color="auto"/>
              <w:bottom w:val="single" w:sz="4" w:space="0" w:color="auto"/>
              <w:right w:val="single" w:sz="4" w:space="0" w:color="auto"/>
            </w:tcBorders>
            <w:vAlign w:val="bottom"/>
            <w:hideMark/>
          </w:tcPr>
          <w:p w14:paraId="7BDBF61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15</w:t>
            </w:r>
          </w:p>
        </w:tc>
        <w:tc>
          <w:tcPr>
            <w:tcW w:w="1700" w:type="dxa"/>
            <w:tcBorders>
              <w:top w:val="single" w:sz="4" w:space="0" w:color="auto"/>
              <w:left w:val="single" w:sz="4" w:space="0" w:color="auto"/>
              <w:bottom w:val="single" w:sz="4" w:space="0" w:color="auto"/>
              <w:right w:val="single" w:sz="4" w:space="0" w:color="auto"/>
            </w:tcBorders>
            <w:vAlign w:val="bottom"/>
            <w:hideMark/>
          </w:tcPr>
          <w:p w14:paraId="407C56E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80</w:t>
            </w:r>
          </w:p>
        </w:tc>
      </w:tr>
      <w:tr w:rsidR="00360825" w:rsidRPr="00DE1AA1" w14:paraId="373B2E1D" w14:textId="77777777" w:rsidTr="00C04569">
        <w:tc>
          <w:tcPr>
            <w:tcW w:w="1980" w:type="dxa"/>
            <w:tcBorders>
              <w:top w:val="single" w:sz="4" w:space="0" w:color="auto"/>
              <w:left w:val="single" w:sz="4" w:space="0" w:color="auto"/>
              <w:bottom w:val="single" w:sz="4" w:space="0" w:color="auto"/>
              <w:right w:val="single" w:sz="4" w:space="0" w:color="auto"/>
            </w:tcBorders>
            <w:hideMark/>
          </w:tcPr>
          <w:p w14:paraId="74D2019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793A72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36</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67FED3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225</w:t>
            </w:r>
          </w:p>
        </w:tc>
        <w:tc>
          <w:tcPr>
            <w:tcW w:w="1699" w:type="dxa"/>
            <w:tcBorders>
              <w:top w:val="single" w:sz="4" w:space="0" w:color="auto"/>
              <w:left w:val="single" w:sz="4" w:space="0" w:color="auto"/>
              <w:bottom w:val="single" w:sz="4" w:space="0" w:color="auto"/>
              <w:right w:val="single" w:sz="4" w:space="0" w:color="auto"/>
            </w:tcBorders>
            <w:vAlign w:val="bottom"/>
            <w:hideMark/>
          </w:tcPr>
          <w:p w14:paraId="64BC285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55</w:t>
            </w:r>
          </w:p>
        </w:tc>
        <w:tc>
          <w:tcPr>
            <w:tcW w:w="1700" w:type="dxa"/>
            <w:tcBorders>
              <w:top w:val="single" w:sz="4" w:space="0" w:color="auto"/>
              <w:left w:val="single" w:sz="4" w:space="0" w:color="auto"/>
              <w:bottom w:val="single" w:sz="4" w:space="0" w:color="auto"/>
              <w:right w:val="single" w:sz="4" w:space="0" w:color="auto"/>
            </w:tcBorders>
            <w:vAlign w:val="bottom"/>
            <w:hideMark/>
          </w:tcPr>
          <w:p w14:paraId="2164E89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316</w:t>
            </w:r>
          </w:p>
        </w:tc>
      </w:tr>
    </w:tbl>
    <w:p w14:paraId="7464D8C9"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Range of sources as discussed</w:t>
      </w:r>
    </w:p>
    <w:p w14:paraId="5BDD9772" w14:textId="77777777" w:rsidR="00360825" w:rsidRPr="00D556DB" w:rsidRDefault="00360825" w:rsidP="00360825">
      <w:pPr>
        <w:pStyle w:val="Heading3"/>
        <w:spacing w:after="120"/>
        <w:rPr>
          <w:rFonts w:ascii="Arial" w:hAnsi="Arial" w:cs="Arial"/>
        </w:rPr>
      </w:pPr>
      <w:r w:rsidRPr="00D556DB">
        <w:rPr>
          <w:rStyle w:val="Strong"/>
          <w:rFonts w:ascii="Arial" w:hAnsi="Arial" w:cs="Arial"/>
        </w:rPr>
        <w:t>Potential Supply of Housing to Meet the Affordable Home Ownership Need and Net Need</w:t>
      </w:r>
    </w:p>
    <w:p w14:paraId="5F07D72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As with the need for social/affordable rented housing, it is also necessary to consider if there is any supply of affordable home ownership products from the existing stock of housing. As with assessing the need for affordable home ownership, it is the case that at present the PPG does not include any suggestions about how the supply of housing to meet these needs should be calculated.</w:t>
      </w:r>
    </w:p>
    <w:p w14:paraId="4AD55B0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main source is likely to be resales of products such as shared ownership and an analysis of </w:t>
      </w:r>
      <w:proofErr w:type="spellStart"/>
      <w:r w:rsidRPr="00D556DB">
        <w:rPr>
          <w:rFonts w:ascii="Arial" w:hAnsi="Arial" w:cs="Arial"/>
        </w:rPr>
        <w:t>CoRe</w:t>
      </w:r>
      <w:proofErr w:type="spellEnd"/>
      <w:r w:rsidRPr="00D556DB">
        <w:rPr>
          <w:rFonts w:ascii="Arial" w:hAnsi="Arial" w:cs="Arial"/>
        </w:rPr>
        <w:t xml:space="preserve"> data about resales of affordable housing shows an average of around 15 resales per annum across the study area (based on data for the 2016-19 period). These properties would be available for these households and can be included as the potential supply.</w:t>
      </w:r>
    </w:p>
    <w:p w14:paraId="76127C1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table below therefore shows an estimate of the net need for affordable home ownership. This suggests a need for around </w:t>
      </w:r>
      <w:r>
        <w:rPr>
          <w:rFonts w:ascii="Arial" w:hAnsi="Arial" w:cs="Arial"/>
        </w:rPr>
        <w:t>301</w:t>
      </w:r>
      <w:r w:rsidRPr="00D556DB">
        <w:rPr>
          <w:rFonts w:ascii="Arial" w:hAnsi="Arial" w:cs="Arial"/>
        </w:rPr>
        <w:t xml:space="preserve"> dwellings per annum, with a need being shown in all areas.</w:t>
      </w:r>
    </w:p>
    <w:p w14:paraId="3E2FD9BF" w14:textId="77777777" w:rsidR="00360825" w:rsidRPr="00D556DB" w:rsidRDefault="00360825" w:rsidP="001A7584">
      <w:pPr>
        <w:pStyle w:val="Heading4"/>
        <w:ind w:firstLine="0"/>
      </w:pPr>
      <w:r w:rsidRPr="00D556DB">
        <w:t>Estimated Need for Affordable Home Ownership by sub-area (per annum)</w:t>
      </w:r>
    </w:p>
    <w:tbl>
      <w:tblPr>
        <w:tblStyle w:val="TableGrid"/>
        <w:tblW w:w="5000" w:type="pct"/>
        <w:tblLook w:val="04A0" w:firstRow="1" w:lastRow="0" w:firstColumn="1" w:lastColumn="0" w:noHBand="0" w:noVBand="1"/>
      </w:tblPr>
      <w:tblGrid>
        <w:gridCol w:w="2194"/>
        <w:gridCol w:w="2194"/>
        <w:gridCol w:w="2194"/>
        <w:gridCol w:w="2195"/>
      </w:tblGrid>
      <w:tr w:rsidR="00360825" w:rsidRPr="00DE1AA1" w14:paraId="529B3487"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4CC1483B" w14:textId="77777777" w:rsidR="00360825" w:rsidRPr="00D556DB" w:rsidRDefault="00360825" w:rsidP="00C04569">
            <w:pPr>
              <w:keepNext/>
              <w:spacing w:after="0" w:line="240" w:lineRule="auto"/>
              <w:jc w:val="left"/>
              <w:rPr>
                <w:rFonts w:ascii="Arial" w:hAnsi="Arial" w:cs="Arial"/>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FCE317"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556DB">
              <w:rPr>
                <w:rFonts w:ascii="Arial" w:hAnsi="Arial" w:cs="Arial"/>
              </w:rPr>
              <w:t>Total Gross Need</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9A0B329"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556DB">
              <w:rPr>
                <w:rFonts w:ascii="Arial" w:hAnsi="Arial" w:cs="Arial"/>
              </w:rPr>
              <w:t>LCHO supply</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5060284"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556DB">
              <w:rPr>
                <w:rFonts w:ascii="Arial" w:hAnsi="Arial" w:cs="Arial"/>
              </w:rPr>
              <w:t>Net need</w:t>
            </w:r>
          </w:p>
        </w:tc>
      </w:tr>
      <w:tr w:rsidR="00360825" w:rsidRPr="00DE1AA1" w14:paraId="2C4210F7"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273B103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
                <w:bCs/>
              </w:rPr>
            </w:pPr>
            <w:r w:rsidRPr="00DE1AA1">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FE8BF8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89</w:t>
            </w:r>
          </w:p>
        </w:tc>
        <w:tc>
          <w:tcPr>
            <w:tcW w:w="2194" w:type="dxa"/>
            <w:tcBorders>
              <w:top w:val="single" w:sz="4" w:space="0" w:color="auto"/>
              <w:left w:val="single" w:sz="4" w:space="0" w:color="auto"/>
              <w:bottom w:val="single" w:sz="4" w:space="0" w:color="auto"/>
              <w:right w:val="single" w:sz="4" w:space="0" w:color="auto"/>
            </w:tcBorders>
            <w:vAlign w:val="bottom"/>
            <w:hideMark/>
          </w:tcPr>
          <w:p w14:paraId="3F09745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5</w:t>
            </w:r>
          </w:p>
        </w:tc>
        <w:tc>
          <w:tcPr>
            <w:tcW w:w="2195" w:type="dxa"/>
            <w:tcBorders>
              <w:top w:val="single" w:sz="4" w:space="0" w:color="auto"/>
              <w:left w:val="single" w:sz="4" w:space="0" w:color="auto"/>
              <w:bottom w:val="single" w:sz="4" w:space="0" w:color="auto"/>
              <w:right w:val="single" w:sz="4" w:space="0" w:color="auto"/>
            </w:tcBorders>
            <w:vAlign w:val="bottom"/>
            <w:hideMark/>
          </w:tcPr>
          <w:p w14:paraId="68C0171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84</w:t>
            </w:r>
          </w:p>
        </w:tc>
      </w:tr>
      <w:tr w:rsidR="00360825" w:rsidRPr="00DE1AA1" w14:paraId="16EB72E2"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7D919E2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66C665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64</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79F690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98D25A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61</w:t>
            </w:r>
          </w:p>
        </w:tc>
      </w:tr>
      <w:tr w:rsidR="00360825" w:rsidRPr="00DE1AA1" w14:paraId="47363B08"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61A3067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63AFBA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63</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FD6523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w:t>
            </w:r>
          </w:p>
        </w:tc>
        <w:tc>
          <w:tcPr>
            <w:tcW w:w="2195" w:type="dxa"/>
            <w:tcBorders>
              <w:top w:val="single" w:sz="4" w:space="0" w:color="auto"/>
              <w:left w:val="single" w:sz="4" w:space="0" w:color="auto"/>
              <w:bottom w:val="single" w:sz="4" w:space="0" w:color="auto"/>
              <w:right w:val="single" w:sz="4" w:space="0" w:color="auto"/>
            </w:tcBorders>
            <w:vAlign w:val="bottom"/>
            <w:hideMark/>
          </w:tcPr>
          <w:p w14:paraId="3C1D32E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60</w:t>
            </w:r>
          </w:p>
        </w:tc>
      </w:tr>
      <w:tr w:rsidR="00360825" w:rsidRPr="00DE1AA1" w14:paraId="61F0BCBF"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0683727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BCAB01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9D26E6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8E2054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19</w:t>
            </w:r>
          </w:p>
        </w:tc>
      </w:tr>
      <w:tr w:rsidR="00360825" w:rsidRPr="00DE1AA1" w14:paraId="0E6AB1ED"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6B85CA52"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vAlign w:val="bottom"/>
            <w:hideMark/>
          </w:tcPr>
          <w:p w14:paraId="06AF8AF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7725A2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4</w:t>
            </w:r>
          </w:p>
        </w:tc>
        <w:tc>
          <w:tcPr>
            <w:tcW w:w="2195" w:type="dxa"/>
            <w:tcBorders>
              <w:top w:val="single" w:sz="4" w:space="0" w:color="auto"/>
              <w:left w:val="single" w:sz="4" w:space="0" w:color="auto"/>
              <w:bottom w:val="single" w:sz="4" w:space="0" w:color="auto"/>
              <w:right w:val="single" w:sz="4" w:space="0" w:color="auto"/>
            </w:tcBorders>
            <w:vAlign w:val="bottom"/>
            <w:hideMark/>
          </w:tcPr>
          <w:p w14:paraId="18F8734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76</w:t>
            </w:r>
          </w:p>
        </w:tc>
      </w:tr>
      <w:tr w:rsidR="00360825" w:rsidRPr="00DE1AA1" w14:paraId="0709BC2D"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2E3889BF"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A09242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316</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BBCB5B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15</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195487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301</w:t>
            </w:r>
          </w:p>
        </w:tc>
      </w:tr>
    </w:tbl>
    <w:p w14:paraId="1B84ADA4"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Range of sources as discussed</w:t>
      </w:r>
    </w:p>
    <w:p w14:paraId="4C063542" w14:textId="77777777" w:rsidR="00360825" w:rsidRPr="00D556DB" w:rsidRDefault="00360825" w:rsidP="00360825">
      <w:pPr>
        <w:pStyle w:val="Heading3"/>
        <w:spacing w:after="120"/>
        <w:rPr>
          <w:rFonts w:ascii="Arial" w:hAnsi="Arial" w:cs="Arial"/>
        </w:rPr>
      </w:pPr>
      <w:r w:rsidRPr="00D556DB">
        <w:rPr>
          <w:rStyle w:val="Strong"/>
          <w:rFonts w:ascii="Arial" w:hAnsi="Arial" w:cs="Arial"/>
        </w:rPr>
        <w:lastRenderedPageBreak/>
        <w:t>An Alternative View of the Supply of Affordable Home Ownership Properties</w:t>
      </w:r>
    </w:p>
    <w:p w14:paraId="25360629"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above has looked at the supply of resales of affordable housing. However, it should be noted that the analysis to consider need looks at households unable to afford a lower quartile property price. By definition, a quarter of all homes sold will be priced at or below a lower quartile level. According to the Land Registry, in Chichester there were a total of 1,761 resales (i.e. excluding newly-built homes) in the last year (year to March 2021) and therefore around 440 would be priced below the lower quartile. This is 440 homes that would potentially be affordable to the target group for affordable home ownership products and is a potential supply that is in excess of the level of need calculated. The table below shows the estimated number of sales and the number at or below a lower quartile price for each sub-area.</w:t>
      </w:r>
    </w:p>
    <w:p w14:paraId="24971CED" w14:textId="77777777" w:rsidR="00360825" w:rsidRPr="00D556DB" w:rsidRDefault="00360825" w:rsidP="001A7584">
      <w:pPr>
        <w:pStyle w:val="Heading4"/>
        <w:ind w:firstLine="0"/>
      </w:pPr>
      <w:r w:rsidRPr="00D556DB">
        <w:t>Number of sales of existing dwellings (year to March 2021) and number at or below lower quartile</w:t>
      </w:r>
    </w:p>
    <w:tbl>
      <w:tblPr>
        <w:tblStyle w:val="TableGrid"/>
        <w:tblW w:w="5000" w:type="pct"/>
        <w:tblLook w:val="04A0" w:firstRow="1" w:lastRow="0" w:firstColumn="1" w:lastColumn="0" w:noHBand="0" w:noVBand="1"/>
      </w:tblPr>
      <w:tblGrid>
        <w:gridCol w:w="2925"/>
        <w:gridCol w:w="2926"/>
        <w:gridCol w:w="2926"/>
      </w:tblGrid>
      <w:tr w:rsidR="00360825" w:rsidRPr="00DE1AA1" w14:paraId="71ADF552" w14:textId="77777777" w:rsidTr="00C04569">
        <w:tc>
          <w:tcPr>
            <w:tcW w:w="2925" w:type="dxa"/>
            <w:tcBorders>
              <w:top w:val="single" w:sz="4" w:space="0" w:color="auto"/>
              <w:left w:val="single" w:sz="4" w:space="0" w:color="auto"/>
              <w:bottom w:val="single" w:sz="4" w:space="0" w:color="auto"/>
              <w:right w:val="single" w:sz="4" w:space="0" w:color="auto"/>
            </w:tcBorders>
            <w:shd w:val="clear" w:color="auto" w:fill="002060"/>
          </w:tcPr>
          <w:p w14:paraId="543D7541" w14:textId="77777777" w:rsidR="00360825" w:rsidRPr="00D556DB" w:rsidRDefault="00360825" w:rsidP="00C04569">
            <w:pPr>
              <w:keepNext/>
              <w:spacing w:after="0" w:line="240" w:lineRule="auto"/>
              <w:jc w:val="left"/>
              <w:rPr>
                <w:rFonts w:ascii="Arial" w:hAnsi="Arial" w:cs="Arial"/>
              </w:rPr>
            </w:pPr>
          </w:p>
        </w:tc>
        <w:tc>
          <w:tcPr>
            <w:tcW w:w="2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4C8318D"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556DB">
              <w:rPr>
                <w:rFonts w:ascii="Arial" w:hAnsi="Arial" w:cs="Arial"/>
              </w:rPr>
              <w:t>Number of sales</w:t>
            </w:r>
          </w:p>
        </w:tc>
        <w:tc>
          <w:tcPr>
            <w:tcW w:w="2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21E07E"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556DB">
              <w:rPr>
                <w:rFonts w:ascii="Arial" w:hAnsi="Arial" w:cs="Arial"/>
              </w:rPr>
              <w:t>Sales at or below LQ</w:t>
            </w:r>
          </w:p>
        </w:tc>
      </w:tr>
      <w:tr w:rsidR="00360825" w:rsidRPr="00DE1AA1" w14:paraId="29ED8936"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39A949C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Chichester City</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E80C61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392</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D3C35E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98</w:t>
            </w:r>
          </w:p>
        </w:tc>
      </w:tr>
      <w:tr w:rsidR="00360825" w:rsidRPr="00DE1AA1" w14:paraId="4A11A7A0"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18B5945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2926" w:type="dxa"/>
            <w:tcBorders>
              <w:top w:val="single" w:sz="4" w:space="0" w:color="auto"/>
              <w:left w:val="single" w:sz="4" w:space="0" w:color="auto"/>
              <w:bottom w:val="single" w:sz="4" w:space="0" w:color="auto"/>
              <w:right w:val="single" w:sz="4" w:space="0" w:color="auto"/>
            </w:tcBorders>
            <w:vAlign w:val="bottom"/>
            <w:hideMark/>
          </w:tcPr>
          <w:p w14:paraId="0909930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293</w:t>
            </w:r>
          </w:p>
        </w:tc>
        <w:tc>
          <w:tcPr>
            <w:tcW w:w="2926" w:type="dxa"/>
            <w:tcBorders>
              <w:top w:val="single" w:sz="4" w:space="0" w:color="auto"/>
              <w:left w:val="single" w:sz="4" w:space="0" w:color="auto"/>
              <w:bottom w:val="single" w:sz="4" w:space="0" w:color="auto"/>
              <w:right w:val="single" w:sz="4" w:space="0" w:color="auto"/>
            </w:tcBorders>
            <w:vAlign w:val="bottom"/>
            <w:hideMark/>
          </w:tcPr>
          <w:p w14:paraId="4F59FB7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73</w:t>
            </w:r>
          </w:p>
        </w:tc>
      </w:tr>
      <w:tr w:rsidR="00360825" w:rsidRPr="00DE1AA1" w14:paraId="02C9E7FF"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22588E54"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2926" w:type="dxa"/>
            <w:tcBorders>
              <w:top w:val="single" w:sz="4" w:space="0" w:color="auto"/>
              <w:left w:val="single" w:sz="4" w:space="0" w:color="auto"/>
              <w:bottom w:val="single" w:sz="4" w:space="0" w:color="auto"/>
              <w:right w:val="single" w:sz="4" w:space="0" w:color="auto"/>
            </w:tcBorders>
            <w:vAlign w:val="bottom"/>
            <w:hideMark/>
          </w:tcPr>
          <w:p w14:paraId="3A58E0E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520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EB8636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130</w:t>
            </w:r>
          </w:p>
        </w:tc>
      </w:tr>
      <w:tr w:rsidR="00360825" w:rsidRPr="00DE1AA1" w14:paraId="272D1268"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16D5CE12"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34F575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131</w:t>
            </w:r>
          </w:p>
        </w:tc>
        <w:tc>
          <w:tcPr>
            <w:tcW w:w="2926" w:type="dxa"/>
            <w:tcBorders>
              <w:top w:val="single" w:sz="4" w:space="0" w:color="auto"/>
              <w:left w:val="single" w:sz="4" w:space="0" w:color="auto"/>
              <w:bottom w:val="single" w:sz="4" w:space="0" w:color="auto"/>
              <w:right w:val="single" w:sz="4" w:space="0" w:color="auto"/>
            </w:tcBorders>
            <w:vAlign w:val="bottom"/>
            <w:hideMark/>
          </w:tcPr>
          <w:p w14:paraId="35D77EE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33</w:t>
            </w:r>
          </w:p>
        </w:tc>
      </w:tr>
      <w:tr w:rsidR="00360825" w:rsidRPr="00DE1AA1" w14:paraId="2C9F594B"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0727DE2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F8129E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424</w:t>
            </w:r>
          </w:p>
        </w:tc>
        <w:tc>
          <w:tcPr>
            <w:tcW w:w="2926" w:type="dxa"/>
            <w:tcBorders>
              <w:top w:val="single" w:sz="4" w:space="0" w:color="auto"/>
              <w:left w:val="single" w:sz="4" w:space="0" w:color="auto"/>
              <w:bottom w:val="single" w:sz="4" w:space="0" w:color="auto"/>
              <w:right w:val="single" w:sz="4" w:space="0" w:color="auto"/>
            </w:tcBorders>
            <w:vAlign w:val="bottom"/>
            <w:hideMark/>
          </w:tcPr>
          <w:p w14:paraId="39311FD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106</w:t>
            </w:r>
          </w:p>
        </w:tc>
      </w:tr>
      <w:tr w:rsidR="00360825" w:rsidRPr="00DE1AA1" w14:paraId="7149B18A" w14:textId="77777777" w:rsidTr="00C04569">
        <w:tc>
          <w:tcPr>
            <w:tcW w:w="2925" w:type="dxa"/>
            <w:tcBorders>
              <w:top w:val="single" w:sz="4" w:space="0" w:color="auto"/>
              <w:left w:val="single" w:sz="4" w:space="0" w:color="auto"/>
              <w:bottom w:val="single" w:sz="4" w:space="0" w:color="auto"/>
              <w:right w:val="single" w:sz="4" w:space="0" w:color="auto"/>
            </w:tcBorders>
            <w:hideMark/>
          </w:tcPr>
          <w:p w14:paraId="78315215"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726E68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1,761</w:t>
            </w:r>
          </w:p>
        </w:tc>
        <w:tc>
          <w:tcPr>
            <w:tcW w:w="2926" w:type="dxa"/>
            <w:tcBorders>
              <w:top w:val="single" w:sz="4" w:space="0" w:color="auto"/>
              <w:left w:val="single" w:sz="4" w:space="0" w:color="auto"/>
              <w:bottom w:val="single" w:sz="4" w:space="0" w:color="auto"/>
              <w:right w:val="single" w:sz="4" w:space="0" w:color="auto"/>
            </w:tcBorders>
            <w:vAlign w:val="bottom"/>
            <w:hideMark/>
          </w:tcPr>
          <w:p w14:paraId="4A67202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440</w:t>
            </w:r>
          </w:p>
        </w:tc>
      </w:tr>
    </w:tbl>
    <w:p w14:paraId="332CE382"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Land Registry</w:t>
      </w:r>
    </w:p>
    <w:p w14:paraId="5C20CD1D"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If a further supply of dwellings below lower quartile were taken from the estimated need then it would be suggested that there is actually a surplus of affordable home ownership properties (of around 134 per annum). This figure should be treated as theoretical, not least because it is the case that market housing is not allocated in the same way as social/affordable rented homes (i.e. anyone is able to buy a home as long as they can afford it and it is possible that a number of lower quartile homes would be sold to households able to afford more, or potentially to investment buyers). However, it is clear that looking at a wider definition of supply does make it difficult to conclude what the need for affordable home ownership is (and indeed if there is one).</w:t>
      </w:r>
    </w:p>
    <w:p w14:paraId="7169B809" w14:textId="77777777" w:rsidR="00360825" w:rsidRPr="00D556DB" w:rsidRDefault="00360825" w:rsidP="00360825">
      <w:pPr>
        <w:pStyle w:val="Heading3"/>
        <w:rPr>
          <w:rFonts w:ascii="Arial" w:hAnsi="Arial" w:cs="Arial"/>
        </w:rPr>
      </w:pPr>
      <w:r w:rsidRPr="00D556DB">
        <w:rPr>
          <w:rStyle w:val="Strong"/>
          <w:rFonts w:ascii="Arial" w:hAnsi="Arial" w:cs="Arial"/>
          <w:b/>
          <w:bCs w:val="0"/>
        </w:rPr>
        <w:t>Implications of the Analysis</w:t>
      </w:r>
    </w:p>
    <w:p w14:paraId="7FC61DB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Given the analysis above, it would be reasonable to conclude that there is a need to provide housing under the definition of ‘affordable home ownership’ – although this conclusion is based on only considering supply from resales of affordable housing (notably shared ownership). If supply estimates are expanded to include market housing for sale below a lower quartile price then the need for AHO is less clear-cut.</w:t>
      </w:r>
    </w:p>
    <w:p w14:paraId="6E6DE2D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Regardless, it does seem that there are many households in Chichester who are being excluded from the owner-occupied sector. This can be seen by analysis of tenure change, which saw the number of households living in private rented accommodation increasing by 45% from 2001 to 2011 </w:t>
      </w:r>
      <w:r w:rsidRPr="00D556DB">
        <w:rPr>
          <w:rFonts w:ascii="Arial" w:hAnsi="Arial" w:cs="Arial"/>
        </w:rPr>
        <w:lastRenderedPageBreak/>
        <w:t>(with the likelihood that there have been further increases since). Over the same period, the number of owners with a mortgage dropped by 7%. That said, some households will choose to privately rent, for example as it is a more flexible option that may be more suitable for a particular household’s life stage (e.g. if moving locations with employment).</w:t>
      </w:r>
    </w:p>
    <w:p w14:paraId="08A466B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On this basis, and as previously noted, it seems likely in Chichester that access to owner-occupation is being restricted by access to capital (e.g. for deposits, stamp duty, legal costs) as well as potentially some mortgage restrictions (e.g. where employment is temporary) rather than simply being due to the cost of housing to buy (although this will be a factor).</w:t>
      </w:r>
    </w:p>
    <w:p w14:paraId="26044F4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NPPF (last updated in July 2021) gives a clear direction that 10% of all new housing (on larger sites) should be for affordable home ownership (in other words, if 20% of homes were to be affordable </w:t>
      </w:r>
      <w:proofErr w:type="spellStart"/>
      <w:r w:rsidRPr="00D556DB">
        <w:rPr>
          <w:rFonts w:ascii="Arial" w:hAnsi="Arial" w:cs="Arial"/>
        </w:rPr>
        <w:t>then</w:t>
      </w:r>
      <w:proofErr w:type="spellEnd"/>
      <w:r w:rsidRPr="00D556DB">
        <w:rPr>
          <w:rFonts w:ascii="Arial" w:hAnsi="Arial" w:cs="Arial"/>
        </w:rPr>
        <w:t xml:space="preserve"> half would be affordable home ownership) and it is now the case that policy compliant planning applications would be expected to deliver a minimum of 25% affordable housing as First Homes (as a proportion of the total affordable housing), with Councils being able to specify the requirement for any remaining affordable housing (subject to at least 10% of all housing being for AHO).</w:t>
      </w:r>
    </w:p>
    <w:p w14:paraId="0E61E209"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Firstly regarding the 10%, it is not clear that this is the best solution in the study area. The NPPF does provide some examples of where the 10% might not be required (paragraph 65), most notably that the 10% would be expected unless this would </w:t>
      </w:r>
      <w:r w:rsidRPr="00D556DB">
        <w:rPr>
          <w:rFonts w:ascii="Arial" w:hAnsi="Arial" w:cs="Arial"/>
          <w:i/>
          <w:iCs/>
        </w:rPr>
        <w:t>‘significantly prejudice the ability to meet the identified affordable housing needs of specific groups’</w:t>
      </w:r>
      <w:r w:rsidRPr="00D556DB">
        <w:rPr>
          <w:rFonts w:ascii="Arial" w:hAnsi="Arial" w:cs="Arial"/>
        </w:rPr>
        <w:t>. In Chichester, the clear need for additional rented housing would arguably mean that providing the affordable home ownership would ‘prejudice the ability’ to meet the needs of the ‘specific group’ requiring rented accommodation.</w:t>
      </w:r>
    </w:p>
    <w:p w14:paraId="5C29302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Regarding the 25% of affordable housing as First Homes, it is not clear whether there is any scope to challenge the ‘minimum of 25%’, nor what role other tenures of affordable home ownership (such as shared ownership) might play. It is possible that provision of First Homes could squeeze out other forms of LCHO such as shared ownership, although it is likely that there will still be a role for this type of housing given typically lower deposit requirements. </w:t>
      </w:r>
    </w:p>
    <w:p w14:paraId="332A6EC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Whilst there are clearly many households in the gap between renting and buying, they in some cases will be able to afford homes below lower quartile housing costs. That said, it is important to recognise that some households will have insufficient savings to be able to afford to buy a home on the open market (particularly in terms of the ability to afford a deposit) and low-cost home ownership homes – and shared ownership homes in particular – will therefore continue to play a role in supporting some households in this respect.</w:t>
      </w:r>
    </w:p>
    <w:p w14:paraId="7DE81A0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evidence points to a clear and acute need for rented affordable housing for lower income households, and it is important that a supply of rented affordable housing is maintained to meet the needs of this group including those to which the authorities have a statutory housing duty. Such </w:t>
      </w:r>
      <w:r w:rsidRPr="00D556DB">
        <w:rPr>
          <w:rFonts w:ascii="Arial" w:hAnsi="Arial" w:cs="Arial"/>
        </w:rPr>
        <w:lastRenderedPageBreak/>
        <w:t>housing is notably cheaper than that available in the open market and can be accessed by many more households (some of whom may be supported by benefit payments).</w:t>
      </w:r>
    </w:p>
    <w:p w14:paraId="4C3CAEE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There will also be a role for Affordable Home Ownership on any 100% affordable housing schemes that may come forward (as well as through Section 106). Including a mix of both rented and intermediate homes to buy would make such schemes more viable, as well as enabling a range of tenures and therefore potential client groups to access housing.</w:t>
      </w:r>
    </w:p>
    <w:p w14:paraId="4F0DCA4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addition, it should also be noted that the finding of a ‘need’ for affordable home ownership does not have any impact on the overall need for housing. It seems clear that this group of households is simply a case of seeking to move households from one tenure to another (in this case from private renting to owner-occupation); there is therefore no net change in the total number of households, or the number of homes required.</w:t>
      </w:r>
    </w:p>
    <w:p w14:paraId="5F15C5C8"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How Much Should Affordable Home Ownership Homes Cost?</w:t>
      </w:r>
    </w:p>
    <w:p w14:paraId="6151682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and discussion above suggest that there are a number of households likely to fall under the PPG definition of needing affordable home ownership (including First Homes) – i.e. in the gap between renting and buying – but that the potential supply of low-cost housing to buy makes it difficult to fully quantify this need. However, given the NPPF, the Council is likely to need to consider some additional homes on larger sites as some form of affordable home ownership (AHO).</w:t>
      </w:r>
    </w:p>
    <w:p w14:paraId="0B1508C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below focusses on the cost of discounted market sale (which would include First Homes) to make them genuinely affordable before moving on to consider shared ownership (in this case suggestions are made about the equity shares likely to be affordable and whether these shares are likely to be offered). It is considered that First Homes and shared ownership are likely to be the main affordable home ownership tenures moving forward although it is accepted that some delivery may be of other products. This section also provides some comments about Rent to Buy housing.</w:t>
      </w:r>
    </w:p>
    <w:p w14:paraId="40FF13C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reason for the analysis to follow is that it will be important for the Council to ensure that any affordable home ownership is sold at a price that is genuinely affordable for the intended target group – for example there is no point in discounting a new market home by 30% if the price still remains above that for which a reasonable home can already be bought in the open market.</w:t>
      </w:r>
    </w:p>
    <w:p w14:paraId="14A7D1A8" w14:textId="77777777" w:rsidR="00360825" w:rsidRPr="00D556DB" w:rsidRDefault="00360825" w:rsidP="00360825">
      <w:pPr>
        <w:pStyle w:val="Heading3"/>
        <w:rPr>
          <w:rFonts w:ascii="Arial" w:hAnsi="Arial" w:cs="Arial"/>
        </w:rPr>
      </w:pPr>
      <w:r w:rsidRPr="00D556DB">
        <w:rPr>
          <w:rStyle w:val="Strong"/>
          <w:rFonts w:ascii="Arial" w:hAnsi="Arial" w:cs="Arial"/>
          <w:b/>
          <w:bCs w:val="0"/>
        </w:rPr>
        <w:t>Discounted Market Sales Housing (focussing on First Homes)</w:t>
      </w:r>
    </w:p>
    <w:p w14:paraId="0522CB4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May 2021, MHCLG published a new Planning Practice Guidance (PPG) regarding First Homes. The key parts of this guidance are set out below:</w:t>
      </w:r>
    </w:p>
    <w:p w14:paraId="22DC89C8"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r w:rsidRPr="00DE1AA1">
        <w:rPr>
          <w:rFonts w:ascii="Arial" w:hAnsi="Arial" w:cs="Arial"/>
          <w:i/>
          <w:iCs/>
          <w:color w:val="0B0C0C"/>
          <w:sz w:val="20"/>
          <w:szCs w:val="20"/>
        </w:rPr>
        <w:t>First Homes are a specific kind of discounted market sale housing and should be considered to meet the definition of ‘affordable housing’ for planning purposes. Specifically, First Homes are discounted market sale units which:</w:t>
      </w:r>
    </w:p>
    <w:p w14:paraId="019E793A"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p>
    <w:p w14:paraId="379D690F"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r w:rsidRPr="00DE1AA1">
        <w:rPr>
          <w:rFonts w:ascii="Arial" w:hAnsi="Arial" w:cs="Arial"/>
          <w:i/>
          <w:iCs/>
          <w:color w:val="0B0C0C"/>
          <w:sz w:val="20"/>
          <w:szCs w:val="20"/>
        </w:rPr>
        <w:t>a) must be discounted by a minimum of 30% against the market value;</w:t>
      </w:r>
    </w:p>
    <w:p w14:paraId="2CD426C3"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r w:rsidRPr="00DE1AA1">
        <w:rPr>
          <w:rFonts w:ascii="Arial" w:hAnsi="Arial" w:cs="Arial"/>
          <w:i/>
          <w:iCs/>
          <w:color w:val="0B0C0C"/>
          <w:sz w:val="20"/>
          <w:szCs w:val="20"/>
        </w:rPr>
        <w:t>b) are sold to a person or persons meeting the First Homes eligibility criteria (see below);</w:t>
      </w:r>
    </w:p>
    <w:p w14:paraId="61DFE2A0"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r w:rsidRPr="00DE1AA1">
        <w:rPr>
          <w:rFonts w:ascii="Arial" w:hAnsi="Arial" w:cs="Arial"/>
          <w:i/>
          <w:iCs/>
          <w:color w:val="0B0C0C"/>
          <w:sz w:val="20"/>
          <w:szCs w:val="20"/>
        </w:rPr>
        <w:t>c) on their first sale, will have a restriction registered on the title at HM Land Registry to ensure this discount (as a percentage of current market value) and certain other restrictions are passed on at each subsequent title transfer; and,</w:t>
      </w:r>
    </w:p>
    <w:p w14:paraId="65060185"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r w:rsidRPr="00DE1AA1">
        <w:rPr>
          <w:rFonts w:ascii="Arial" w:hAnsi="Arial" w:cs="Arial"/>
          <w:i/>
          <w:iCs/>
          <w:color w:val="0B0C0C"/>
          <w:sz w:val="20"/>
          <w:szCs w:val="20"/>
        </w:rPr>
        <w:t>d) after the discount has been applied, the first sale must be at a price no higher than £250,000 (or £420,000 in Greater London).</w:t>
      </w:r>
    </w:p>
    <w:p w14:paraId="32752CA6"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p>
    <w:p w14:paraId="543EB445" w14:textId="77777777" w:rsidR="00360825" w:rsidRPr="00DE1AA1" w:rsidRDefault="00360825" w:rsidP="00360825">
      <w:pPr>
        <w:pStyle w:val="NormalWeb"/>
        <w:shd w:val="clear" w:color="auto" w:fill="FFFFFF"/>
        <w:spacing w:before="0" w:after="360"/>
        <w:ind w:left="284"/>
        <w:rPr>
          <w:rFonts w:ascii="Arial" w:hAnsi="Arial" w:cs="Arial"/>
          <w:i/>
          <w:iCs/>
          <w:color w:val="0B0C0C"/>
          <w:sz w:val="20"/>
          <w:szCs w:val="20"/>
        </w:rPr>
      </w:pPr>
      <w:r w:rsidRPr="00DE1AA1">
        <w:rPr>
          <w:rFonts w:ascii="Arial" w:hAnsi="Arial" w:cs="Arial"/>
          <w:i/>
          <w:iCs/>
          <w:color w:val="0B0C0C"/>
          <w:sz w:val="20"/>
          <w:szCs w:val="20"/>
        </w:rPr>
        <w:t>First Homes are the government’s preferred discounted market tenure and should account for at least 25% of all affordable housing units delivered by developers through planning obligations.</w:t>
      </w:r>
    </w:p>
    <w:p w14:paraId="04969E5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In terms of eligibility criteria, a purchaser should be a first-time buyer with a </w:t>
      </w:r>
      <w:r w:rsidRPr="00D556DB">
        <w:rPr>
          <w:rFonts w:ascii="Arial" w:hAnsi="Arial" w:cs="Arial"/>
          <w:color w:val="0B0C0C"/>
        </w:rPr>
        <w:t xml:space="preserve">combined annual household income not exceeding £80,000 (or £90,000 in Greater London) and a mortgage needs to fund a minimum of 50% of the discounted purchase price. Local authorities can set their own eligibility criteria, which could for example involve </w:t>
      </w:r>
      <w:r w:rsidRPr="00D556DB">
        <w:rPr>
          <w:rFonts w:ascii="Arial" w:hAnsi="Arial" w:cs="Arial"/>
          <w:color w:val="0B0C0C"/>
          <w:shd w:val="clear" w:color="auto" w:fill="FFFFFF"/>
        </w:rPr>
        <w:t xml:space="preserve">lower income caps, a local connection test, or criteria based on employment status. </w:t>
      </w:r>
      <w:r w:rsidRPr="00D556DB">
        <w:rPr>
          <w:rFonts w:ascii="Arial" w:hAnsi="Arial" w:cs="Arial"/>
          <w:color w:val="0B0C0C"/>
        </w:rPr>
        <w:t>Regarding discounts, a First Home must be sold at least 30% below the open market value. However, local authorities do have the discretion to require a higher minimum discount of either 40% or 50% (if they can demonstrate a need for this).</w:t>
      </w:r>
    </w:p>
    <w:p w14:paraId="214589A9"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As noted above, the problem with having a percentage discount is that it is possible in some locations or types of property that such a discount still means that the discounted housing is more expensive than that typically available in the open market. This is often the case as new build housing itself attracts a premium. The preferred approach in this report is to set out a series of purchase costs for different sizes of accommodation which ensure these products are affordable for the intended group. These purchase costs are based on current lower quartile rental prices and also consideration of the income required to access the private rented sector and then estimating what property price this level of income might support (assuming a 10% deposit and a 4.5 times mortgage multiple). Below is an example of a calculation based on a 2-bedroom home:</w:t>
      </w:r>
    </w:p>
    <w:p w14:paraId="03BEDD42" w14:textId="77777777" w:rsidR="00360825" w:rsidRPr="00DE1AA1" w:rsidRDefault="00360825" w:rsidP="001A7584">
      <w:pPr>
        <w:pStyle w:val="11Bodytext"/>
        <w:numPr>
          <w:ilvl w:val="0"/>
          <w:numId w:val="32"/>
        </w:numPr>
        <w:tabs>
          <w:tab w:val="left" w:pos="720"/>
        </w:tabs>
        <w:spacing w:before="0" w:after="240"/>
        <w:ind w:left="641" w:hanging="357"/>
        <w:jc w:val="left"/>
        <w:rPr>
          <w:color w:val="auto"/>
        </w:rPr>
      </w:pPr>
      <w:r w:rsidRPr="00DE1AA1">
        <w:rPr>
          <w:color w:val="auto"/>
        </w:rPr>
        <w:t>Previous analysis has shown that the lower quartile rent for a 2-bedroom home in Chichester is £825 per month;</w:t>
      </w:r>
    </w:p>
    <w:p w14:paraId="4C3ADDAE" w14:textId="77777777" w:rsidR="00360825" w:rsidRPr="00DE1AA1" w:rsidRDefault="00360825" w:rsidP="001A7584">
      <w:pPr>
        <w:pStyle w:val="11Bodytext"/>
        <w:numPr>
          <w:ilvl w:val="0"/>
          <w:numId w:val="32"/>
        </w:numPr>
        <w:tabs>
          <w:tab w:val="left" w:pos="720"/>
        </w:tabs>
        <w:spacing w:before="0" w:after="240"/>
        <w:ind w:left="641" w:hanging="357"/>
        <w:jc w:val="left"/>
        <w:rPr>
          <w:color w:val="auto"/>
        </w:rPr>
      </w:pPr>
      <w:r w:rsidRPr="00DE1AA1">
        <w:rPr>
          <w:color w:val="auto"/>
        </w:rPr>
        <w:t xml:space="preserve">On the basis of a household spending no more than 30% of their income on housing, a household would </w:t>
      </w:r>
      <w:r w:rsidRPr="00DE1AA1">
        <w:rPr>
          <w:rFonts w:eastAsia="Times New Roman"/>
          <w:color w:val="auto"/>
        </w:rPr>
        <w:t>need an income of around £2,750 per month to afford (£825/0.30) or £33,000 per annum; and</w:t>
      </w:r>
    </w:p>
    <w:p w14:paraId="0957389A" w14:textId="77777777" w:rsidR="00360825" w:rsidRPr="00DE1AA1" w:rsidRDefault="00360825" w:rsidP="001A7584">
      <w:pPr>
        <w:pStyle w:val="11Bodytext"/>
        <w:numPr>
          <w:ilvl w:val="0"/>
          <w:numId w:val="32"/>
        </w:numPr>
        <w:tabs>
          <w:tab w:val="left" w:pos="720"/>
        </w:tabs>
        <w:spacing w:before="0" w:after="240"/>
        <w:ind w:left="641" w:hanging="357"/>
        <w:jc w:val="left"/>
        <w:rPr>
          <w:color w:val="auto"/>
        </w:rPr>
      </w:pPr>
      <w:r w:rsidRPr="00DE1AA1">
        <w:rPr>
          <w:color w:val="auto"/>
        </w:rPr>
        <w:t>With an income of £33,000, it is estimated that a household could afford to buy a home for around £165,000. This is based on assuming a 10% deposit (mortgage for 90% of value) and a four and a half times mortgage multiple – calculated as £33,000*4.5/0.9.</w:t>
      </w:r>
    </w:p>
    <w:p w14:paraId="72231DF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Therefore, £165,000 is a suggested purchase price to make First Homes/discounted home ownership affordable for households in the rent/buy gap in Chichester. This figure is essentially the </w:t>
      </w:r>
      <w:r w:rsidRPr="00D556DB">
        <w:rPr>
          <w:rFonts w:ascii="Arial" w:hAnsi="Arial" w:cs="Arial"/>
        </w:rPr>
        <w:lastRenderedPageBreak/>
        <w:t>equivalent price that is affordable to a household who can just afford to rent privately. In reality, there will be a range of incomes in the rent/buy gap and so some households could afford a higher price; however, setting all homes at a higher price would mean that some households will still be unable to afford.</w:t>
      </w:r>
    </w:p>
    <w:p w14:paraId="4842A65D"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On this basis, it is considered reasonable to look at the cost of First Homes as a range, from the equivalent private rent figure up to a midpoint of the cost of open market purchase and the relevant private rented figure (for a 2-bedroom home this is £245,000, giving a midpoint of £205,000). The use of a midpoint would mean that only around half of households in the rent/buy gap could afford, and therefore any housing provided at such a cost would need to also be supplemented by an equivalent number at a lower cost (which might include other tenures such as shared ownership).</w:t>
      </w:r>
    </w:p>
    <w:p w14:paraId="3FF518D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table below therefore sets out a suggested purchase price for affordable home ownership/First Homes. The tables also show an estimated Open Market Value and the level of discount likely to be required to achieve affordability. The OMV is based on taking the estimated lower quartile price by size and adding 15% (which is the typically newbuild premium seen nationally). It should be noted that the discounts are based on the OMV as estimated, in reality the OMV might be quite different for specific schemes and therefore the percentage discount would not be applicable. For example, if the OMV for a 2-bedroom home were to actually be £300,000 (rather than the modelled £281,750) then the discount would be in the range of 32% and 45%.</w:t>
      </w:r>
    </w:p>
    <w:p w14:paraId="38C624B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bookmarkStart w:id="29" w:name="_Hlk74228883"/>
      <w:r w:rsidRPr="00D556DB">
        <w:rPr>
          <w:rFonts w:ascii="Arial" w:hAnsi="Arial" w:cs="Arial"/>
        </w:rPr>
        <w:t>On the basis of the specific assumptions used, the analysis points to a discount of up to 40% for 2-bedroom homes and a figure of up to 50% for larger (3+-bedroom) properties. Given there is a cap of £250,000 on the purchase price (and looking at the estimated pricing below), it may be difficult for 3+-bedroom homes to be provided as First Homes.</w:t>
      </w:r>
      <w:r w:rsidRPr="00D556DB">
        <w:rPr>
          <w:rFonts w:ascii="Arial" w:eastAsiaTheme="majorEastAsia" w:hAnsi="Arial" w:cs="Arial"/>
        </w:rPr>
        <w:t xml:space="preserve"> </w:t>
      </w:r>
      <w:r w:rsidRPr="00D556DB">
        <w:rPr>
          <w:rFonts w:ascii="Arial" w:hAnsi="Arial" w:cs="Arial"/>
        </w:rPr>
        <w:t xml:space="preserve">Given that a single discount figure is likely to needed for plan making purposes it is suggested that a 40% discount is reasonable, with the expectation that most First Homes will be 2-bedroom. </w:t>
      </w:r>
    </w:p>
    <w:p w14:paraId="247BD7C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It will however be important for the local authority to ensure that any discount above 30% does not prejudice the viability of provision of rented forms of affordable housing (for which there is a more acute need).</w:t>
      </w:r>
    </w:p>
    <w:p w14:paraId="3E10B4F8" w14:textId="77777777" w:rsidR="00360825" w:rsidRPr="00D556DB" w:rsidRDefault="00360825" w:rsidP="001A7584">
      <w:pPr>
        <w:pStyle w:val="Heading4"/>
        <w:ind w:firstLine="0"/>
      </w:pPr>
      <w:r w:rsidRPr="00D556DB">
        <w:t>Affordable home ownership prices – data for year to March 2021 – Chichester District</w:t>
      </w:r>
    </w:p>
    <w:tbl>
      <w:tblPr>
        <w:tblStyle w:val="TableTheme"/>
        <w:tblW w:w="5000" w:type="pct"/>
        <w:tblInd w:w="0" w:type="dxa"/>
        <w:tblLook w:val="04A0" w:firstRow="1" w:lastRow="0" w:firstColumn="1" w:lastColumn="0" w:noHBand="0" w:noVBand="1"/>
      </w:tblPr>
      <w:tblGrid>
        <w:gridCol w:w="2192"/>
        <w:gridCol w:w="2195"/>
        <w:gridCol w:w="2195"/>
        <w:gridCol w:w="2195"/>
      </w:tblGrid>
      <w:tr w:rsidR="00360825" w:rsidRPr="00DE1AA1" w14:paraId="0F8BFCD1" w14:textId="77777777" w:rsidTr="00C04569">
        <w:tc>
          <w:tcPr>
            <w:tcW w:w="2192" w:type="dxa"/>
            <w:tcBorders>
              <w:top w:val="single" w:sz="4" w:space="0" w:color="auto"/>
              <w:left w:val="single" w:sz="4" w:space="0" w:color="auto"/>
              <w:bottom w:val="single" w:sz="4" w:space="0" w:color="auto"/>
              <w:right w:val="single" w:sz="4" w:space="0" w:color="auto"/>
            </w:tcBorders>
            <w:shd w:val="clear" w:color="auto" w:fill="002060"/>
          </w:tcPr>
          <w:p w14:paraId="21FB6E3B" w14:textId="77777777" w:rsidR="00360825" w:rsidRPr="00D556DB" w:rsidRDefault="00360825" w:rsidP="00C04569">
            <w:pPr>
              <w:keepNext/>
              <w:spacing w:after="0" w:line="240" w:lineRule="auto"/>
              <w:jc w:val="left"/>
              <w:rPr>
                <w:rFonts w:ascii="Arial" w:hAnsi="Arial" w:cs="Arial"/>
              </w:rPr>
            </w:pP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5C082A2"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Affordable Price</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5605959"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Estimated newbuild OMV</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504C4D"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Discount required</w:t>
            </w:r>
          </w:p>
        </w:tc>
      </w:tr>
      <w:tr w:rsidR="00360825" w:rsidRPr="00DE1AA1" w14:paraId="713A144F" w14:textId="77777777" w:rsidTr="00C04569">
        <w:tc>
          <w:tcPr>
            <w:tcW w:w="2192" w:type="dxa"/>
            <w:tcBorders>
              <w:top w:val="single" w:sz="4" w:space="0" w:color="auto"/>
              <w:left w:val="single" w:sz="4" w:space="0" w:color="auto"/>
              <w:bottom w:val="single" w:sz="4" w:space="0" w:color="auto"/>
              <w:right w:val="single" w:sz="4" w:space="0" w:color="auto"/>
            </w:tcBorders>
            <w:hideMark/>
          </w:tcPr>
          <w:p w14:paraId="086EA569" w14:textId="77777777" w:rsidR="00360825" w:rsidRPr="00DE1AA1" w:rsidRDefault="00360825" w:rsidP="00C04569">
            <w:pPr>
              <w:pStyle w:val="11Bodytext"/>
              <w:keepNext/>
              <w:tabs>
                <w:tab w:val="clear" w:pos="794"/>
                <w:tab w:val="left" w:pos="720"/>
              </w:tabs>
              <w:spacing w:before="0" w:after="0" w:line="300" w:lineRule="auto"/>
              <w:ind w:left="0" w:firstLine="0"/>
              <w:jc w:val="left"/>
              <w:rPr>
                <w:color w:val="auto"/>
              </w:rPr>
            </w:pPr>
            <w:r w:rsidRPr="00DE1AA1">
              <w:rPr>
                <w:color w:val="auto"/>
              </w:rPr>
              <w:t>1-bedroom</w:t>
            </w:r>
          </w:p>
        </w:tc>
        <w:tc>
          <w:tcPr>
            <w:tcW w:w="2195" w:type="dxa"/>
            <w:tcBorders>
              <w:top w:val="single" w:sz="4" w:space="0" w:color="auto"/>
              <w:left w:val="single" w:sz="4" w:space="0" w:color="auto"/>
              <w:bottom w:val="single" w:sz="4" w:space="0" w:color="auto"/>
              <w:right w:val="single" w:sz="4" w:space="0" w:color="auto"/>
            </w:tcBorders>
            <w:vAlign w:val="center"/>
            <w:hideMark/>
          </w:tcPr>
          <w:p w14:paraId="17CC6B90"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£130,000-£150,000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1847328E" w14:textId="77777777" w:rsidR="00360825" w:rsidRPr="00DE1AA1" w:rsidRDefault="00360825" w:rsidP="00C04569">
            <w:pPr>
              <w:pStyle w:val="11Bodytext"/>
              <w:keepNext/>
              <w:tabs>
                <w:tab w:val="clear" w:pos="794"/>
                <w:tab w:val="left" w:pos="720"/>
              </w:tabs>
              <w:spacing w:before="0" w:after="0" w:line="300" w:lineRule="auto"/>
              <w:ind w:left="0" w:firstLine="0"/>
              <w:jc w:val="center"/>
            </w:pPr>
            <w:r w:rsidRPr="00DE1AA1">
              <w:t>£195,500</w:t>
            </w:r>
          </w:p>
        </w:tc>
        <w:tc>
          <w:tcPr>
            <w:tcW w:w="2195" w:type="dxa"/>
            <w:tcBorders>
              <w:top w:val="single" w:sz="4" w:space="0" w:color="auto"/>
              <w:left w:val="single" w:sz="4" w:space="0" w:color="auto"/>
              <w:bottom w:val="single" w:sz="4" w:space="0" w:color="auto"/>
              <w:right w:val="single" w:sz="4" w:space="0" w:color="auto"/>
            </w:tcBorders>
            <w:vAlign w:val="center"/>
            <w:hideMark/>
          </w:tcPr>
          <w:p w14:paraId="7E6B30BF"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23%-34%</w:t>
            </w:r>
          </w:p>
        </w:tc>
      </w:tr>
      <w:tr w:rsidR="00360825" w:rsidRPr="00DE1AA1" w14:paraId="24E9BDD9" w14:textId="77777777" w:rsidTr="00C04569">
        <w:tc>
          <w:tcPr>
            <w:tcW w:w="2192" w:type="dxa"/>
            <w:tcBorders>
              <w:top w:val="single" w:sz="4" w:space="0" w:color="auto"/>
              <w:left w:val="single" w:sz="4" w:space="0" w:color="auto"/>
              <w:bottom w:val="single" w:sz="4" w:space="0" w:color="auto"/>
              <w:right w:val="single" w:sz="4" w:space="0" w:color="auto"/>
            </w:tcBorders>
            <w:hideMark/>
          </w:tcPr>
          <w:p w14:paraId="5C29FD87" w14:textId="77777777" w:rsidR="00360825" w:rsidRPr="00DE1AA1" w:rsidRDefault="00360825" w:rsidP="00C04569">
            <w:pPr>
              <w:pStyle w:val="11Bodytext"/>
              <w:keepNext/>
              <w:tabs>
                <w:tab w:val="clear" w:pos="794"/>
                <w:tab w:val="left" w:pos="720"/>
              </w:tabs>
              <w:spacing w:before="0" w:after="0" w:line="300" w:lineRule="auto"/>
              <w:ind w:left="0" w:firstLine="0"/>
              <w:jc w:val="left"/>
              <w:rPr>
                <w:color w:val="auto"/>
              </w:rPr>
            </w:pPr>
            <w:r w:rsidRPr="00DE1AA1">
              <w:rPr>
                <w:color w:val="auto"/>
              </w:rPr>
              <w:t>2-bedrooms</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1F0145C"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£165,000-£205,000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249F1FB"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t>£281,750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69D4D484"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27%-41%</w:t>
            </w:r>
          </w:p>
        </w:tc>
      </w:tr>
      <w:tr w:rsidR="00360825" w:rsidRPr="00DE1AA1" w14:paraId="1581B131" w14:textId="77777777" w:rsidTr="00C04569">
        <w:tc>
          <w:tcPr>
            <w:tcW w:w="2192" w:type="dxa"/>
            <w:tcBorders>
              <w:top w:val="single" w:sz="4" w:space="0" w:color="auto"/>
              <w:left w:val="single" w:sz="4" w:space="0" w:color="auto"/>
              <w:bottom w:val="single" w:sz="4" w:space="0" w:color="auto"/>
              <w:right w:val="single" w:sz="4" w:space="0" w:color="auto"/>
            </w:tcBorders>
            <w:hideMark/>
          </w:tcPr>
          <w:p w14:paraId="3624FBE9" w14:textId="77777777" w:rsidR="00360825" w:rsidRPr="00DE1AA1" w:rsidRDefault="00360825" w:rsidP="00C04569">
            <w:pPr>
              <w:pStyle w:val="11Bodytext"/>
              <w:keepNext/>
              <w:tabs>
                <w:tab w:val="clear" w:pos="794"/>
                <w:tab w:val="left" w:pos="720"/>
              </w:tabs>
              <w:spacing w:before="0" w:after="0" w:line="300" w:lineRule="auto"/>
              <w:ind w:left="0" w:firstLine="0"/>
              <w:jc w:val="left"/>
              <w:rPr>
                <w:color w:val="auto"/>
              </w:rPr>
            </w:pPr>
            <w:r w:rsidRPr="00DE1AA1">
              <w:rPr>
                <w:color w:val="auto"/>
              </w:rPr>
              <w:t>3-bedrooms</w:t>
            </w:r>
          </w:p>
        </w:tc>
        <w:tc>
          <w:tcPr>
            <w:tcW w:w="2195" w:type="dxa"/>
            <w:tcBorders>
              <w:top w:val="single" w:sz="4" w:space="0" w:color="auto"/>
              <w:left w:val="single" w:sz="4" w:space="0" w:color="auto"/>
              <w:bottom w:val="single" w:sz="4" w:space="0" w:color="auto"/>
              <w:right w:val="single" w:sz="4" w:space="0" w:color="auto"/>
            </w:tcBorders>
            <w:vAlign w:val="bottom"/>
            <w:hideMark/>
          </w:tcPr>
          <w:p w14:paraId="43E0D776"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£195,000-£272,500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23B69E17"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t>£402,500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2FDB9220"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32%-52%</w:t>
            </w:r>
          </w:p>
        </w:tc>
      </w:tr>
      <w:tr w:rsidR="00360825" w:rsidRPr="00DE1AA1" w14:paraId="7E58CD04" w14:textId="77777777" w:rsidTr="00C04569">
        <w:tc>
          <w:tcPr>
            <w:tcW w:w="2192" w:type="dxa"/>
            <w:tcBorders>
              <w:top w:val="single" w:sz="4" w:space="0" w:color="auto"/>
              <w:left w:val="single" w:sz="4" w:space="0" w:color="auto"/>
              <w:bottom w:val="single" w:sz="4" w:space="0" w:color="auto"/>
              <w:right w:val="single" w:sz="4" w:space="0" w:color="auto"/>
            </w:tcBorders>
            <w:hideMark/>
          </w:tcPr>
          <w:p w14:paraId="2B7756EE" w14:textId="77777777" w:rsidR="00360825" w:rsidRPr="00DE1AA1" w:rsidRDefault="00360825" w:rsidP="00C04569">
            <w:pPr>
              <w:pStyle w:val="11Bodytext"/>
              <w:keepNext/>
              <w:tabs>
                <w:tab w:val="clear" w:pos="794"/>
                <w:tab w:val="left" w:pos="720"/>
              </w:tabs>
              <w:spacing w:before="0" w:after="0" w:line="300" w:lineRule="auto"/>
              <w:ind w:left="0" w:firstLine="0"/>
              <w:jc w:val="left"/>
              <w:rPr>
                <w:color w:val="auto"/>
              </w:rPr>
            </w:pPr>
            <w:r w:rsidRPr="00DE1AA1">
              <w:rPr>
                <w:color w:val="auto"/>
              </w:rPr>
              <w:t>4+-bedrooms</w:t>
            </w:r>
          </w:p>
        </w:tc>
        <w:tc>
          <w:tcPr>
            <w:tcW w:w="2195" w:type="dxa"/>
            <w:tcBorders>
              <w:top w:val="single" w:sz="4" w:space="0" w:color="auto"/>
              <w:left w:val="single" w:sz="4" w:space="0" w:color="auto"/>
              <w:bottom w:val="single" w:sz="4" w:space="0" w:color="auto"/>
              <w:right w:val="single" w:sz="4" w:space="0" w:color="auto"/>
            </w:tcBorders>
            <w:vAlign w:val="bottom"/>
            <w:hideMark/>
          </w:tcPr>
          <w:p w14:paraId="1C4EAFCC"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£272,000-£386,000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11BAD597"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t>£575,000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47A0C956"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33%-53%</w:t>
            </w:r>
          </w:p>
        </w:tc>
      </w:tr>
    </w:tbl>
    <w:p w14:paraId="2FBE1E6C" w14:textId="77777777" w:rsidR="00360825" w:rsidRPr="00DE1AA1" w:rsidRDefault="00360825" w:rsidP="00360825">
      <w:pPr>
        <w:pStyle w:val="11Bodytext"/>
        <w:tabs>
          <w:tab w:val="clear" w:pos="794"/>
          <w:tab w:val="left" w:pos="720"/>
        </w:tabs>
        <w:spacing w:before="0" w:after="360"/>
        <w:ind w:left="0" w:firstLine="0"/>
        <w:rPr>
          <w:i/>
          <w:iCs/>
          <w:sz w:val="16"/>
          <w:szCs w:val="16"/>
        </w:rPr>
      </w:pPr>
      <w:r w:rsidRPr="00DE1AA1">
        <w:rPr>
          <w:i/>
          <w:iCs/>
          <w:sz w:val="16"/>
          <w:szCs w:val="16"/>
        </w:rPr>
        <w:t>Source: Derived from a range of sources as described</w:t>
      </w:r>
    </w:p>
    <w:bookmarkEnd w:id="29"/>
    <w:p w14:paraId="2BA1D46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It should also be noted that the analysis above is for the whole of the local authority area; the pricing of housing does vary across the District and therefore adjustments to the figures might be appropriate in some instances. That said, affordable needs can be met anywhere in the authority (where opportunities arise) and so using an expectation of an authority-wide affordability calculation should ensure affordable products on sites regardless of location.</w:t>
      </w:r>
    </w:p>
    <w:p w14:paraId="7A5E2B9C"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Focus on First Homes</w:t>
      </w:r>
    </w:p>
    <w:p w14:paraId="09BC08B8" w14:textId="77777777" w:rsidR="00360825" w:rsidRPr="00DE1AA1"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paragraphs below seek to answer a series of questions in relation to First Homes. This should help the Council in deciding the appropriate approach, although ultimately there will be choices and decisions to be made by the Council that this report can only comment on.</w:t>
      </w:r>
    </w:p>
    <w:p w14:paraId="0DA736DD" w14:textId="77777777" w:rsidR="00360825" w:rsidRPr="00D556DB" w:rsidRDefault="00360825" w:rsidP="00360825">
      <w:pPr>
        <w:pStyle w:val="Heading3"/>
        <w:spacing w:after="120"/>
        <w:rPr>
          <w:rStyle w:val="Strong"/>
          <w:rFonts w:ascii="Arial" w:hAnsi="Arial" w:cs="Arial"/>
          <w:b/>
        </w:rPr>
      </w:pPr>
      <w:r w:rsidRPr="00D556DB">
        <w:rPr>
          <w:rStyle w:val="Strong"/>
          <w:rFonts w:ascii="Arial" w:hAnsi="Arial" w:cs="Arial"/>
        </w:rPr>
        <w:t>Is there a justification for a discount of greater than 30%, if so, what should it be, and should the discount be variable depending upon property size?</w:t>
      </w:r>
    </w:p>
    <w:p w14:paraId="62F082B7" w14:textId="77777777" w:rsidR="00360825" w:rsidRPr="00DE1AA1" w:rsidRDefault="00360825" w:rsidP="00360825">
      <w:pPr>
        <w:pStyle w:val="11Bodytext"/>
        <w:tabs>
          <w:tab w:val="clear" w:pos="794"/>
          <w:tab w:val="left" w:pos="720"/>
        </w:tabs>
        <w:spacing w:before="0" w:after="0" w:line="300" w:lineRule="auto"/>
        <w:jc w:val="left"/>
        <w:rPr>
          <w:color w:val="auto"/>
        </w:rPr>
      </w:pPr>
    </w:p>
    <w:p w14:paraId="3FD39CC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Arguably there is a case to seek a discount in excess of 30% - a higher discount will certainly make homes cheaper and therefore potentially open up additional households as being able to afford. However, providing a higher discount may well have an impact on viability, meaning the Council will not be able to provide as many homes in other tenures (such as rented affordable housing which is likely to be needed by those with more acute needs and fewer choices in the housing market). </w:t>
      </w:r>
    </w:p>
    <w:p w14:paraId="3432EA5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Council could therefore investigate higher discounts, but it is not recommended to seek figures higher than 30%, unless this can be proven to not impact on viability and thus overall affordable delivery.</w:t>
      </w:r>
    </w:p>
    <w:p w14:paraId="205405B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Regarding property size, the analysis </w:t>
      </w:r>
      <w:r w:rsidRPr="00D556DB">
        <w:rPr>
          <w:rFonts w:ascii="Arial" w:hAnsi="Arial" w:cs="Arial"/>
          <w:color w:val="0B0C0C"/>
        </w:rPr>
        <w:t>does suggest that larger homes could potentially need a higher discount to make them affordable (with 3-bedroom homes needing about a 38% discount to get below the £250,000 cap). However, it is not clear from the PPG if different discounts are allowable in policy. If they are, then the Council could consider a 30% discount for homes with 1-bedrooms and potentially 40% for 2-bedroom homes. Again, having a larger discount will need to be considered alongside viability issues and the potential impact on delivery of other forms of affordable housing.</w:t>
      </w:r>
    </w:p>
    <w:p w14:paraId="526BDA41" w14:textId="77777777" w:rsidR="00360825" w:rsidRPr="00DE1AA1" w:rsidRDefault="00360825" w:rsidP="00360825">
      <w:pPr>
        <w:pStyle w:val="Heading3"/>
        <w:spacing w:after="120"/>
        <w:rPr>
          <w:rFonts w:ascii="Arial" w:hAnsi="Arial" w:cs="Arial"/>
          <w:i/>
          <w:iCs/>
        </w:rPr>
      </w:pPr>
      <w:r w:rsidRPr="00D556DB">
        <w:rPr>
          <w:rStyle w:val="Strong"/>
          <w:rFonts w:ascii="Arial" w:hAnsi="Arial" w:cs="Arial"/>
        </w:rPr>
        <w:t>Is the maximum price of £250K after discount an appropriate maximum sales value?</w:t>
      </w:r>
    </w:p>
    <w:p w14:paraId="0EA0BFDD" w14:textId="77777777" w:rsidR="00360825" w:rsidRPr="00DE1AA1" w:rsidRDefault="00360825" w:rsidP="00360825">
      <w:pPr>
        <w:pStyle w:val="11Bodytext"/>
        <w:tabs>
          <w:tab w:val="clear" w:pos="794"/>
          <w:tab w:val="left" w:pos="720"/>
        </w:tabs>
        <w:spacing w:before="0" w:after="0" w:line="300" w:lineRule="auto"/>
        <w:ind w:left="0" w:firstLine="0"/>
        <w:jc w:val="left"/>
        <w:rPr>
          <w:color w:val="auto"/>
        </w:rPr>
      </w:pPr>
    </w:p>
    <w:p w14:paraId="47ED495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Chichester the answer to this is certainly, yes. Chichester is a high price area and there is little scope for this price cap to be lowered (it cannot be increased). As can be seen from previous analysis, a 30% price discount on a 2-bedroom home (with 2-bedroom homes expected to make up a large proportion of First Homes) would still lead to an estimated purchase price of around £200,000 whilst for 3-bedroom homes the purchase price would be estimated to be around £280,000(a figure in excess of the cap).</w:t>
      </w:r>
    </w:p>
    <w:p w14:paraId="75246AF2" w14:textId="77777777" w:rsidR="00360825" w:rsidRPr="00DE1AA1" w:rsidRDefault="00360825" w:rsidP="00360825">
      <w:pPr>
        <w:pStyle w:val="Heading3"/>
        <w:spacing w:after="120"/>
        <w:rPr>
          <w:rFonts w:ascii="Arial" w:hAnsi="Arial" w:cs="Arial"/>
          <w:i/>
          <w:iCs/>
        </w:rPr>
      </w:pPr>
      <w:r w:rsidRPr="00D556DB">
        <w:rPr>
          <w:rStyle w:val="Strong"/>
          <w:rFonts w:ascii="Arial" w:hAnsi="Arial" w:cs="Arial"/>
        </w:rPr>
        <w:lastRenderedPageBreak/>
        <w:t>Is the national threshold of £80,000 for household income appropriate?</w:t>
      </w:r>
    </w:p>
    <w:p w14:paraId="1127B0E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Given the conclusions regarding the price cap, and the fact that there is likely to be a link between prices and incomes (in terms of guidance) it seems reasonable that the upper end threshold is maintained. However, the analysis in this report assumes a household could secure a 4.5 times mortgage multiple (and a 10% deposit). Applying these figures to a £250,000 home would actually lead to an income of £50,000, however it is likely that many households with a higher income are currently unable to afford to buy a home and therefore the higher figure is reasonable. Additionally, it is unclear at this stage what size of multiple lenders might offer against a First Home.</w:t>
      </w:r>
    </w:p>
    <w:p w14:paraId="3ABAC32C" w14:textId="77777777" w:rsidR="00360825" w:rsidRPr="00D556DB" w:rsidRDefault="00360825" w:rsidP="00360825">
      <w:pPr>
        <w:pStyle w:val="Heading3"/>
        <w:spacing w:after="120"/>
        <w:rPr>
          <w:rStyle w:val="Strong"/>
          <w:rFonts w:ascii="Arial" w:hAnsi="Arial" w:cs="Arial"/>
          <w:b/>
        </w:rPr>
      </w:pPr>
      <w:r w:rsidRPr="00D556DB">
        <w:rPr>
          <w:rStyle w:val="Strong"/>
          <w:rFonts w:ascii="Arial" w:hAnsi="Arial" w:cs="Arial"/>
        </w:rPr>
        <w:t>What size of property is appropriate to be seen as a First Home?</w:t>
      </w:r>
    </w:p>
    <w:p w14:paraId="29DE315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analysis is fairly clear that it is going to be difficult to secure First Homes larger than 2-bedrooms and remain within the £250,000 cap. Given that previous analysis has suggested that much of the need/demand for affordable home ownership is 2-bedroom homes (and some 1-bedroom) it is appropriate for the provision of First homes to focus on smaller homes, and particularly those with 2-bedrooms.</w:t>
      </w:r>
    </w:p>
    <w:p w14:paraId="4C18E0CE" w14:textId="77777777" w:rsidR="00360825" w:rsidRPr="00D556DB" w:rsidRDefault="00360825" w:rsidP="00360825">
      <w:pPr>
        <w:pStyle w:val="Heading3"/>
        <w:spacing w:after="120"/>
        <w:rPr>
          <w:rStyle w:val="Strong"/>
          <w:rFonts w:ascii="Arial" w:hAnsi="Arial" w:cs="Arial"/>
          <w:b/>
        </w:rPr>
      </w:pPr>
      <w:r w:rsidRPr="00D556DB">
        <w:rPr>
          <w:rStyle w:val="Strong"/>
          <w:rFonts w:ascii="Arial" w:hAnsi="Arial" w:cs="Arial"/>
        </w:rPr>
        <w:t>What is the level of need for such products?</w:t>
      </w:r>
    </w:p>
    <w:p w14:paraId="717509C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some ways, this is a difficult question to answer. The analysis is clear that there are likely to be a significant number of households whose incomes sit in the range of being able to afford to privately rent, but not being able to buy a home. It can be concluded that as long as First Homes are made available for an affordable price, it is likely there will be a strong demand (although some households in the rent/buy gap may not choose a discounted product given that the discount is held in perpetuity).</w:t>
      </w:r>
    </w:p>
    <w:p w14:paraId="3204704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That said, it is not recommended that the Council seeks more than 25% of affordable housing as First Homes. This is because delivery of more First Homes would reduce the number of other types of affordable housing (such as social/affordable rented and shared ownership). Other forms of affordable housing are likely to be available to more households (due to lower income requirements) and are also likely to be needed by households with greater needs (i.e. those who have fewer choices in the housing market).</w:t>
      </w:r>
    </w:p>
    <w:p w14:paraId="6F535589" w14:textId="77777777" w:rsidR="00360825" w:rsidRPr="00D556DB" w:rsidRDefault="00360825" w:rsidP="00360825">
      <w:pPr>
        <w:pStyle w:val="Heading2"/>
        <w:rPr>
          <w:rFonts w:ascii="Arial" w:eastAsiaTheme="majorEastAsia" w:hAnsi="Arial" w:cs="Arial"/>
        </w:rPr>
      </w:pPr>
      <w:r w:rsidRPr="00D556DB">
        <w:rPr>
          <w:rStyle w:val="Strong"/>
          <w:rFonts w:ascii="Arial" w:hAnsi="Arial" w:cs="Arial"/>
          <w:b/>
          <w:bCs w:val="0"/>
        </w:rPr>
        <w:t>Shared Ownership</w:t>
      </w:r>
    </w:p>
    <w:p w14:paraId="6B05667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Whilst the Government has a clear focus on First Homes, they also see a continued role for Shared Ownership, launching a ‘New Model for Shared Ownership’ in early 2021 (following a 2020 consultation) – this includes a number of proposals, with the main one for the purposes of this assessment being the reduction of the minimum initial share from 25% to 10%. A key advantage of shared ownership over other tenures is that </w:t>
      </w:r>
      <w:r w:rsidRPr="00D556DB">
        <w:rPr>
          <w:rFonts w:ascii="Arial" w:hAnsi="Arial" w:cs="Arial"/>
          <w:shd w:val="clear" w:color="auto" w:fill="FFFFFF"/>
        </w:rPr>
        <w:t>a lower deposit is likely to be required than for full or discounted purchase. Additionally, the rental part of the cost will be subsidised by a Registered Provider and therefore keeps monthly outgoings down.</w:t>
      </w:r>
    </w:p>
    <w:p w14:paraId="493A0E8C"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shd w:val="clear" w:color="auto" w:fill="FFFFFF"/>
        </w:rPr>
        <w:lastRenderedPageBreak/>
        <w:t>For the purposes of the analysis in this report it is considered that for shared ownership to be affordable, total outgoings should not exceed that needed to rent privately.</w:t>
      </w:r>
    </w:p>
    <w:p w14:paraId="534CE6CD"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Because shared ownership is based on buying part of a property, it is the case that the sale will need to be at open market value. Where there is a large gap between the typical incomes required to buy or rent, it may be the case that lower equity shares are needed for homes to be affordable (at the level of renting privately). The analysis below therefore seeks to estimate the typical equity share that might be affordable for different sizes of property with any share lower than 10% likely to be unavailable. The key assumptions used in the analysis are:</w:t>
      </w:r>
    </w:p>
    <w:p w14:paraId="483F2D6D"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OMV at LQ price plus 15% (reflecting likelihood that newbuild homes will have a premium attached and that they may well be priced above a LQ level) – it should be noted that this is an assumption for modelling purposes and consideration will need to be given to the OMV of any specific product;</w:t>
      </w:r>
    </w:p>
    <w:p w14:paraId="3ABE781A"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10% deposit on the equity share;</w:t>
      </w:r>
    </w:p>
    <w:p w14:paraId="38125E8E"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Rent at 2.75% pa on unsold equity;</w:t>
      </w:r>
    </w:p>
    <w:p w14:paraId="33C230A6"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Repayment mortgage over 25-years at 4%;</w:t>
      </w:r>
    </w:p>
    <w:p w14:paraId="3BD11996"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Service charge of £100 per month for flatted development (assumed to be 1- and 2-bedroom homes); and</w:t>
      </w:r>
    </w:p>
    <w:p w14:paraId="5FCF5BB1"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 xml:space="preserve">It is also assumed that shared ownership would be priced for households sitting towards the bottom end of the rent/buy gap and so the calculations assume that total outgoings should be no higher than the equivalent private rent (lower quartile) cost for that size of property; </w:t>
      </w:r>
    </w:p>
    <w:p w14:paraId="30FD8B17" w14:textId="331BA312"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table below shows that to make shared ownership affordable, equity shares in the region of no more than about 20% could work, although figures closer to 10% are likely to be more affordable. It seems likely that it will be </w:t>
      </w:r>
      <w:r w:rsidR="002B1913" w:rsidRPr="00D556DB">
        <w:rPr>
          <w:rFonts w:ascii="Arial" w:hAnsi="Arial" w:cs="Arial"/>
        </w:rPr>
        <w:t>difficult</w:t>
      </w:r>
      <w:r w:rsidRPr="00D556DB">
        <w:rPr>
          <w:rFonts w:ascii="Arial" w:hAnsi="Arial" w:cs="Arial"/>
        </w:rPr>
        <w:t xml:space="preserve"> to make shared ownership ‘work’ for homes with 4+-bedrooms (and indeed 3-bedroom homes). The Council could consider additional rented homes of these sizes where it is difficult to make homes genuinely affordable.</w:t>
      </w:r>
    </w:p>
    <w:p w14:paraId="09CDB98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As with conclusions on First Homes, it should also be noted that the analysis below is predicated on a particular set of assumptions (notably about likely OMV). In reality costs do vary across the area and will vary from site to site. Therefore, this analysis should be seen as indicative with specific schemes being tested individually to determine if the product being offered is genuinely (or reasonably) affordable.</w:t>
      </w:r>
    </w:p>
    <w:p w14:paraId="3452AD5C" w14:textId="77777777" w:rsidR="00360825" w:rsidRPr="00D556DB" w:rsidRDefault="00360825" w:rsidP="001A7584">
      <w:pPr>
        <w:pStyle w:val="Heading4"/>
        <w:ind w:firstLine="0"/>
      </w:pPr>
      <w:r w:rsidRPr="00D556DB">
        <w:lastRenderedPageBreak/>
        <w:t>Estimated Affordable Equity Share by Size – Chichester</w:t>
      </w:r>
    </w:p>
    <w:tbl>
      <w:tblPr>
        <w:tblStyle w:val="TableTheme"/>
        <w:tblW w:w="5000" w:type="pct"/>
        <w:tblInd w:w="0" w:type="dxa"/>
        <w:tblLook w:val="04A0" w:firstRow="1" w:lastRow="0" w:firstColumn="1" w:lastColumn="0" w:noHBand="0" w:noVBand="1"/>
      </w:tblPr>
      <w:tblGrid>
        <w:gridCol w:w="3474"/>
        <w:gridCol w:w="1325"/>
        <w:gridCol w:w="1326"/>
        <w:gridCol w:w="1326"/>
        <w:gridCol w:w="1326"/>
      </w:tblGrid>
      <w:tr w:rsidR="00360825" w:rsidRPr="00DE1AA1" w14:paraId="1212E829" w14:textId="77777777" w:rsidTr="00C04569">
        <w:tc>
          <w:tcPr>
            <w:tcW w:w="3474" w:type="dxa"/>
            <w:tcBorders>
              <w:top w:val="single" w:sz="4" w:space="0" w:color="auto"/>
              <w:left w:val="single" w:sz="4" w:space="0" w:color="auto"/>
              <w:bottom w:val="single" w:sz="4" w:space="0" w:color="auto"/>
              <w:right w:val="single" w:sz="4" w:space="0" w:color="auto"/>
            </w:tcBorders>
            <w:shd w:val="clear" w:color="auto" w:fill="002060"/>
            <w:vAlign w:val="center"/>
          </w:tcPr>
          <w:p w14:paraId="62D162EF" w14:textId="77777777" w:rsidR="00360825" w:rsidRPr="00D556DB" w:rsidRDefault="00360825" w:rsidP="00C04569">
            <w:pPr>
              <w:keepNext/>
              <w:spacing w:before="60" w:after="60" w:line="240" w:lineRule="auto"/>
              <w:jc w:val="left"/>
              <w:rPr>
                <w:rFonts w:ascii="Arial" w:hAnsi="Arial" w:cs="Arial"/>
                <w:bCs/>
              </w:rPr>
            </w:pPr>
          </w:p>
        </w:tc>
        <w:tc>
          <w:tcPr>
            <w:tcW w:w="132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5CD53BA"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1-bedroom</w:t>
            </w:r>
          </w:p>
        </w:tc>
        <w:tc>
          <w:tcPr>
            <w:tcW w:w="13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111C570"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2-bedrooms</w:t>
            </w:r>
          </w:p>
        </w:tc>
        <w:tc>
          <w:tcPr>
            <w:tcW w:w="13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D01C60"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3-bedrooms</w:t>
            </w:r>
          </w:p>
        </w:tc>
        <w:tc>
          <w:tcPr>
            <w:tcW w:w="13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7DD5BAD"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4-bedrooms</w:t>
            </w:r>
          </w:p>
        </w:tc>
      </w:tr>
      <w:tr w:rsidR="00360825" w:rsidRPr="00DE1AA1" w14:paraId="52966504"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7A6122B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OMV</w:t>
            </w:r>
          </w:p>
        </w:tc>
        <w:tc>
          <w:tcPr>
            <w:tcW w:w="1325" w:type="dxa"/>
            <w:tcBorders>
              <w:top w:val="single" w:sz="4" w:space="0" w:color="auto"/>
              <w:left w:val="single" w:sz="4" w:space="0" w:color="auto"/>
              <w:bottom w:val="single" w:sz="4" w:space="0" w:color="auto"/>
              <w:right w:val="single" w:sz="4" w:space="0" w:color="auto"/>
            </w:tcBorders>
            <w:vAlign w:val="center"/>
            <w:hideMark/>
          </w:tcPr>
          <w:p w14:paraId="7B7CCA2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£195,500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D64ED2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£281,750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3EAABB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£402,500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CC9538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£575,000</w:t>
            </w:r>
          </w:p>
        </w:tc>
      </w:tr>
      <w:tr w:rsidR="00360825" w:rsidRPr="00DE1AA1" w14:paraId="7BA93684"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6EAE37C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Share</w:t>
            </w:r>
          </w:p>
        </w:tc>
        <w:tc>
          <w:tcPr>
            <w:tcW w:w="1325" w:type="dxa"/>
            <w:tcBorders>
              <w:top w:val="single" w:sz="4" w:space="0" w:color="auto"/>
              <w:left w:val="single" w:sz="4" w:space="0" w:color="auto"/>
              <w:bottom w:val="single" w:sz="4" w:space="0" w:color="auto"/>
              <w:right w:val="single" w:sz="4" w:space="0" w:color="auto"/>
            </w:tcBorders>
            <w:vAlign w:val="center"/>
            <w:hideMark/>
          </w:tcPr>
          <w:p w14:paraId="2C9E814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21%</w:t>
            </w:r>
          </w:p>
        </w:tc>
        <w:tc>
          <w:tcPr>
            <w:tcW w:w="1326" w:type="dxa"/>
            <w:tcBorders>
              <w:top w:val="single" w:sz="4" w:space="0" w:color="auto"/>
              <w:left w:val="single" w:sz="4" w:space="0" w:color="auto"/>
              <w:bottom w:val="single" w:sz="4" w:space="0" w:color="auto"/>
              <w:right w:val="single" w:sz="4" w:space="0" w:color="auto"/>
            </w:tcBorders>
            <w:vAlign w:val="center"/>
            <w:hideMark/>
          </w:tcPr>
          <w:p w14:paraId="57D2F67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11%</w:t>
            </w:r>
          </w:p>
        </w:tc>
        <w:tc>
          <w:tcPr>
            <w:tcW w:w="1326" w:type="dxa"/>
            <w:tcBorders>
              <w:top w:val="single" w:sz="4" w:space="0" w:color="auto"/>
              <w:left w:val="single" w:sz="4" w:space="0" w:color="auto"/>
              <w:bottom w:val="single" w:sz="4" w:space="0" w:color="auto"/>
              <w:right w:val="single" w:sz="4" w:space="0" w:color="auto"/>
            </w:tcBorders>
            <w:vAlign w:val="center"/>
            <w:hideMark/>
          </w:tcPr>
          <w:p w14:paraId="5346BD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w:t>
            </w:r>
          </w:p>
        </w:tc>
        <w:tc>
          <w:tcPr>
            <w:tcW w:w="1326" w:type="dxa"/>
            <w:tcBorders>
              <w:top w:val="single" w:sz="4" w:space="0" w:color="auto"/>
              <w:left w:val="single" w:sz="4" w:space="0" w:color="auto"/>
              <w:bottom w:val="single" w:sz="4" w:space="0" w:color="auto"/>
              <w:right w:val="single" w:sz="4" w:space="0" w:color="auto"/>
            </w:tcBorders>
            <w:vAlign w:val="center"/>
            <w:hideMark/>
          </w:tcPr>
          <w:p w14:paraId="5BE1ACA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w:t>
            </w:r>
          </w:p>
        </w:tc>
      </w:tr>
      <w:tr w:rsidR="00360825" w:rsidRPr="00DE1AA1" w14:paraId="4698FA00"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259D5A7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Equity Bought</w:t>
            </w:r>
          </w:p>
        </w:tc>
        <w:tc>
          <w:tcPr>
            <w:tcW w:w="1325" w:type="dxa"/>
            <w:tcBorders>
              <w:top w:val="single" w:sz="4" w:space="0" w:color="auto"/>
              <w:left w:val="single" w:sz="4" w:space="0" w:color="auto"/>
              <w:bottom w:val="single" w:sz="4" w:space="0" w:color="auto"/>
              <w:right w:val="single" w:sz="4" w:space="0" w:color="auto"/>
            </w:tcBorders>
            <w:vAlign w:val="center"/>
            <w:hideMark/>
          </w:tcPr>
          <w:p w14:paraId="20A4727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£41,446</w:t>
            </w:r>
          </w:p>
        </w:tc>
        <w:tc>
          <w:tcPr>
            <w:tcW w:w="1326" w:type="dxa"/>
            <w:tcBorders>
              <w:top w:val="single" w:sz="4" w:space="0" w:color="auto"/>
              <w:left w:val="single" w:sz="4" w:space="0" w:color="auto"/>
              <w:bottom w:val="single" w:sz="4" w:space="0" w:color="auto"/>
              <w:right w:val="single" w:sz="4" w:space="0" w:color="auto"/>
            </w:tcBorders>
            <w:vAlign w:val="center"/>
            <w:hideMark/>
          </w:tcPr>
          <w:p w14:paraId="5FC7A33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£32,120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08CD04A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£21,333</w:t>
            </w:r>
          </w:p>
        </w:tc>
        <w:tc>
          <w:tcPr>
            <w:tcW w:w="1326" w:type="dxa"/>
            <w:tcBorders>
              <w:top w:val="single" w:sz="4" w:space="0" w:color="auto"/>
              <w:left w:val="single" w:sz="4" w:space="0" w:color="auto"/>
              <w:bottom w:val="single" w:sz="4" w:space="0" w:color="auto"/>
              <w:right w:val="single" w:sz="4" w:space="0" w:color="auto"/>
            </w:tcBorders>
            <w:vAlign w:val="center"/>
            <w:hideMark/>
          </w:tcPr>
          <w:p w14:paraId="3C37DFF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£17,250</w:t>
            </w:r>
          </w:p>
        </w:tc>
      </w:tr>
      <w:tr w:rsidR="00360825" w:rsidRPr="00DE1AA1" w14:paraId="52B82AD9"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75BBACF6"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Mortgage Needed</w:t>
            </w:r>
          </w:p>
        </w:tc>
        <w:tc>
          <w:tcPr>
            <w:tcW w:w="1325" w:type="dxa"/>
            <w:tcBorders>
              <w:top w:val="single" w:sz="4" w:space="0" w:color="auto"/>
              <w:left w:val="single" w:sz="4" w:space="0" w:color="auto"/>
              <w:bottom w:val="single" w:sz="4" w:space="0" w:color="auto"/>
              <w:right w:val="single" w:sz="4" w:space="0" w:color="auto"/>
            </w:tcBorders>
            <w:vAlign w:val="center"/>
            <w:hideMark/>
          </w:tcPr>
          <w:p w14:paraId="3BE746D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£37,301</w:t>
            </w:r>
          </w:p>
        </w:tc>
        <w:tc>
          <w:tcPr>
            <w:tcW w:w="1326" w:type="dxa"/>
            <w:tcBorders>
              <w:top w:val="single" w:sz="4" w:space="0" w:color="auto"/>
              <w:left w:val="single" w:sz="4" w:space="0" w:color="auto"/>
              <w:bottom w:val="single" w:sz="4" w:space="0" w:color="auto"/>
              <w:right w:val="single" w:sz="4" w:space="0" w:color="auto"/>
            </w:tcBorders>
            <w:vAlign w:val="center"/>
            <w:hideMark/>
          </w:tcPr>
          <w:p w14:paraId="3295681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£28,908</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8C821B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£19,199</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0C222A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£15,525</w:t>
            </w:r>
          </w:p>
        </w:tc>
      </w:tr>
      <w:tr w:rsidR="00360825" w:rsidRPr="00DE1AA1" w14:paraId="5F39F40D"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7E5099E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Monthly Cost of Mortgage</w:t>
            </w:r>
          </w:p>
        </w:tc>
        <w:tc>
          <w:tcPr>
            <w:tcW w:w="1325" w:type="dxa"/>
            <w:tcBorders>
              <w:top w:val="single" w:sz="4" w:space="0" w:color="auto"/>
              <w:left w:val="single" w:sz="4" w:space="0" w:color="auto"/>
              <w:bottom w:val="single" w:sz="4" w:space="0" w:color="auto"/>
              <w:right w:val="single" w:sz="4" w:space="0" w:color="auto"/>
            </w:tcBorders>
            <w:vAlign w:val="center"/>
            <w:hideMark/>
          </w:tcPr>
          <w:p w14:paraId="752E03C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£197</w:t>
            </w:r>
          </w:p>
        </w:tc>
        <w:tc>
          <w:tcPr>
            <w:tcW w:w="1326" w:type="dxa"/>
            <w:tcBorders>
              <w:top w:val="single" w:sz="4" w:space="0" w:color="auto"/>
              <w:left w:val="single" w:sz="4" w:space="0" w:color="auto"/>
              <w:bottom w:val="single" w:sz="4" w:space="0" w:color="auto"/>
              <w:right w:val="single" w:sz="4" w:space="0" w:color="auto"/>
            </w:tcBorders>
            <w:vAlign w:val="center"/>
            <w:hideMark/>
          </w:tcPr>
          <w:p w14:paraId="015475C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£153</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0368CC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£101</w:t>
            </w:r>
          </w:p>
        </w:tc>
        <w:tc>
          <w:tcPr>
            <w:tcW w:w="1326" w:type="dxa"/>
            <w:tcBorders>
              <w:top w:val="single" w:sz="4" w:space="0" w:color="auto"/>
              <w:left w:val="single" w:sz="4" w:space="0" w:color="auto"/>
              <w:bottom w:val="single" w:sz="4" w:space="0" w:color="auto"/>
              <w:right w:val="single" w:sz="4" w:space="0" w:color="auto"/>
            </w:tcBorders>
            <w:vAlign w:val="center"/>
            <w:hideMark/>
          </w:tcPr>
          <w:p w14:paraId="67C3D7C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£82</w:t>
            </w:r>
          </w:p>
        </w:tc>
      </w:tr>
      <w:tr w:rsidR="00360825" w:rsidRPr="00DE1AA1" w14:paraId="5638389D"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4D54778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Retained Equity</w:t>
            </w:r>
          </w:p>
        </w:tc>
        <w:tc>
          <w:tcPr>
            <w:tcW w:w="1325" w:type="dxa"/>
            <w:tcBorders>
              <w:top w:val="single" w:sz="4" w:space="0" w:color="auto"/>
              <w:left w:val="single" w:sz="4" w:space="0" w:color="auto"/>
              <w:bottom w:val="single" w:sz="4" w:space="0" w:color="auto"/>
              <w:right w:val="single" w:sz="4" w:space="0" w:color="auto"/>
            </w:tcBorders>
            <w:vAlign w:val="center"/>
            <w:hideMark/>
          </w:tcPr>
          <w:p w14:paraId="3C7A69F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£154,054</w:t>
            </w:r>
          </w:p>
        </w:tc>
        <w:tc>
          <w:tcPr>
            <w:tcW w:w="1326" w:type="dxa"/>
            <w:tcBorders>
              <w:top w:val="single" w:sz="4" w:space="0" w:color="auto"/>
              <w:left w:val="single" w:sz="4" w:space="0" w:color="auto"/>
              <w:bottom w:val="single" w:sz="4" w:space="0" w:color="auto"/>
              <w:right w:val="single" w:sz="4" w:space="0" w:color="auto"/>
            </w:tcBorders>
            <w:vAlign w:val="center"/>
            <w:hideMark/>
          </w:tcPr>
          <w:p w14:paraId="3F3FB5C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£249,631</w:t>
            </w:r>
          </w:p>
        </w:tc>
        <w:tc>
          <w:tcPr>
            <w:tcW w:w="1326" w:type="dxa"/>
            <w:tcBorders>
              <w:top w:val="single" w:sz="4" w:space="0" w:color="auto"/>
              <w:left w:val="single" w:sz="4" w:space="0" w:color="auto"/>
              <w:bottom w:val="single" w:sz="4" w:space="0" w:color="auto"/>
              <w:right w:val="single" w:sz="4" w:space="0" w:color="auto"/>
            </w:tcBorders>
            <w:vAlign w:val="center"/>
            <w:hideMark/>
          </w:tcPr>
          <w:p w14:paraId="0A2D114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£381,168</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DFC619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£557,750</w:t>
            </w:r>
          </w:p>
        </w:tc>
      </w:tr>
      <w:tr w:rsidR="00360825" w:rsidRPr="00DE1AA1" w14:paraId="5304D5A6"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45E0D4BF"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Monthly Rent on Retained Equity</w:t>
            </w:r>
          </w:p>
        </w:tc>
        <w:tc>
          <w:tcPr>
            <w:tcW w:w="1325" w:type="dxa"/>
            <w:tcBorders>
              <w:top w:val="single" w:sz="4" w:space="0" w:color="auto"/>
              <w:left w:val="single" w:sz="4" w:space="0" w:color="auto"/>
              <w:bottom w:val="single" w:sz="4" w:space="0" w:color="auto"/>
              <w:right w:val="single" w:sz="4" w:space="0" w:color="auto"/>
            </w:tcBorders>
            <w:vAlign w:val="center"/>
            <w:hideMark/>
          </w:tcPr>
          <w:p w14:paraId="5D4E8AF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£353</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934F41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£572</w:t>
            </w:r>
          </w:p>
        </w:tc>
        <w:tc>
          <w:tcPr>
            <w:tcW w:w="1326" w:type="dxa"/>
            <w:tcBorders>
              <w:top w:val="single" w:sz="4" w:space="0" w:color="auto"/>
              <w:left w:val="single" w:sz="4" w:space="0" w:color="auto"/>
              <w:bottom w:val="single" w:sz="4" w:space="0" w:color="auto"/>
              <w:right w:val="single" w:sz="4" w:space="0" w:color="auto"/>
            </w:tcBorders>
            <w:vAlign w:val="center"/>
            <w:hideMark/>
          </w:tcPr>
          <w:p w14:paraId="6F84636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£874</w:t>
            </w:r>
          </w:p>
        </w:tc>
        <w:tc>
          <w:tcPr>
            <w:tcW w:w="1326" w:type="dxa"/>
            <w:tcBorders>
              <w:top w:val="single" w:sz="4" w:space="0" w:color="auto"/>
              <w:left w:val="single" w:sz="4" w:space="0" w:color="auto"/>
              <w:bottom w:val="single" w:sz="4" w:space="0" w:color="auto"/>
              <w:right w:val="single" w:sz="4" w:space="0" w:color="auto"/>
            </w:tcBorders>
            <w:vAlign w:val="center"/>
            <w:hideMark/>
          </w:tcPr>
          <w:p w14:paraId="44E652D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£1,278</w:t>
            </w:r>
          </w:p>
        </w:tc>
      </w:tr>
      <w:tr w:rsidR="00360825" w:rsidRPr="00DE1AA1" w14:paraId="7738661B"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7B852F72"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Service Charge per month</w:t>
            </w:r>
          </w:p>
        </w:tc>
        <w:tc>
          <w:tcPr>
            <w:tcW w:w="1325" w:type="dxa"/>
            <w:tcBorders>
              <w:top w:val="single" w:sz="4" w:space="0" w:color="auto"/>
              <w:left w:val="single" w:sz="4" w:space="0" w:color="auto"/>
              <w:bottom w:val="single" w:sz="4" w:space="0" w:color="auto"/>
              <w:right w:val="single" w:sz="4" w:space="0" w:color="auto"/>
            </w:tcBorders>
            <w:vAlign w:val="center"/>
            <w:hideMark/>
          </w:tcPr>
          <w:p w14:paraId="3F7A291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£100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4C86465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£100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5646722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6795C1C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£0</w:t>
            </w:r>
          </w:p>
        </w:tc>
      </w:tr>
      <w:tr w:rsidR="00360825" w:rsidRPr="00DE1AA1" w14:paraId="7FCCA7AB"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49B20016"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Total Cost per month</w:t>
            </w:r>
          </w:p>
        </w:tc>
        <w:tc>
          <w:tcPr>
            <w:tcW w:w="1325" w:type="dxa"/>
            <w:tcBorders>
              <w:top w:val="single" w:sz="4" w:space="0" w:color="auto"/>
              <w:left w:val="single" w:sz="4" w:space="0" w:color="auto"/>
              <w:bottom w:val="single" w:sz="4" w:space="0" w:color="auto"/>
              <w:right w:val="single" w:sz="4" w:space="0" w:color="auto"/>
            </w:tcBorders>
            <w:vAlign w:val="center"/>
            <w:hideMark/>
          </w:tcPr>
          <w:p w14:paraId="4CBA239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£650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1BF3F1E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£825</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895196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£975</w:t>
            </w:r>
          </w:p>
        </w:tc>
        <w:tc>
          <w:tcPr>
            <w:tcW w:w="1326" w:type="dxa"/>
            <w:tcBorders>
              <w:top w:val="single" w:sz="4" w:space="0" w:color="auto"/>
              <w:left w:val="single" w:sz="4" w:space="0" w:color="auto"/>
              <w:bottom w:val="single" w:sz="4" w:space="0" w:color="auto"/>
              <w:right w:val="single" w:sz="4" w:space="0" w:color="auto"/>
            </w:tcBorders>
            <w:vAlign w:val="center"/>
            <w:hideMark/>
          </w:tcPr>
          <w:p w14:paraId="0AFBFAA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£1,360</w:t>
            </w:r>
          </w:p>
        </w:tc>
      </w:tr>
    </w:tbl>
    <w:p w14:paraId="69494FBE" w14:textId="77777777" w:rsidR="00360825" w:rsidRPr="00D556DB" w:rsidRDefault="00360825" w:rsidP="00360825">
      <w:pPr>
        <w:pStyle w:val="BodyText"/>
        <w:numPr>
          <w:ilvl w:val="0"/>
          <w:numId w:val="0"/>
        </w:numPr>
        <w:tabs>
          <w:tab w:val="left" w:pos="720"/>
        </w:tabs>
        <w:rPr>
          <w:rFonts w:ascii="Arial" w:hAnsi="Arial" w:cs="Arial"/>
          <w:i/>
          <w:iCs/>
          <w:sz w:val="16"/>
          <w:szCs w:val="16"/>
        </w:rPr>
      </w:pPr>
      <w:r w:rsidRPr="00D556DB">
        <w:rPr>
          <w:rFonts w:ascii="Arial" w:hAnsi="Arial" w:cs="Arial"/>
          <w:i/>
          <w:iCs/>
          <w:sz w:val="16"/>
          <w:szCs w:val="16"/>
        </w:rPr>
        <w:t>Source: Data based on Housing Market Cost Analysis</w:t>
      </w:r>
    </w:p>
    <w:p w14:paraId="3C85195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policy terms, whilst the analysis has provided an indication of the equity shares possibly required by size, the key figure is actually the total cost per month (and how this compares with the costs to access private rented housing). For example, whilst the table suggests a 21% equity share for 1-bedroom home, this is based on a specific set of assumptions. Were a scheme to come forward with a 21% share, but a total cost in excess of £650 per month, then it would be clear that a lower share is likely to be required to make the home genuinely affordable. Hence the actual share can only be calculated on a scheme-by-scheme basis. Any policy position should seek to ensure that outgoings are no more than can reasonably be achieved in the private rented sector, rather than seeking a specific equity share.</w:t>
      </w:r>
    </w:p>
    <w:p w14:paraId="592A1F55"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Rent to Buy</w:t>
      </w:r>
    </w:p>
    <w:p w14:paraId="4000DBF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 further affordable option is Rent to Buy; this is a government scheme designed to ease the transition from renting to buying the same home. Initially (typically five years) the newly built home will be provided at the equivalent of an affordable rent (approximately 20% below the market rate). The expectation is that the discount provided in that first five years is saved in order to put towards a deposit on the purchase of the same property. Rent to Buy can be advantageous for some households as it allows for a smaller ‘step’ to be taken on to the home ownership ladder.</w:t>
      </w:r>
    </w:p>
    <w:p w14:paraId="7C0375A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At the end of the five-year period, depending on the scheme, the property is either sold as a shared ownership product or to be purchased outright as a full market property. If the occupant is not able to do either of these then the property is vacated.</w:t>
      </w:r>
    </w:p>
    <w:p w14:paraId="2BC4BF1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In order to access this tenure it effectively requires the same income threshold for the initial phase as a market rental property although the cost of accommodation will be that of affordable rent. The lower than market rent will allow the household to save for a deposit for the eventual shared ownership or market property. In considering the affordability of rent-to-buy schemes there is a direct read across to the income required to access affordable home ownership (including shared </w:t>
      </w:r>
      <w:r w:rsidRPr="00D556DB">
        <w:rPr>
          <w:rFonts w:ascii="Arial" w:hAnsi="Arial" w:cs="Arial"/>
        </w:rPr>
        <w:lastRenderedPageBreak/>
        <w:t>ownership), it should therefore be treated as part of the affordable home ownership products suggested by the NPPF.</w:t>
      </w:r>
    </w:p>
    <w:p w14:paraId="35E2A25A"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Essential Local Workers</w:t>
      </w:r>
    </w:p>
    <w:p w14:paraId="527B32D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Annex 2 of the NPPF also includes the needs of essential local workers </w:t>
      </w:r>
      <w:r w:rsidRPr="00D556DB">
        <w:rPr>
          <w:rFonts w:ascii="Arial" w:hAnsi="Arial" w:cs="Arial"/>
          <w:i/>
          <w:iCs/>
        </w:rPr>
        <w:t xml:space="preserve">‘Affordable housing: housing for sale or rent, for those whose needs are not met by the market (including housing that provided a subsidised route to home ownership and/or is </w:t>
      </w:r>
      <w:r w:rsidRPr="00D556DB">
        <w:rPr>
          <w:rFonts w:ascii="Arial" w:hAnsi="Arial" w:cs="Arial"/>
          <w:i/>
          <w:iCs/>
          <w:u w:val="single"/>
        </w:rPr>
        <w:t xml:space="preserve">for essential local workers’ </w:t>
      </w:r>
      <w:r w:rsidRPr="00D556DB">
        <w:rPr>
          <w:rFonts w:ascii="Arial" w:hAnsi="Arial" w:cs="Arial"/>
        </w:rPr>
        <w:t xml:space="preserve">[emphasis added]. Essential local workers are defined as </w:t>
      </w:r>
      <w:r w:rsidRPr="00D556DB">
        <w:rPr>
          <w:rFonts w:ascii="Arial" w:hAnsi="Arial" w:cs="Arial"/>
          <w:i/>
          <w:iCs/>
        </w:rPr>
        <w:t>‘Public sector employees who provide frontline services in areas including health, education and community safety – such as NHS staff, teachers, police, firefighters and military personnel, social care and childcare workers.’</w:t>
      </w:r>
    </w:p>
    <w:p w14:paraId="5B5AE56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To give an indication of the number of essential workers in Chichester analysis has been undertaken looking at Standard Industrial Classification 2007 (SIC) categories – this shows employment sectors based on industry, and for the purposes of this analysis the public administration, education and health industries have been used to represent ‘essential workers’. The analysis shows that around 30% of resident workers are considered ‘essential workers’ in the District – this figure is slightly higher than seen regionally and nationally (both 28%).</w:t>
      </w:r>
    </w:p>
    <w:p w14:paraId="4920A00D" w14:textId="77777777" w:rsidR="00360825" w:rsidRPr="00DE1AA1" w:rsidRDefault="00360825" w:rsidP="00360825">
      <w:pPr>
        <w:spacing w:after="0" w:line="240" w:lineRule="auto"/>
        <w:jc w:val="left"/>
        <w:rPr>
          <w:rFonts w:ascii="Arial" w:hAnsi="Arial" w:cs="Arial"/>
          <w:b/>
          <w:bCs/>
          <w:color w:val="646464" w:themeColor="background2"/>
        </w:rPr>
      </w:pPr>
      <w:r w:rsidRPr="00DE1AA1">
        <w:rPr>
          <w:rFonts w:ascii="Arial" w:hAnsi="Arial" w:cs="Arial"/>
          <w:bCs/>
        </w:rPr>
        <w:br w:type="page"/>
      </w:r>
    </w:p>
    <w:p w14:paraId="03A8EC91" w14:textId="77777777" w:rsidR="00360825" w:rsidRPr="00D556DB" w:rsidRDefault="00360825" w:rsidP="001A7584">
      <w:pPr>
        <w:pStyle w:val="Heading4"/>
        <w:ind w:firstLine="0"/>
      </w:pPr>
      <w:r w:rsidRPr="00DE1AA1">
        <w:lastRenderedPageBreak/>
        <w:t>Number and proportion of essential workers in a range of areas</w:t>
      </w:r>
    </w:p>
    <w:tbl>
      <w:tblPr>
        <w:tblStyle w:val="TableTheme"/>
        <w:tblW w:w="5000" w:type="pct"/>
        <w:tblInd w:w="0" w:type="dxa"/>
        <w:tblLayout w:type="fixed"/>
        <w:tblLook w:val="04A0" w:firstRow="1" w:lastRow="0" w:firstColumn="1" w:lastColumn="0" w:noHBand="0" w:noVBand="1"/>
      </w:tblPr>
      <w:tblGrid>
        <w:gridCol w:w="3823"/>
        <w:gridCol w:w="1204"/>
        <w:gridCol w:w="1205"/>
        <w:gridCol w:w="1272"/>
        <w:gridCol w:w="1273"/>
      </w:tblGrid>
      <w:tr w:rsidR="00360825" w:rsidRPr="00DE1AA1" w14:paraId="2BCB2E9E" w14:textId="77777777" w:rsidTr="00C04569">
        <w:tc>
          <w:tcPr>
            <w:tcW w:w="3823" w:type="dxa"/>
            <w:vMerge w:val="restart"/>
            <w:tcBorders>
              <w:top w:val="single" w:sz="4" w:space="0" w:color="auto"/>
              <w:left w:val="single" w:sz="4" w:space="0" w:color="auto"/>
              <w:bottom w:val="single" w:sz="4" w:space="0" w:color="auto"/>
              <w:right w:val="single" w:sz="4" w:space="0" w:color="auto"/>
            </w:tcBorders>
            <w:shd w:val="clear" w:color="auto" w:fill="002060"/>
          </w:tcPr>
          <w:p w14:paraId="028821FD" w14:textId="77777777" w:rsidR="00360825" w:rsidRPr="00DE1AA1" w:rsidRDefault="00360825" w:rsidP="00C04569">
            <w:pPr>
              <w:keepNext/>
              <w:spacing w:after="0" w:line="300" w:lineRule="auto"/>
              <w:jc w:val="left"/>
              <w:rPr>
                <w:rFonts w:ascii="Arial" w:hAnsi="Arial" w:cs="Arial"/>
              </w:rPr>
            </w:pPr>
          </w:p>
        </w:tc>
        <w:tc>
          <w:tcPr>
            <w:tcW w:w="2409" w:type="dxa"/>
            <w:gridSpan w:val="2"/>
            <w:tcBorders>
              <w:top w:val="single" w:sz="4" w:space="0" w:color="auto"/>
              <w:left w:val="single" w:sz="4" w:space="0" w:color="auto"/>
              <w:bottom w:val="single" w:sz="4" w:space="0" w:color="auto"/>
              <w:right w:val="single" w:sz="4" w:space="0" w:color="auto"/>
            </w:tcBorders>
            <w:shd w:val="clear" w:color="auto" w:fill="002060"/>
            <w:hideMark/>
          </w:tcPr>
          <w:p w14:paraId="3B8C99F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Chichester District</w:t>
            </w:r>
          </w:p>
        </w:tc>
        <w:tc>
          <w:tcPr>
            <w:tcW w:w="1272" w:type="dxa"/>
            <w:tcBorders>
              <w:top w:val="single" w:sz="4" w:space="0" w:color="auto"/>
              <w:left w:val="single" w:sz="4" w:space="0" w:color="auto"/>
              <w:bottom w:val="single" w:sz="4" w:space="0" w:color="auto"/>
              <w:right w:val="single" w:sz="4" w:space="0" w:color="auto"/>
            </w:tcBorders>
            <w:shd w:val="clear" w:color="auto" w:fill="002060"/>
            <w:hideMark/>
          </w:tcPr>
          <w:p w14:paraId="1BFA5A6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South East</w:t>
            </w:r>
          </w:p>
        </w:tc>
        <w:tc>
          <w:tcPr>
            <w:tcW w:w="1273" w:type="dxa"/>
            <w:tcBorders>
              <w:top w:val="single" w:sz="4" w:space="0" w:color="auto"/>
              <w:left w:val="single" w:sz="4" w:space="0" w:color="auto"/>
              <w:bottom w:val="single" w:sz="4" w:space="0" w:color="auto"/>
              <w:right w:val="single" w:sz="4" w:space="0" w:color="auto"/>
            </w:tcBorders>
            <w:shd w:val="clear" w:color="auto" w:fill="002060"/>
            <w:hideMark/>
          </w:tcPr>
          <w:p w14:paraId="6E6B774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England</w:t>
            </w:r>
          </w:p>
        </w:tc>
      </w:tr>
      <w:tr w:rsidR="00360825" w:rsidRPr="00DE1AA1" w14:paraId="29FD5677" w14:textId="77777777" w:rsidTr="00C04569">
        <w:tc>
          <w:tcPr>
            <w:tcW w:w="3823" w:type="dxa"/>
            <w:vMerge/>
            <w:tcBorders>
              <w:top w:val="single" w:sz="4" w:space="0" w:color="auto"/>
              <w:left w:val="single" w:sz="4" w:space="0" w:color="auto"/>
              <w:bottom w:val="single" w:sz="4" w:space="0" w:color="auto"/>
              <w:right w:val="single" w:sz="4" w:space="0" w:color="auto"/>
            </w:tcBorders>
            <w:vAlign w:val="center"/>
            <w:hideMark/>
          </w:tcPr>
          <w:p w14:paraId="2CC81ED1" w14:textId="77777777" w:rsidR="00360825" w:rsidRPr="00DE1AA1" w:rsidRDefault="00360825" w:rsidP="00C04569">
            <w:pPr>
              <w:spacing w:after="0" w:line="240" w:lineRule="auto"/>
              <w:jc w:val="left"/>
              <w:rPr>
                <w:rFonts w:ascii="Arial" w:hAnsi="Arial" w:cs="Arial"/>
              </w:rPr>
            </w:pPr>
          </w:p>
        </w:tc>
        <w:tc>
          <w:tcPr>
            <w:tcW w:w="1204" w:type="dxa"/>
            <w:tcBorders>
              <w:top w:val="single" w:sz="4" w:space="0" w:color="auto"/>
              <w:left w:val="single" w:sz="4" w:space="0" w:color="auto"/>
              <w:bottom w:val="single" w:sz="4" w:space="0" w:color="auto"/>
              <w:right w:val="single" w:sz="4" w:space="0" w:color="auto"/>
            </w:tcBorders>
            <w:shd w:val="clear" w:color="auto" w:fill="002060"/>
            <w:hideMark/>
          </w:tcPr>
          <w:p w14:paraId="1453135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spacing w:val="-6"/>
              </w:rPr>
              <w:t>Resident</w:t>
            </w:r>
            <w:r w:rsidRPr="00DE1AA1">
              <w:rPr>
                <w:rFonts w:ascii="Arial" w:hAnsi="Arial" w:cs="Arial"/>
              </w:rPr>
              <w:t xml:space="preserve"> workers</w:t>
            </w:r>
          </w:p>
        </w:tc>
        <w:tc>
          <w:tcPr>
            <w:tcW w:w="1205" w:type="dxa"/>
            <w:tcBorders>
              <w:top w:val="single" w:sz="4" w:space="0" w:color="auto"/>
              <w:left w:val="single" w:sz="4" w:space="0" w:color="auto"/>
              <w:bottom w:val="single" w:sz="4" w:space="0" w:color="auto"/>
              <w:right w:val="single" w:sz="4" w:space="0" w:color="auto"/>
            </w:tcBorders>
            <w:shd w:val="clear" w:color="auto" w:fill="002060"/>
            <w:hideMark/>
          </w:tcPr>
          <w:p w14:paraId="5219BB2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 of workers</w:t>
            </w:r>
          </w:p>
        </w:tc>
        <w:tc>
          <w:tcPr>
            <w:tcW w:w="1272" w:type="dxa"/>
            <w:tcBorders>
              <w:top w:val="single" w:sz="4" w:space="0" w:color="auto"/>
              <w:left w:val="single" w:sz="4" w:space="0" w:color="auto"/>
              <w:bottom w:val="single" w:sz="4" w:space="0" w:color="auto"/>
              <w:right w:val="single" w:sz="4" w:space="0" w:color="auto"/>
            </w:tcBorders>
            <w:shd w:val="clear" w:color="auto" w:fill="002060"/>
            <w:hideMark/>
          </w:tcPr>
          <w:p w14:paraId="402DE37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 of workers</w:t>
            </w:r>
          </w:p>
        </w:tc>
        <w:tc>
          <w:tcPr>
            <w:tcW w:w="1273" w:type="dxa"/>
            <w:tcBorders>
              <w:top w:val="single" w:sz="4" w:space="0" w:color="auto"/>
              <w:left w:val="single" w:sz="4" w:space="0" w:color="auto"/>
              <w:bottom w:val="single" w:sz="4" w:space="0" w:color="auto"/>
              <w:right w:val="single" w:sz="4" w:space="0" w:color="auto"/>
            </w:tcBorders>
            <w:shd w:val="clear" w:color="auto" w:fill="002060"/>
            <w:hideMark/>
          </w:tcPr>
          <w:p w14:paraId="3B7C48B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 of workers</w:t>
            </w:r>
          </w:p>
        </w:tc>
      </w:tr>
      <w:tr w:rsidR="00360825" w:rsidRPr="00DE1AA1" w14:paraId="72C18DC2"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76EAD47D" w14:textId="77777777" w:rsidR="00360825" w:rsidRPr="00DE1AA1" w:rsidRDefault="00360825" w:rsidP="00C04569">
            <w:pPr>
              <w:keepNext/>
              <w:spacing w:after="0" w:line="300" w:lineRule="auto"/>
              <w:rPr>
                <w:rFonts w:ascii="Arial" w:hAnsi="Arial" w:cs="Arial"/>
              </w:rPr>
            </w:pPr>
            <w:r w:rsidRPr="00DE1AA1">
              <w:rPr>
                <w:rFonts w:ascii="Arial" w:hAnsi="Arial" w:cs="Arial"/>
              </w:rPr>
              <w:t>Agriculture, energy and water</w:t>
            </w:r>
          </w:p>
        </w:tc>
        <w:tc>
          <w:tcPr>
            <w:tcW w:w="1204" w:type="dxa"/>
            <w:tcBorders>
              <w:top w:val="single" w:sz="4" w:space="0" w:color="auto"/>
              <w:left w:val="single" w:sz="4" w:space="0" w:color="auto"/>
              <w:bottom w:val="single" w:sz="4" w:space="0" w:color="auto"/>
              <w:right w:val="single" w:sz="4" w:space="0" w:color="auto"/>
            </w:tcBorders>
            <w:vAlign w:val="bottom"/>
            <w:hideMark/>
          </w:tcPr>
          <w:p w14:paraId="29E6C7A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1,637</w:t>
            </w:r>
          </w:p>
        </w:tc>
        <w:tc>
          <w:tcPr>
            <w:tcW w:w="1205" w:type="dxa"/>
            <w:tcBorders>
              <w:top w:val="single" w:sz="4" w:space="0" w:color="auto"/>
              <w:left w:val="single" w:sz="4" w:space="0" w:color="auto"/>
              <w:bottom w:val="single" w:sz="4" w:space="0" w:color="auto"/>
              <w:right w:val="single" w:sz="4" w:space="0" w:color="auto"/>
            </w:tcBorders>
            <w:vAlign w:val="bottom"/>
            <w:hideMark/>
          </w:tcPr>
          <w:p w14:paraId="15854E0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w:t>
            </w:r>
          </w:p>
        </w:tc>
        <w:tc>
          <w:tcPr>
            <w:tcW w:w="1272" w:type="dxa"/>
            <w:tcBorders>
              <w:top w:val="single" w:sz="4" w:space="0" w:color="auto"/>
              <w:left w:val="single" w:sz="4" w:space="0" w:color="auto"/>
              <w:bottom w:val="single" w:sz="4" w:space="0" w:color="auto"/>
              <w:right w:val="single" w:sz="4" w:space="0" w:color="auto"/>
            </w:tcBorders>
            <w:vAlign w:val="bottom"/>
            <w:hideMark/>
          </w:tcPr>
          <w:p w14:paraId="360EEA3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2.1%</w:t>
            </w:r>
          </w:p>
        </w:tc>
        <w:tc>
          <w:tcPr>
            <w:tcW w:w="1273" w:type="dxa"/>
            <w:tcBorders>
              <w:top w:val="single" w:sz="4" w:space="0" w:color="auto"/>
              <w:left w:val="single" w:sz="4" w:space="0" w:color="auto"/>
              <w:bottom w:val="single" w:sz="4" w:space="0" w:color="auto"/>
              <w:right w:val="single" w:sz="4" w:space="0" w:color="auto"/>
            </w:tcBorders>
            <w:vAlign w:val="bottom"/>
            <w:hideMark/>
          </w:tcPr>
          <w:p w14:paraId="753AFB2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2.3%</w:t>
            </w:r>
          </w:p>
        </w:tc>
      </w:tr>
      <w:tr w:rsidR="00360825" w:rsidRPr="00DE1AA1" w14:paraId="45308D35"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06684B15" w14:textId="77777777" w:rsidR="00360825" w:rsidRPr="00DE1AA1" w:rsidRDefault="00360825" w:rsidP="00C04569">
            <w:pPr>
              <w:keepNext/>
              <w:spacing w:after="0" w:line="300" w:lineRule="auto"/>
              <w:rPr>
                <w:rFonts w:ascii="Arial" w:hAnsi="Arial" w:cs="Arial"/>
              </w:rPr>
            </w:pPr>
            <w:r w:rsidRPr="00DE1AA1">
              <w:rPr>
                <w:rFonts w:ascii="Arial" w:hAnsi="Arial" w:cs="Arial"/>
              </w:rPr>
              <w:t>Manufacturing</w:t>
            </w:r>
          </w:p>
        </w:tc>
        <w:tc>
          <w:tcPr>
            <w:tcW w:w="1204" w:type="dxa"/>
            <w:tcBorders>
              <w:top w:val="single" w:sz="4" w:space="0" w:color="auto"/>
              <w:left w:val="single" w:sz="4" w:space="0" w:color="auto"/>
              <w:bottom w:val="single" w:sz="4" w:space="0" w:color="auto"/>
              <w:right w:val="single" w:sz="4" w:space="0" w:color="auto"/>
            </w:tcBorders>
            <w:vAlign w:val="bottom"/>
            <w:hideMark/>
          </w:tcPr>
          <w:p w14:paraId="6A1524F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3,884</w:t>
            </w:r>
          </w:p>
        </w:tc>
        <w:tc>
          <w:tcPr>
            <w:tcW w:w="1205" w:type="dxa"/>
            <w:tcBorders>
              <w:top w:val="single" w:sz="4" w:space="0" w:color="auto"/>
              <w:left w:val="single" w:sz="4" w:space="0" w:color="auto"/>
              <w:bottom w:val="single" w:sz="4" w:space="0" w:color="auto"/>
              <w:right w:val="single" w:sz="4" w:space="0" w:color="auto"/>
            </w:tcBorders>
            <w:vAlign w:val="bottom"/>
            <w:hideMark/>
          </w:tcPr>
          <w:p w14:paraId="4838FF3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7.2%</w:t>
            </w:r>
          </w:p>
        </w:tc>
        <w:tc>
          <w:tcPr>
            <w:tcW w:w="1272" w:type="dxa"/>
            <w:tcBorders>
              <w:top w:val="single" w:sz="4" w:space="0" w:color="auto"/>
              <w:left w:val="single" w:sz="4" w:space="0" w:color="auto"/>
              <w:bottom w:val="single" w:sz="4" w:space="0" w:color="auto"/>
              <w:right w:val="single" w:sz="4" w:space="0" w:color="auto"/>
            </w:tcBorders>
            <w:vAlign w:val="bottom"/>
            <w:hideMark/>
          </w:tcPr>
          <w:p w14:paraId="4DA48E4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7.2%</w:t>
            </w:r>
          </w:p>
        </w:tc>
        <w:tc>
          <w:tcPr>
            <w:tcW w:w="1273" w:type="dxa"/>
            <w:tcBorders>
              <w:top w:val="single" w:sz="4" w:space="0" w:color="auto"/>
              <w:left w:val="single" w:sz="4" w:space="0" w:color="auto"/>
              <w:bottom w:val="single" w:sz="4" w:space="0" w:color="auto"/>
              <w:right w:val="single" w:sz="4" w:space="0" w:color="auto"/>
            </w:tcBorders>
            <w:vAlign w:val="bottom"/>
            <w:hideMark/>
          </w:tcPr>
          <w:p w14:paraId="3CF2AF0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8.9%</w:t>
            </w:r>
          </w:p>
        </w:tc>
      </w:tr>
      <w:tr w:rsidR="00360825" w:rsidRPr="00DE1AA1" w14:paraId="5BFFEC3E"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72A60DE8" w14:textId="77777777" w:rsidR="00360825" w:rsidRPr="00DE1AA1" w:rsidRDefault="00360825" w:rsidP="00C04569">
            <w:pPr>
              <w:keepNext/>
              <w:spacing w:after="0" w:line="300" w:lineRule="auto"/>
              <w:rPr>
                <w:rFonts w:ascii="Arial" w:hAnsi="Arial" w:cs="Arial"/>
              </w:rPr>
            </w:pPr>
            <w:r w:rsidRPr="00DE1AA1">
              <w:rPr>
                <w:rFonts w:ascii="Arial" w:hAnsi="Arial" w:cs="Arial"/>
              </w:rPr>
              <w:t>Construction</w:t>
            </w:r>
          </w:p>
        </w:tc>
        <w:tc>
          <w:tcPr>
            <w:tcW w:w="1204" w:type="dxa"/>
            <w:tcBorders>
              <w:top w:val="single" w:sz="4" w:space="0" w:color="auto"/>
              <w:left w:val="single" w:sz="4" w:space="0" w:color="auto"/>
              <w:bottom w:val="single" w:sz="4" w:space="0" w:color="auto"/>
              <w:right w:val="single" w:sz="4" w:space="0" w:color="auto"/>
            </w:tcBorders>
            <w:vAlign w:val="bottom"/>
            <w:hideMark/>
          </w:tcPr>
          <w:p w14:paraId="67706D7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4,232</w:t>
            </w:r>
          </w:p>
        </w:tc>
        <w:tc>
          <w:tcPr>
            <w:tcW w:w="1205" w:type="dxa"/>
            <w:tcBorders>
              <w:top w:val="single" w:sz="4" w:space="0" w:color="auto"/>
              <w:left w:val="single" w:sz="4" w:space="0" w:color="auto"/>
              <w:bottom w:val="single" w:sz="4" w:space="0" w:color="auto"/>
              <w:right w:val="single" w:sz="4" w:space="0" w:color="auto"/>
            </w:tcBorders>
            <w:vAlign w:val="bottom"/>
            <w:hideMark/>
          </w:tcPr>
          <w:p w14:paraId="5F23AB7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7.9%</w:t>
            </w:r>
          </w:p>
        </w:tc>
        <w:tc>
          <w:tcPr>
            <w:tcW w:w="1272" w:type="dxa"/>
            <w:tcBorders>
              <w:top w:val="single" w:sz="4" w:space="0" w:color="auto"/>
              <w:left w:val="single" w:sz="4" w:space="0" w:color="auto"/>
              <w:bottom w:val="single" w:sz="4" w:space="0" w:color="auto"/>
              <w:right w:val="single" w:sz="4" w:space="0" w:color="auto"/>
            </w:tcBorders>
            <w:vAlign w:val="bottom"/>
            <w:hideMark/>
          </w:tcPr>
          <w:p w14:paraId="7675FA8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8.0%</w:t>
            </w:r>
          </w:p>
        </w:tc>
        <w:tc>
          <w:tcPr>
            <w:tcW w:w="1273" w:type="dxa"/>
            <w:tcBorders>
              <w:top w:val="single" w:sz="4" w:space="0" w:color="auto"/>
              <w:left w:val="single" w:sz="4" w:space="0" w:color="auto"/>
              <w:bottom w:val="single" w:sz="4" w:space="0" w:color="auto"/>
              <w:right w:val="single" w:sz="4" w:space="0" w:color="auto"/>
            </w:tcBorders>
            <w:vAlign w:val="bottom"/>
            <w:hideMark/>
          </w:tcPr>
          <w:p w14:paraId="2717ED8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7.7%</w:t>
            </w:r>
          </w:p>
        </w:tc>
      </w:tr>
      <w:tr w:rsidR="00360825" w:rsidRPr="00DE1AA1" w14:paraId="123F684D"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0416FA11" w14:textId="77777777" w:rsidR="00360825" w:rsidRPr="00DE1AA1" w:rsidRDefault="00360825" w:rsidP="00C04569">
            <w:pPr>
              <w:keepNext/>
              <w:spacing w:after="0" w:line="300" w:lineRule="auto"/>
              <w:rPr>
                <w:rFonts w:ascii="Arial" w:hAnsi="Arial" w:cs="Arial"/>
              </w:rPr>
            </w:pPr>
            <w:r w:rsidRPr="00DE1AA1">
              <w:rPr>
                <w:rFonts w:ascii="Arial" w:hAnsi="Arial" w:cs="Arial"/>
              </w:rPr>
              <w:t>Distribution, hotels and restaurants</w:t>
            </w:r>
          </w:p>
        </w:tc>
        <w:tc>
          <w:tcPr>
            <w:tcW w:w="1204" w:type="dxa"/>
            <w:tcBorders>
              <w:top w:val="single" w:sz="4" w:space="0" w:color="auto"/>
              <w:left w:val="single" w:sz="4" w:space="0" w:color="auto"/>
              <w:bottom w:val="single" w:sz="4" w:space="0" w:color="auto"/>
              <w:right w:val="single" w:sz="4" w:space="0" w:color="auto"/>
            </w:tcBorders>
            <w:vAlign w:val="bottom"/>
            <w:hideMark/>
          </w:tcPr>
          <w:p w14:paraId="0084151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11,635</w:t>
            </w:r>
          </w:p>
        </w:tc>
        <w:tc>
          <w:tcPr>
            <w:tcW w:w="1205" w:type="dxa"/>
            <w:tcBorders>
              <w:top w:val="single" w:sz="4" w:space="0" w:color="auto"/>
              <w:left w:val="single" w:sz="4" w:space="0" w:color="auto"/>
              <w:bottom w:val="single" w:sz="4" w:space="0" w:color="auto"/>
              <w:right w:val="single" w:sz="4" w:space="0" w:color="auto"/>
            </w:tcBorders>
            <w:vAlign w:val="bottom"/>
            <w:hideMark/>
          </w:tcPr>
          <w:p w14:paraId="662A3F6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21.6%</w:t>
            </w:r>
          </w:p>
        </w:tc>
        <w:tc>
          <w:tcPr>
            <w:tcW w:w="1272" w:type="dxa"/>
            <w:tcBorders>
              <w:top w:val="single" w:sz="4" w:space="0" w:color="auto"/>
              <w:left w:val="single" w:sz="4" w:space="0" w:color="auto"/>
              <w:bottom w:val="single" w:sz="4" w:space="0" w:color="auto"/>
              <w:right w:val="single" w:sz="4" w:space="0" w:color="auto"/>
            </w:tcBorders>
            <w:vAlign w:val="bottom"/>
            <w:hideMark/>
          </w:tcPr>
          <w:p w14:paraId="7DCEBAF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20.6%</w:t>
            </w:r>
          </w:p>
        </w:tc>
        <w:tc>
          <w:tcPr>
            <w:tcW w:w="1273" w:type="dxa"/>
            <w:tcBorders>
              <w:top w:val="single" w:sz="4" w:space="0" w:color="auto"/>
              <w:left w:val="single" w:sz="4" w:space="0" w:color="auto"/>
              <w:bottom w:val="single" w:sz="4" w:space="0" w:color="auto"/>
              <w:right w:val="single" w:sz="4" w:space="0" w:color="auto"/>
            </w:tcBorders>
            <w:vAlign w:val="bottom"/>
            <w:hideMark/>
          </w:tcPr>
          <w:p w14:paraId="7EE780A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21.5%</w:t>
            </w:r>
          </w:p>
        </w:tc>
      </w:tr>
      <w:tr w:rsidR="00360825" w:rsidRPr="00DE1AA1" w14:paraId="76CB67E8"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25911F86" w14:textId="77777777" w:rsidR="00360825" w:rsidRPr="00DE1AA1" w:rsidRDefault="00360825" w:rsidP="00C04569">
            <w:pPr>
              <w:keepNext/>
              <w:spacing w:after="0" w:line="300" w:lineRule="auto"/>
              <w:rPr>
                <w:rFonts w:ascii="Arial" w:hAnsi="Arial" w:cs="Arial"/>
              </w:rPr>
            </w:pPr>
            <w:r w:rsidRPr="00DE1AA1">
              <w:rPr>
                <w:rFonts w:ascii="Arial" w:hAnsi="Arial" w:cs="Arial"/>
              </w:rPr>
              <w:t>Transport and communication</w:t>
            </w:r>
          </w:p>
        </w:tc>
        <w:tc>
          <w:tcPr>
            <w:tcW w:w="1204" w:type="dxa"/>
            <w:tcBorders>
              <w:top w:val="single" w:sz="4" w:space="0" w:color="auto"/>
              <w:left w:val="single" w:sz="4" w:space="0" w:color="auto"/>
              <w:bottom w:val="single" w:sz="4" w:space="0" w:color="auto"/>
              <w:right w:val="single" w:sz="4" w:space="0" w:color="auto"/>
            </w:tcBorders>
            <w:vAlign w:val="bottom"/>
            <w:hideMark/>
          </w:tcPr>
          <w:p w14:paraId="4B73317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3,912</w:t>
            </w:r>
          </w:p>
        </w:tc>
        <w:tc>
          <w:tcPr>
            <w:tcW w:w="1205" w:type="dxa"/>
            <w:tcBorders>
              <w:top w:val="single" w:sz="4" w:space="0" w:color="auto"/>
              <w:left w:val="single" w:sz="4" w:space="0" w:color="auto"/>
              <w:bottom w:val="single" w:sz="4" w:space="0" w:color="auto"/>
              <w:right w:val="single" w:sz="4" w:space="0" w:color="auto"/>
            </w:tcBorders>
            <w:vAlign w:val="bottom"/>
            <w:hideMark/>
          </w:tcPr>
          <w:p w14:paraId="1D3CAD1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7.3%</w:t>
            </w:r>
          </w:p>
        </w:tc>
        <w:tc>
          <w:tcPr>
            <w:tcW w:w="1272" w:type="dxa"/>
            <w:tcBorders>
              <w:top w:val="single" w:sz="4" w:space="0" w:color="auto"/>
              <w:left w:val="single" w:sz="4" w:space="0" w:color="auto"/>
              <w:bottom w:val="single" w:sz="4" w:space="0" w:color="auto"/>
              <w:right w:val="single" w:sz="4" w:space="0" w:color="auto"/>
            </w:tcBorders>
            <w:vAlign w:val="bottom"/>
            <w:hideMark/>
          </w:tcPr>
          <w:p w14:paraId="3BCA356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10.7%</w:t>
            </w:r>
          </w:p>
        </w:tc>
        <w:tc>
          <w:tcPr>
            <w:tcW w:w="1273" w:type="dxa"/>
            <w:tcBorders>
              <w:top w:val="single" w:sz="4" w:space="0" w:color="auto"/>
              <w:left w:val="single" w:sz="4" w:space="0" w:color="auto"/>
              <w:bottom w:val="single" w:sz="4" w:space="0" w:color="auto"/>
              <w:right w:val="single" w:sz="4" w:space="0" w:color="auto"/>
            </w:tcBorders>
            <w:vAlign w:val="bottom"/>
            <w:hideMark/>
          </w:tcPr>
          <w:p w14:paraId="576FCAF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9.1%</w:t>
            </w:r>
          </w:p>
        </w:tc>
      </w:tr>
      <w:tr w:rsidR="00360825" w:rsidRPr="00DE1AA1" w14:paraId="0395A7F5"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745E3639" w14:textId="77777777" w:rsidR="00360825" w:rsidRPr="00D556DB" w:rsidRDefault="00360825" w:rsidP="00C04569">
            <w:pPr>
              <w:keepNext/>
              <w:spacing w:after="0" w:line="300" w:lineRule="auto"/>
              <w:rPr>
                <w:rFonts w:ascii="Arial" w:hAnsi="Arial" w:cs="Arial"/>
                <w:spacing w:val="-4"/>
              </w:rPr>
            </w:pPr>
            <w:r w:rsidRPr="00D556DB">
              <w:rPr>
                <w:rFonts w:ascii="Arial" w:hAnsi="Arial" w:cs="Arial"/>
                <w:spacing w:val="-4"/>
              </w:rPr>
              <w:t>Financial, Real Estate, Professional &amp; Administration</w:t>
            </w:r>
          </w:p>
        </w:tc>
        <w:tc>
          <w:tcPr>
            <w:tcW w:w="1204" w:type="dxa"/>
            <w:tcBorders>
              <w:top w:val="single" w:sz="4" w:space="0" w:color="auto"/>
              <w:left w:val="single" w:sz="4" w:space="0" w:color="auto"/>
              <w:bottom w:val="single" w:sz="4" w:space="0" w:color="auto"/>
              <w:right w:val="single" w:sz="4" w:space="0" w:color="auto"/>
            </w:tcBorders>
            <w:vAlign w:val="bottom"/>
            <w:hideMark/>
          </w:tcPr>
          <w:p w14:paraId="5D532E2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9,455</w:t>
            </w:r>
          </w:p>
        </w:tc>
        <w:tc>
          <w:tcPr>
            <w:tcW w:w="1205" w:type="dxa"/>
            <w:tcBorders>
              <w:top w:val="single" w:sz="4" w:space="0" w:color="auto"/>
              <w:left w:val="single" w:sz="4" w:space="0" w:color="auto"/>
              <w:bottom w:val="single" w:sz="4" w:space="0" w:color="auto"/>
              <w:right w:val="single" w:sz="4" w:space="0" w:color="auto"/>
            </w:tcBorders>
            <w:vAlign w:val="bottom"/>
            <w:hideMark/>
          </w:tcPr>
          <w:p w14:paraId="5B1E7B5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17.5%</w:t>
            </w:r>
          </w:p>
        </w:tc>
        <w:tc>
          <w:tcPr>
            <w:tcW w:w="1272" w:type="dxa"/>
            <w:tcBorders>
              <w:top w:val="single" w:sz="4" w:space="0" w:color="auto"/>
              <w:left w:val="single" w:sz="4" w:space="0" w:color="auto"/>
              <w:bottom w:val="single" w:sz="4" w:space="0" w:color="auto"/>
              <w:right w:val="single" w:sz="4" w:space="0" w:color="auto"/>
            </w:tcBorders>
            <w:vAlign w:val="bottom"/>
            <w:hideMark/>
          </w:tcPr>
          <w:p w14:paraId="3B6E850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18.6%</w:t>
            </w:r>
          </w:p>
        </w:tc>
        <w:tc>
          <w:tcPr>
            <w:tcW w:w="1273" w:type="dxa"/>
            <w:tcBorders>
              <w:top w:val="single" w:sz="4" w:space="0" w:color="auto"/>
              <w:left w:val="single" w:sz="4" w:space="0" w:color="auto"/>
              <w:bottom w:val="single" w:sz="4" w:space="0" w:color="auto"/>
              <w:right w:val="single" w:sz="4" w:space="0" w:color="auto"/>
            </w:tcBorders>
            <w:vAlign w:val="bottom"/>
            <w:hideMark/>
          </w:tcPr>
          <w:p w14:paraId="19F2683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17.5%</w:t>
            </w:r>
          </w:p>
        </w:tc>
      </w:tr>
      <w:tr w:rsidR="00360825" w:rsidRPr="00DE1AA1" w14:paraId="48D8200D"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1F591389" w14:textId="77777777" w:rsidR="00360825" w:rsidRPr="00D556DB" w:rsidRDefault="00360825" w:rsidP="00C04569">
            <w:pPr>
              <w:keepNext/>
              <w:spacing w:after="0" w:line="300" w:lineRule="auto"/>
              <w:rPr>
                <w:rFonts w:ascii="Arial" w:hAnsi="Arial" w:cs="Arial"/>
              </w:rPr>
            </w:pPr>
            <w:r w:rsidRPr="00D556DB">
              <w:rPr>
                <w:rFonts w:ascii="Arial" w:hAnsi="Arial" w:cs="Arial"/>
              </w:rPr>
              <w:t>Public administration, education and health</w:t>
            </w:r>
          </w:p>
        </w:tc>
        <w:tc>
          <w:tcPr>
            <w:tcW w:w="1204" w:type="dxa"/>
            <w:tcBorders>
              <w:top w:val="single" w:sz="4" w:space="0" w:color="auto"/>
              <w:left w:val="single" w:sz="4" w:space="0" w:color="auto"/>
              <w:bottom w:val="single" w:sz="4" w:space="0" w:color="auto"/>
              <w:right w:val="single" w:sz="4" w:space="0" w:color="auto"/>
            </w:tcBorders>
            <w:vAlign w:val="bottom"/>
            <w:hideMark/>
          </w:tcPr>
          <w:p w14:paraId="374F24B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15,943</w:t>
            </w:r>
          </w:p>
        </w:tc>
        <w:tc>
          <w:tcPr>
            <w:tcW w:w="1205" w:type="dxa"/>
            <w:tcBorders>
              <w:top w:val="single" w:sz="4" w:space="0" w:color="auto"/>
              <w:left w:val="single" w:sz="4" w:space="0" w:color="auto"/>
              <w:bottom w:val="single" w:sz="4" w:space="0" w:color="auto"/>
              <w:right w:val="single" w:sz="4" w:space="0" w:color="auto"/>
            </w:tcBorders>
            <w:vAlign w:val="bottom"/>
            <w:hideMark/>
          </w:tcPr>
          <w:p w14:paraId="7240784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29.6%</w:t>
            </w:r>
          </w:p>
        </w:tc>
        <w:tc>
          <w:tcPr>
            <w:tcW w:w="1272" w:type="dxa"/>
            <w:tcBorders>
              <w:top w:val="single" w:sz="4" w:space="0" w:color="auto"/>
              <w:left w:val="single" w:sz="4" w:space="0" w:color="auto"/>
              <w:bottom w:val="single" w:sz="4" w:space="0" w:color="auto"/>
              <w:right w:val="single" w:sz="4" w:space="0" w:color="auto"/>
            </w:tcBorders>
            <w:vAlign w:val="bottom"/>
            <w:hideMark/>
          </w:tcPr>
          <w:p w14:paraId="2E5399B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27.7%</w:t>
            </w:r>
          </w:p>
        </w:tc>
        <w:tc>
          <w:tcPr>
            <w:tcW w:w="1273" w:type="dxa"/>
            <w:tcBorders>
              <w:top w:val="single" w:sz="4" w:space="0" w:color="auto"/>
              <w:left w:val="single" w:sz="4" w:space="0" w:color="auto"/>
              <w:bottom w:val="single" w:sz="4" w:space="0" w:color="auto"/>
              <w:right w:val="single" w:sz="4" w:space="0" w:color="auto"/>
            </w:tcBorders>
            <w:vAlign w:val="bottom"/>
            <w:hideMark/>
          </w:tcPr>
          <w:p w14:paraId="583D75A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28.2%</w:t>
            </w:r>
          </w:p>
        </w:tc>
      </w:tr>
      <w:tr w:rsidR="00360825" w:rsidRPr="00DE1AA1" w14:paraId="2BBFF6BA"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26526106" w14:textId="77777777" w:rsidR="00360825" w:rsidRPr="00DE1AA1" w:rsidRDefault="00360825" w:rsidP="00C04569">
            <w:pPr>
              <w:keepNext/>
              <w:spacing w:after="0" w:line="300" w:lineRule="auto"/>
              <w:rPr>
                <w:rFonts w:ascii="Arial" w:hAnsi="Arial" w:cs="Arial"/>
              </w:rPr>
            </w:pPr>
            <w:r w:rsidRPr="00DE1AA1">
              <w:rPr>
                <w:rFonts w:ascii="Arial" w:hAnsi="Arial" w:cs="Arial"/>
              </w:rPr>
              <w:t>Other</w:t>
            </w:r>
          </w:p>
        </w:tc>
        <w:tc>
          <w:tcPr>
            <w:tcW w:w="1204" w:type="dxa"/>
            <w:tcBorders>
              <w:top w:val="single" w:sz="4" w:space="0" w:color="auto"/>
              <w:left w:val="single" w:sz="4" w:space="0" w:color="auto"/>
              <w:bottom w:val="single" w:sz="4" w:space="0" w:color="auto"/>
              <w:right w:val="single" w:sz="4" w:space="0" w:color="auto"/>
            </w:tcBorders>
            <w:vAlign w:val="bottom"/>
            <w:hideMark/>
          </w:tcPr>
          <w:p w14:paraId="4160F5E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3,207</w:t>
            </w:r>
          </w:p>
        </w:tc>
        <w:tc>
          <w:tcPr>
            <w:tcW w:w="1205" w:type="dxa"/>
            <w:tcBorders>
              <w:top w:val="single" w:sz="4" w:space="0" w:color="auto"/>
              <w:left w:val="single" w:sz="4" w:space="0" w:color="auto"/>
              <w:bottom w:val="single" w:sz="4" w:space="0" w:color="auto"/>
              <w:right w:val="single" w:sz="4" w:space="0" w:color="auto"/>
            </w:tcBorders>
            <w:vAlign w:val="bottom"/>
            <w:hideMark/>
          </w:tcPr>
          <w:p w14:paraId="3FC666C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5.9%</w:t>
            </w:r>
          </w:p>
        </w:tc>
        <w:tc>
          <w:tcPr>
            <w:tcW w:w="1272" w:type="dxa"/>
            <w:tcBorders>
              <w:top w:val="single" w:sz="4" w:space="0" w:color="auto"/>
              <w:left w:val="single" w:sz="4" w:space="0" w:color="auto"/>
              <w:bottom w:val="single" w:sz="4" w:space="0" w:color="auto"/>
              <w:right w:val="single" w:sz="4" w:space="0" w:color="auto"/>
            </w:tcBorders>
            <w:vAlign w:val="bottom"/>
            <w:hideMark/>
          </w:tcPr>
          <w:p w14:paraId="39619B3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5.1%</w:t>
            </w:r>
          </w:p>
        </w:tc>
        <w:tc>
          <w:tcPr>
            <w:tcW w:w="1273" w:type="dxa"/>
            <w:tcBorders>
              <w:top w:val="single" w:sz="4" w:space="0" w:color="auto"/>
              <w:left w:val="single" w:sz="4" w:space="0" w:color="auto"/>
              <w:bottom w:val="single" w:sz="4" w:space="0" w:color="auto"/>
              <w:right w:val="single" w:sz="4" w:space="0" w:color="auto"/>
            </w:tcBorders>
            <w:vAlign w:val="bottom"/>
            <w:hideMark/>
          </w:tcPr>
          <w:p w14:paraId="708B516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5.0%</w:t>
            </w:r>
          </w:p>
        </w:tc>
      </w:tr>
      <w:tr w:rsidR="00360825" w:rsidRPr="00DE1AA1" w14:paraId="061969B7"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7E690A85" w14:textId="77777777" w:rsidR="00360825" w:rsidRPr="00DE1AA1" w:rsidRDefault="00360825" w:rsidP="00C04569">
            <w:pPr>
              <w:keepNext/>
              <w:spacing w:after="0" w:line="300" w:lineRule="auto"/>
              <w:rPr>
                <w:rFonts w:ascii="Arial" w:hAnsi="Arial" w:cs="Arial"/>
              </w:rPr>
            </w:pPr>
            <w:r w:rsidRPr="00DE1AA1">
              <w:rPr>
                <w:rFonts w:ascii="Arial" w:hAnsi="Arial" w:cs="Arial"/>
              </w:rPr>
              <w:t>All industries</w:t>
            </w:r>
          </w:p>
        </w:tc>
        <w:tc>
          <w:tcPr>
            <w:tcW w:w="1204" w:type="dxa"/>
            <w:tcBorders>
              <w:top w:val="single" w:sz="4" w:space="0" w:color="auto"/>
              <w:left w:val="single" w:sz="4" w:space="0" w:color="auto"/>
              <w:bottom w:val="single" w:sz="4" w:space="0" w:color="auto"/>
              <w:right w:val="single" w:sz="4" w:space="0" w:color="auto"/>
            </w:tcBorders>
            <w:vAlign w:val="bottom"/>
            <w:hideMark/>
          </w:tcPr>
          <w:p w14:paraId="1EC57F1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53,905</w:t>
            </w:r>
          </w:p>
        </w:tc>
        <w:tc>
          <w:tcPr>
            <w:tcW w:w="1205" w:type="dxa"/>
            <w:tcBorders>
              <w:top w:val="single" w:sz="4" w:space="0" w:color="auto"/>
              <w:left w:val="single" w:sz="4" w:space="0" w:color="auto"/>
              <w:bottom w:val="single" w:sz="4" w:space="0" w:color="auto"/>
              <w:right w:val="single" w:sz="4" w:space="0" w:color="auto"/>
            </w:tcBorders>
            <w:vAlign w:val="bottom"/>
            <w:hideMark/>
          </w:tcPr>
          <w:p w14:paraId="19A84E46" w14:textId="77777777" w:rsidR="00360825" w:rsidRPr="00DE1AA1" w:rsidRDefault="00360825" w:rsidP="00C04569">
            <w:pPr>
              <w:keepNext/>
              <w:spacing w:after="0" w:line="300" w:lineRule="auto"/>
              <w:jc w:val="center"/>
              <w:rPr>
                <w:rFonts w:ascii="Arial" w:hAnsi="Arial" w:cs="Arial"/>
                <w:spacing w:val="-4"/>
              </w:rPr>
            </w:pPr>
            <w:r w:rsidRPr="00DE1AA1">
              <w:rPr>
                <w:rFonts w:ascii="Arial" w:hAnsi="Arial" w:cs="Arial"/>
                <w:color w:val="000000"/>
              </w:rPr>
              <w:t>100.0%</w:t>
            </w:r>
          </w:p>
        </w:tc>
        <w:tc>
          <w:tcPr>
            <w:tcW w:w="1272" w:type="dxa"/>
            <w:tcBorders>
              <w:top w:val="single" w:sz="4" w:space="0" w:color="auto"/>
              <w:left w:val="single" w:sz="4" w:space="0" w:color="auto"/>
              <w:bottom w:val="single" w:sz="4" w:space="0" w:color="auto"/>
              <w:right w:val="single" w:sz="4" w:space="0" w:color="auto"/>
            </w:tcBorders>
            <w:vAlign w:val="bottom"/>
            <w:hideMark/>
          </w:tcPr>
          <w:p w14:paraId="68CF9584" w14:textId="77777777" w:rsidR="00360825" w:rsidRPr="00DE1AA1" w:rsidRDefault="00360825" w:rsidP="00C04569">
            <w:pPr>
              <w:keepNext/>
              <w:spacing w:after="0" w:line="300" w:lineRule="auto"/>
              <w:jc w:val="center"/>
              <w:rPr>
                <w:rFonts w:ascii="Arial" w:hAnsi="Arial" w:cs="Arial"/>
                <w:spacing w:val="-4"/>
              </w:rPr>
            </w:pPr>
            <w:r w:rsidRPr="00DE1AA1">
              <w:rPr>
                <w:rFonts w:ascii="Arial" w:hAnsi="Arial" w:cs="Arial"/>
                <w:color w:val="000000"/>
              </w:rPr>
              <w:t>100.0%</w:t>
            </w:r>
          </w:p>
        </w:tc>
        <w:tc>
          <w:tcPr>
            <w:tcW w:w="1273" w:type="dxa"/>
            <w:tcBorders>
              <w:top w:val="single" w:sz="4" w:space="0" w:color="auto"/>
              <w:left w:val="single" w:sz="4" w:space="0" w:color="auto"/>
              <w:bottom w:val="single" w:sz="4" w:space="0" w:color="auto"/>
              <w:right w:val="single" w:sz="4" w:space="0" w:color="auto"/>
            </w:tcBorders>
            <w:vAlign w:val="bottom"/>
            <w:hideMark/>
          </w:tcPr>
          <w:p w14:paraId="7EA7CABB" w14:textId="77777777" w:rsidR="00360825" w:rsidRPr="00DE1AA1" w:rsidRDefault="00360825" w:rsidP="00C04569">
            <w:pPr>
              <w:keepNext/>
              <w:spacing w:after="0" w:line="300" w:lineRule="auto"/>
              <w:jc w:val="center"/>
              <w:rPr>
                <w:rFonts w:ascii="Arial" w:hAnsi="Arial" w:cs="Arial"/>
                <w:spacing w:val="-4"/>
              </w:rPr>
            </w:pPr>
            <w:r w:rsidRPr="00DE1AA1">
              <w:rPr>
                <w:rFonts w:ascii="Arial" w:hAnsi="Arial" w:cs="Arial"/>
                <w:color w:val="000000"/>
              </w:rPr>
              <w:t>100.0%</w:t>
            </w:r>
          </w:p>
        </w:tc>
      </w:tr>
    </w:tbl>
    <w:p w14:paraId="17F935AC"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2011 Census</w:t>
      </w:r>
    </w:p>
    <w:p w14:paraId="4E8CD70F" w14:textId="77777777" w:rsidR="00360825" w:rsidRPr="00DE1AA1"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table below shows how the number of essential workers varies across sub-areas. There are some notable difference across areas, with 36% of workers living in the East-West Corridor falling </w:t>
      </w:r>
      <w:r w:rsidRPr="00DE1AA1">
        <w:rPr>
          <w:rFonts w:ascii="Arial" w:hAnsi="Arial" w:cs="Arial"/>
        </w:rPr>
        <w:t>under the public administration, education and health category, compared with just 23% in the Plan Area North.</w:t>
      </w:r>
    </w:p>
    <w:p w14:paraId="0C23308C" w14:textId="77777777" w:rsidR="00360825" w:rsidRPr="00D556DB" w:rsidRDefault="00360825" w:rsidP="001A7584">
      <w:pPr>
        <w:pStyle w:val="Heading4"/>
        <w:ind w:firstLine="0"/>
      </w:pPr>
      <w:r w:rsidRPr="00DE1AA1">
        <w:t>Number and proportion of essential workers – sub-areas</w:t>
      </w:r>
    </w:p>
    <w:tbl>
      <w:tblPr>
        <w:tblStyle w:val="TableTheme"/>
        <w:tblW w:w="5000" w:type="pct"/>
        <w:tblInd w:w="0" w:type="dxa"/>
        <w:tblLayout w:type="fixed"/>
        <w:tblLook w:val="04A0" w:firstRow="1" w:lastRow="0" w:firstColumn="1" w:lastColumn="0" w:noHBand="0" w:noVBand="1"/>
      </w:tblPr>
      <w:tblGrid>
        <w:gridCol w:w="2194"/>
        <w:gridCol w:w="2194"/>
        <w:gridCol w:w="2194"/>
        <w:gridCol w:w="2195"/>
      </w:tblGrid>
      <w:tr w:rsidR="00360825" w:rsidRPr="00DE1AA1" w14:paraId="24ACA444"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shd w:val="clear" w:color="auto" w:fill="002060"/>
            <w:noWrap/>
          </w:tcPr>
          <w:p w14:paraId="3D0A1305" w14:textId="77777777" w:rsidR="00360825" w:rsidRPr="00DE1AA1" w:rsidRDefault="00360825" w:rsidP="00C04569">
            <w:pPr>
              <w:keepNext/>
              <w:spacing w:after="0" w:line="300" w:lineRule="auto"/>
              <w:rPr>
                <w:rFonts w:ascii="Arial" w:hAnsi="Arial" w:cs="Arial"/>
              </w:rPr>
            </w:pPr>
          </w:p>
        </w:tc>
        <w:tc>
          <w:tcPr>
            <w:tcW w:w="2194" w:type="dxa"/>
            <w:tcBorders>
              <w:top w:val="single" w:sz="4" w:space="0" w:color="auto"/>
              <w:left w:val="single" w:sz="4" w:space="0" w:color="auto"/>
              <w:bottom w:val="single" w:sz="4" w:space="0" w:color="auto"/>
              <w:right w:val="single" w:sz="4" w:space="0" w:color="auto"/>
            </w:tcBorders>
            <w:shd w:val="clear" w:color="auto" w:fill="002060"/>
            <w:noWrap/>
            <w:hideMark/>
          </w:tcPr>
          <w:p w14:paraId="46888E7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Resident essential workers</w:t>
            </w:r>
          </w:p>
        </w:tc>
        <w:tc>
          <w:tcPr>
            <w:tcW w:w="2194" w:type="dxa"/>
            <w:tcBorders>
              <w:top w:val="single" w:sz="4" w:space="0" w:color="auto"/>
              <w:left w:val="single" w:sz="4" w:space="0" w:color="auto"/>
              <w:bottom w:val="single" w:sz="4" w:space="0" w:color="auto"/>
              <w:right w:val="single" w:sz="4" w:space="0" w:color="auto"/>
            </w:tcBorders>
            <w:shd w:val="clear" w:color="auto" w:fill="002060"/>
            <w:noWrap/>
            <w:hideMark/>
          </w:tcPr>
          <w:p w14:paraId="7FCD66E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 of workers in area</w:t>
            </w:r>
          </w:p>
        </w:tc>
        <w:tc>
          <w:tcPr>
            <w:tcW w:w="2195" w:type="dxa"/>
            <w:tcBorders>
              <w:top w:val="single" w:sz="4" w:space="0" w:color="auto"/>
              <w:left w:val="single" w:sz="4" w:space="0" w:color="auto"/>
              <w:bottom w:val="single" w:sz="4" w:space="0" w:color="auto"/>
              <w:right w:val="single" w:sz="4" w:space="0" w:color="auto"/>
            </w:tcBorders>
            <w:shd w:val="clear" w:color="auto" w:fill="002060"/>
            <w:noWrap/>
            <w:hideMark/>
          </w:tcPr>
          <w:p w14:paraId="05F1B4A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 of resident workers</w:t>
            </w:r>
          </w:p>
        </w:tc>
      </w:tr>
      <w:tr w:rsidR="00360825" w:rsidRPr="00DE1AA1" w14:paraId="540A9B87"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vAlign w:val="bottom"/>
            <w:hideMark/>
          </w:tcPr>
          <w:p w14:paraId="0E269BA0"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7A2CF13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4,301</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292E854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33.8%</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78BBB48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27.0%</w:t>
            </w:r>
          </w:p>
        </w:tc>
      </w:tr>
      <w:tr w:rsidR="00360825" w:rsidRPr="00DE1AA1" w14:paraId="3D444F0E"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vAlign w:val="bottom"/>
            <w:hideMark/>
          </w:tcPr>
          <w:p w14:paraId="35FD7245"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57158DF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3,852</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70F33E5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35.9%</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3EAAE5F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24.2%</w:t>
            </w:r>
          </w:p>
        </w:tc>
      </w:tr>
      <w:tr w:rsidR="00360825" w:rsidRPr="00DE1AA1" w14:paraId="6AEEE17D"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vAlign w:val="bottom"/>
            <w:hideMark/>
          </w:tcPr>
          <w:p w14:paraId="00999346"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1EB386F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3,299</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684DCE2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28.5%</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0BEBAA3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20.7%</w:t>
            </w:r>
          </w:p>
        </w:tc>
      </w:tr>
      <w:tr w:rsidR="00360825" w:rsidRPr="00DE1AA1" w14:paraId="1F3ED877"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vAlign w:val="bottom"/>
            <w:hideMark/>
          </w:tcPr>
          <w:p w14:paraId="694D77DC"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5BFC321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928</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7519E61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22.5%</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7D9D868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5.8%</w:t>
            </w:r>
          </w:p>
        </w:tc>
      </w:tr>
      <w:tr w:rsidR="00360825" w:rsidRPr="00DE1AA1" w14:paraId="32DC74A8"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vAlign w:val="bottom"/>
            <w:hideMark/>
          </w:tcPr>
          <w:p w14:paraId="4903049A"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13D46AB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3,563</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570E3E4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24.1%</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5878F1A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22.3%</w:t>
            </w:r>
          </w:p>
        </w:tc>
      </w:tr>
      <w:tr w:rsidR="00360825" w:rsidRPr="00DE1AA1" w14:paraId="422DADC7"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hideMark/>
          </w:tcPr>
          <w:p w14:paraId="4E741FB5" w14:textId="77777777" w:rsidR="00360825" w:rsidRPr="00DE1AA1" w:rsidRDefault="00360825" w:rsidP="00C04569">
            <w:pPr>
              <w:keepNext/>
              <w:spacing w:after="0" w:line="300" w:lineRule="auto"/>
              <w:rPr>
                <w:rFonts w:ascii="Arial" w:hAnsi="Arial" w:cs="Arial"/>
                <w:color w:val="000000"/>
              </w:rPr>
            </w:pPr>
            <w:r w:rsidRPr="00D556DB">
              <w:rPr>
                <w:rFonts w:ascii="Arial" w:hAnsi="Arial" w:cs="Arial"/>
                <w:color w:val="000000"/>
              </w:rPr>
              <w:t>TOTAL</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57F131F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15,943</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5B16374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29.6%</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7E529BB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r>
    </w:tbl>
    <w:p w14:paraId="6D70788B"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2011 Census</w:t>
      </w:r>
    </w:p>
    <w:p w14:paraId="0ECD50C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2011 Census also enables analysis to be conducted as to the tenure of workers by industry. It can be seen that essential workers see a fairly average profile, with similar levels of owner-occupation, social renting and private renting as is seen across the whole District.</w:t>
      </w:r>
    </w:p>
    <w:p w14:paraId="759FB116" w14:textId="77777777" w:rsidR="00360825" w:rsidRPr="00D556DB" w:rsidRDefault="00360825" w:rsidP="001A7584">
      <w:pPr>
        <w:pStyle w:val="Heading4"/>
        <w:ind w:firstLine="0"/>
      </w:pPr>
      <w:r w:rsidRPr="00DE1AA1">
        <w:lastRenderedPageBreak/>
        <w:t>Housing tenure by industry of employment (2011) – Chichester District</w:t>
      </w:r>
    </w:p>
    <w:tbl>
      <w:tblPr>
        <w:tblStyle w:val="TableTheme"/>
        <w:tblW w:w="5000" w:type="pct"/>
        <w:tblInd w:w="0" w:type="dxa"/>
        <w:tblLayout w:type="fixed"/>
        <w:tblLook w:val="04A0" w:firstRow="1" w:lastRow="0" w:firstColumn="1" w:lastColumn="0" w:noHBand="0" w:noVBand="1"/>
      </w:tblPr>
      <w:tblGrid>
        <w:gridCol w:w="4547"/>
        <w:gridCol w:w="1410"/>
        <w:gridCol w:w="1410"/>
        <w:gridCol w:w="1410"/>
      </w:tblGrid>
      <w:tr w:rsidR="00360825" w:rsidRPr="00DE1AA1" w14:paraId="655C4268"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shd w:val="clear" w:color="auto" w:fill="002060"/>
            <w:noWrap/>
          </w:tcPr>
          <w:p w14:paraId="0A5982F2" w14:textId="77777777" w:rsidR="00360825" w:rsidRPr="00DE1AA1" w:rsidRDefault="00360825" w:rsidP="00C04569">
            <w:pPr>
              <w:keepNext/>
              <w:spacing w:after="0" w:line="240" w:lineRule="auto"/>
              <w:jc w:val="left"/>
              <w:rPr>
                <w:rFonts w:ascii="Arial" w:hAnsi="Arial" w:cs="Arial"/>
              </w:rPr>
            </w:pPr>
          </w:p>
        </w:tc>
        <w:tc>
          <w:tcPr>
            <w:tcW w:w="141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7012B6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Owner-occupied</w:t>
            </w:r>
          </w:p>
        </w:tc>
        <w:tc>
          <w:tcPr>
            <w:tcW w:w="141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2EAA55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Social rented</w:t>
            </w:r>
          </w:p>
        </w:tc>
        <w:tc>
          <w:tcPr>
            <w:tcW w:w="141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ED6112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Private rented</w:t>
            </w:r>
          </w:p>
        </w:tc>
      </w:tr>
      <w:tr w:rsidR="00360825" w:rsidRPr="00DE1AA1" w14:paraId="6A99A765"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1F6C6FB1" w14:textId="77777777" w:rsidR="00360825" w:rsidRPr="00DE1AA1" w:rsidRDefault="00360825" w:rsidP="00C04569">
            <w:pPr>
              <w:keepNext/>
              <w:spacing w:after="0" w:line="300" w:lineRule="auto"/>
              <w:rPr>
                <w:rFonts w:ascii="Arial" w:hAnsi="Arial" w:cs="Arial"/>
              </w:rPr>
            </w:pPr>
            <w:r w:rsidRPr="00DE1AA1">
              <w:rPr>
                <w:rFonts w:ascii="Arial" w:hAnsi="Arial" w:cs="Arial"/>
              </w:rPr>
              <w:t>Agriculture, energy and water</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E059FF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56%</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58D65ED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3301E42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33%</w:t>
            </w:r>
          </w:p>
        </w:tc>
      </w:tr>
      <w:tr w:rsidR="00360825" w:rsidRPr="00DE1AA1" w14:paraId="656501D2"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23B7ACA1" w14:textId="77777777" w:rsidR="00360825" w:rsidRPr="00DE1AA1" w:rsidRDefault="00360825" w:rsidP="00C04569">
            <w:pPr>
              <w:keepNext/>
              <w:spacing w:after="0" w:line="300" w:lineRule="auto"/>
              <w:rPr>
                <w:rFonts w:ascii="Arial" w:hAnsi="Arial" w:cs="Arial"/>
              </w:rPr>
            </w:pPr>
            <w:r w:rsidRPr="00DE1AA1">
              <w:rPr>
                <w:rFonts w:ascii="Arial" w:hAnsi="Arial" w:cs="Arial"/>
              </w:rPr>
              <w:t>Manufacturing</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5866554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68%</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68E29F3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59030F0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20%</w:t>
            </w:r>
          </w:p>
        </w:tc>
      </w:tr>
      <w:tr w:rsidR="00360825" w:rsidRPr="00DE1AA1" w14:paraId="3FC77C3F"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6F03B38C" w14:textId="77777777" w:rsidR="00360825" w:rsidRPr="00DE1AA1" w:rsidRDefault="00360825" w:rsidP="00C04569">
            <w:pPr>
              <w:keepNext/>
              <w:spacing w:after="0" w:line="300" w:lineRule="auto"/>
              <w:rPr>
                <w:rFonts w:ascii="Arial" w:hAnsi="Arial" w:cs="Arial"/>
              </w:rPr>
            </w:pPr>
            <w:r w:rsidRPr="00DE1AA1">
              <w:rPr>
                <w:rFonts w:ascii="Arial" w:hAnsi="Arial" w:cs="Arial"/>
              </w:rPr>
              <w:t>Construction</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7C0BEF0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70%</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70DDD26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14%</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08DDCB2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16%</w:t>
            </w:r>
          </w:p>
        </w:tc>
      </w:tr>
      <w:tr w:rsidR="00360825" w:rsidRPr="00DE1AA1" w14:paraId="1D443FD3"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62F657FF" w14:textId="77777777" w:rsidR="00360825" w:rsidRPr="00DE1AA1" w:rsidRDefault="00360825" w:rsidP="00C04569">
            <w:pPr>
              <w:keepNext/>
              <w:spacing w:after="0" w:line="300" w:lineRule="auto"/>
              <w:rPr>
                <w:rFonts w:ascii="Arial" w:hAnsi="Arial" w:cs="Arial"/>
              </w:rPr>
            </w:pPr>
            <w:r w:rsidRPr="00DE1AA1">
              <w:rPr>
                <w:rFonts w:ascii="Arial" w:hAnsi="Arial" w:cs="Arial"/>
              </w:rPr>
              <w:t>Distribution, hotels and restaurants</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F9ACD0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56%</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0B8FF0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241D90A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27%</w:t>
            </w:r>
          </w:p>
        </w:tc>
      </w:tr>
      <w:tr w:rsidR="00360825" w:rsidRPr="00DE1AA1" w14:paraId="54FE9173"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5E51489C" w14:textId="77777777" w:rsidR="00360825" w:rsidRPr="00DE1AA1" w:rsidRDefault="00360825" w:rsidP="00C04569">
            <w:pPr>
              <w:keepNext/>
              <w:spacing w:after="0" w:line="300" w:lineRule="auto"/>
              <w:rPr>
                <w:rFonts w:ascii="Arial" w:hAnsi="Arial" w:cs="Arial"/>
              </w:rPr>
            </w:pPr>
            <w:r w:rsidRPr="00DE1AA1">
              <w:rPr>
                <w:rFonts w:ascii="Arial" w:hAnsi="Arial" w:cs="Arial"/>
              </w:rPr>
              <w:t>Transport and communication</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6F5B630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72%</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FF32C5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4EF9820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18%</w:t>
            </w:r>
          </w:p>
        </w:tc>
      </w:tr>
      <w:tr w:rsidR="00360825" w:rsidRPr="00DE1AA1" w14:paraId="53CC498D"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451EBE1F" w14:textId="77777777" w:rsidR="00360825" w:rsidRPr="00D556DB" w:rsidRDefault="00360825" w:rsidP="00C04569">
            <w:pPr>
              <w:keepNext/>
              <w:spacing w:after="0" w:line="300" w:lineRule="auto"/>
              <w:rPr>
                <w:rFonts w:ascii="Arial" w:hAnsi="Arial" w:cs="Arial"/>
              </w:rPr>
            </w:pPr>
            <w:r w:rsidRPr="00D556DB">
              <w:rPr>
                <w:rFonts w:ascii="Arial" w:hAnsi="Arial" w:cs="Arial"/>
              </w:rPr>
              <w:t>Financial, Real Estate, Professional and Administration</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477080D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74%</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420B2F7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4229AC8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w:t>
            </w:r>
          </w:p>
        </w:tc>
      </w:tr>
      <w:tr w:rsidR="00360825" w:rsidRPr="00DE1AA1" w14:paraId="4B773F4D"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5F2E7AE4" w14:textId="77777777" w:rsidR="00360825" w:rsidRPr="00DE1AA1" w:rsidRDefault="00360825" w:rsidP="00C04569">
            <w:pPr>
              <w:keepNext/>
              <w:spacing w:after="0" w:line="300" w:lineRule="auto"/>
              <w:rPr>
                <w:rFonts w:ascii="Arial" w:hAnsi="Arial" w:cs="Arial"/>
              </w:rPr>
            </w:pPr>
            <w:r w:rsidRPr="00DE1AA1">
              <w:rPr>
                <w:rFonts w:ascii="Arial" w:hAnsi="Arial" w:cs="Arial"/>
              </w:rPr>
              <w:t>Public administration, education and health</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52D606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67%</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08D85EF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6FC09DE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21%</w:t>
            </w:r>
          </w:p>
        </w:tc>
      </w:tr>
      <w:tr w:rsidR="00360825" w:rsidRPr="00DE1AA1" w14:paraId="438FEE6C"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38C43B6C" w14:textId="77777777" w:rsidR="00360825" w:rsidRPr="00DE1AA1" w:rsidRDefault="00360825" w:rsidP="00C04569">
            <w:pPr>
              <w:keepNext/>
              <w:spacing w:after="0" w:line="300" w:lineRule="auto"/>
              <w:rPr>
                <w:rFonts w:ascii="Arial" w:hAnsi="Arial" w:cs="Arial"/>
              </w:rPr>
            </w:pPr>
            <w:r w:rsidRPr="00DE1AA1">
              <w:rPr>
                <w:rFonts w:ascii="Arial" w:hAnsi="Arial" w:cs="Arial"/>
              </w:rPr>
              <w:t>Other</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5B287EE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59%</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3B98D6C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71757ED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w:t>
            </w:r>
          </w:p>
        </w:tc>
      </w:tr>
      <w:tr w:rsidR="00360825" w:rsidRPr="00DE1AA1" w14:paraId="230FD759"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03BA89DE" w14:textId="77777777" w:rsidR="00360825" w:rsidRPr="00DE1AA1" w:rsidRDefault="00360825" w:rsidP="00C04569">
            <w:pPr>
              <w:keepNext/>
              <w:spacing w:after="0" w:line="300" w:lineRule="auto"/>
              <w:rPr>
                <w:rFonts w:ascii="Arial" w:hAnsi="Arial" w:cs="Arial"/>
              </w:rPr>
            </w:pPr>
            <w:r w:rsidRPr="00DE1AA1">
              <w:rPr>
                <w:rFonts w:ascii="Arial" w:hAnsi="Arial" w:cs="Arial"/>
              </w:rPr>
              <w:t>All industries</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2647BAF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66%</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28DBEA0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7AEAC2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w:t>
            </w:r>
          </w:p>
        </w:tc>
      </w:tr>
    </w:tbl>
    <w:p w14:paraId="31C53020"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2011 Census</w:t>
      </w:r>
    </w:p>
    <w:p w14:paraId="74D3F75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It is also possible to consider the affordability of housing for essential workers by considering local salaries. An online assessment of local jobs (across West Sussex) for nurses, firefighters, teachers, police officers and childcare was undertaken in November 2021. This showed a range of salaries, but typically in the range of about £25,000 to £35,000 per annum. The average salary was around £30,000 although it does need to be noted that there are a variety of roles with a range of salaries in these professions depending on level of expertise and experience.</w:t>
      </w:r>
    </w:p>
    <w:p w14:paraId="02C4BBE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With a salary of £30,000, an individual might be able to buy a home for around £150,000 (based on a 10% deposit and 4.5 times mortgage multiple) and with two salaries at this level would be able to afford around £300,000. This latter figure would allow the household to afford to buy a home across much of the study area, but the single income would make home ownership difficult (particularly in higher value locations), and this population could be a potential target for affordable home ownership products.</w:t>
      </w:r>
    </w:p>
    <w:p w14:paraId="5068FA4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bookmarkStart w:id="30" w:name="_Hlk63340672"/>
      <w:r w:rsidRPr="00D556DB">
        <w:rPr>
          <w:rFonts w:ascii="Arial" w:hAnsi="Arial" w:cs="Arial"/>
        </w:rPr>
        <w:t>Overall, the analysis does not point towards there being a particular and specific need for affordable housing for essential workers. Such workers make up a similar part of the workforce as is the case in many areas they are about as likely to be owner-occupiers as other industry groups. However, on the basis of local incomes (notably for single income essential workers), access to the owner-occupied sector may be restricted by income and it may be appropriate to consider whether or not some affordable properties should be set aside for essential local workers</w:t>
      </w:r>
      <w:bookmarkEnd w:id="30"/>
      <w:r w:rsidRPr="00D556DB">
        <w:rPr>
          <w:rFonts w:ascii="Arial" w:hAnsi="Arial" w:cs="Arial"/>
        </w:rPr>
        <w:t>.</w:t>
      </w:r>
    </w:p>
    <w:p w14:paraId="6655AD6A"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Summary</w:t>
      </w:r>
    </w:p>
    <w:p w14:paraId="7FEA9A8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bookmarkStart w:id="31" w:name="_Hlk89090021"/>
      <w:r w:rsidRPr="00DE1AA1">
        <w:rPr>
          <w:rFonts w:ascii="Arial" w:hAnsi="Arial" w:cs="Arial"/>
        </w:rPr>
        <w:t xml:space="preserve">Analysis has been undertaken to estimate the need for affordable housing in the 2021-39 period. The analysis is split between a need for social/affordable rented accommodation and is based on households unable to buy or rent in the market and the need for affordable home ownership (AHO) </w:t>
      </w:r>
      <w:r w:rsidRPr="00DE1AA1">
        <w:rPr>
          <w:rFonts w:ascii="Arial" w:hAnsi="Arial" w:cs="Arial"/>
        </w:rPr>
        <w:lastRenderedPageBreak/>
        <w:t>– this includes housing for those who can afford to rent privately but cannot afford to buy a home and will include the potential market for First Homes.</w:t>
      </w:r>
    </w:p>
    <w:p w14:paraId="6636A01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The analysis has taken account of local housing costs (to both buy and rent) along with estimates of household income. Additionally, when looking at rented needs, consideration is given to estimates of the supply of social/affordable rented housing. For AHO, consideration is given to the potential supply of resales of low-cost home ownership properties (such as shared ownership).</w:t>
      </w:r>
    </w:p>
    <w:p w14:paraId="58A80F4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 xml:space="preserve">When looking at rented needs, the analysis suggests a need for </w:t>
      </w:r>
      <w:r>
        <w:rPr>
          <w:rFonts w:ascii="Arial" w:hAnsi="Arial" w:cs="Arial"/>
        </w:rPr>
        <w:t>278</w:t>
      </w:r>
      <w:r w:rsidRPr="00DE1AA1">
        <w:rPr>
          <w:rFonts w:ascii="Arial" w:hAnsi="Arial" w:cs="Arial"/>
        </w:rPr>
        <w:t xml:space="preserve"> affordable homes per annum across the whole study area, with a need shown for all individual sub-areas; the Council is therefore justified in seeking to secure additional affordable housing.</w:t>
      </w:r>
    </w:p>
    <w:p w14:paraId="425F2C33" w14:textId="77777777" w:rsidR="00360825" w:rsidRPr="00D556DB" w:rsidRDefault="00360825" w:rsidP="001A7584">
      <w:pPr>
        <w:pStyle w:val="Heading4"/>
        <w:ind w:firstLine="0"/>
      </w:pPr>
      <w:r w:rsidRPr="00D556DB">
        <w:t>Estimated Need for Social/Affordable Rented Housing by sub-area (per annum)</w:t>
      </w:r>
    </w:p>
    <w:tbl>
      <w:tblPr>
        <w:tblStyle w:val="TableTheme"/>
        <w:tblW w:w="5000" w:type="pct"/>
        <w:tblInd w:w="0" w:type="dxa"/>
        <w:tblLayout w:type="fixed"/>
        <w:tblLook w:val="04A0" w:firstRow="1" w:lastRow="0" w:firstColumn="1" w:lastColumn="0" w:noHBand="0" w:noVBand="1"/>
      </w:tblPr>
      <w:tblGrid>
        <w:gridCol w:w="1919"/>
        <w:gridCol w:w="1143"/>
        <w:gridCol w:w="1143"/>
        <w:gridCol w:w="1143"/>
        <w:gridCol w:w="1143"/>
        <w:gridCol w:w="1143"/>
        <w:gridCol w:w="1143"/>
      </w:tblGrid>
      <w:tr w:rsidR="00360825" w:rsidRPr="00DE1AA1" w14:paraId="3C310BFD" w14:textId="77777777" w:rsidTr="00C04569">
        <w:tc>
          <w:tcPr>
            <w:tcW w:w="1919" w:type="dxa"/>
            <w:tcBorders>
              <w:top w:val="single" w:sz="4" w:space="0" w:color="auto"/>
              <w:left w:val="single" w:sz="4" w:space="0" w:color="auto"/>
              <w:bottom w:val="single" w:sz="4" w:space="0" w:color="auto"/>
              <w:right w:val="single" w:sz="4" w:space="0" w:color="auto"/>
            </w:tcBorders>
            <w:shd w:val="clear" w:color="auto" w:fill="002060"/>
          </w:tcPr>
          <w:p w14:paraId="582F81B5" w14:textId="77777777" w:rsidR="00360825" w:rsidRPr="00D556DB" w:rsidRDefault="00360825" w:rsidP="00C04569">
            <w:pPr>
              <w:keepNext/>
              <w:spacing w:after="0" w:line="240" w:lineRule="auto"/>
              <w:jc w:val="left"/>
              <w:rPr>
                <w:rFonts w:ascii="Arial" w:hAnsi="Arial" w:cs="Arial"/>
                <w:b/>
              </w:rPr>
            </w:pP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18FED2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Current need</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9898FF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Newly forming house-holds</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64C34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Existing house-holds falling into need</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DA579C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 Gross Need</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3CA29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Relet Supply</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136BE5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Net Need</w:t>
            </w:r>
          </w:p>
        </w:tc>
      </w:tr>
      <w:tr w:rsidR="00360825" w:rsidRPr="00DE1AA1" w14:paraId="51FADFAE" w14:textId="77777777" w:rsidTr="00C04569">
        <w:tc>
          <w:tcPr>
            <w:tcW w:w="1919" w:type="dxa"/>
            <w:tcBorders>
              <w:top w:val="single" w:sz="4" w:space="0" w:color="auto"/>
              <w:left w:val="single" w:sz="4" w:space="0" w:color="auto"/>
              <w:bottom w:val="single" w:sz="4" w:space="0" w:color="auto"/>
              <w:right w:val="single" w:sz="4" w:space="0" w:color="auto"/>
            </w:tcBorders>
            <w:vAlign w:val="bottom"/>
            <w:hideMark/>
          </w:tcPr>
          <w:p w14:paraId="40A5B07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Chichester City</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F6FB0F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17</w:t>
            </w:r>
          </w:p>
        </w:tc>
        <w:tc>
          <w:tcPr>
            <w:tcW w:w="1143" w:type="dxa"/>
            <w:tcBorders>
              <w:top w:val="single" w:sz="4" w:space="0" w:color="auto"/>
              <w:left w:val="single" w:sz="4" w:space="0" w:color="auto"/>
              <w:bottom w:val="single" w:sz="4" w:space="0" w:color="auto"/>
              <w:right w:val="single" w:sz="4" w:space="0" w:color="auto"/>
            </w:tcBorders>
            <w:vAlign w:val="bottom"/>
            <w:hideMark/>
          </w:tcPr>
          <w:p w14:paraId="6AE5484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93</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91397D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FB6476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134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0EDE7BA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083AC74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50</w:t>
            </w:r>
          </w:p>
        </w:tc>
      </w:tr>
      <w:tr w:rsidR="00360825" w:rsidRPr="00DE1AA1" w14:paraId="5B1242BF" w14:textId="77777777" w:rsidTr="00C04569">
        <w:tc>
          <w:tcPr>
            <w:tcW w:w="1919" w:type="dxa"/>
            <w:tcBorders>
              <w:top w:val="single" w:sz="4" w:space="0" w:color="auto"/>
              <w:left w:val="single" w:sz="4" w:space="0" w:color="auto"/>
              <w:bottom w:val="single" w:sz="4" w:space="0" w:color="auto"/>
              <w:right w:val="single" w:sz="4" w:space="0" w:color="auto"/>
            </w:tcBorders>
            <w:vAlign w:val="bottom"/>
            <w:hideMark/>
          </w:tcPr>
          <w:p w14:paraId="2063F29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1143" w:type="dxa"/>
            <w:tcBorders>
              <w:top w:val="single" w:sz="4" w:space="0" w:color="auto"/>
              <w:left w:val="single" w:sz="4" w:space="0" w:color="auto"/>
              <w:bottom w:val="single" w:sz="4" w:space="0" w:color="auto"/>
              <w:right w:val="single" w:sz="4" w:space="0" w:color="auto"/>
            </w:tcBorders>
            <w:vAlign w:val="bottom"/>
            <w:hideMark/>
          </w:tcPr>
          <w:p w14:paraId="355EB00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9</w:t>
            </w:r>
          </w:p>
        </w:tc>
        <w:tc>
          <w:tcPr>
            <w:tcW w:w="1143" w:type="dxa"/>
            <w:tcBorders>
              <w:top w:val="single" w:sz="4" w:space="0" w:color="auto"/>
              <w:left w:val="single" w:sz="4" w:space="0" w:color="auto"/>
              <w:bottom w:val="single" w:sz="4" w:space="0" w:color="auto"/>
              <w:right w:val="single" w:sz="4" w:space="0" w:color="auto"/>
            </w:tcBorders>
            <w:vAlign w:val="bottom"/>
            <w:hideMark/>
          </w:tcPr>
          <w:p w14:paraId="0C92B05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71</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284BAB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68FD1ED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90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51959FE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4256EA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56</w:t>
            </w:r>
          </w:p>
        </w:tc>
      </w:tr>
      <w:tr w:rsidR="00360825" w:rsidRPr="00DE1AA1" w14:paraId="0A88DFCA" w14:textId="77777777" w:rsidTr="00C04569">
        <w:tc>
          <w:tcPr>
            <w:tcW w:w="1919" w:type="dxa"/>
            <w:tcBorders>
              <w:top w:val="single" w:sz="4" w:space="0" w:color="auto"/>
              <w:left w:val="single" w:sz="4" w:space="0" w:color="auto"/>
              <w:bottom w:val="single" w:sz="4" w:space="0" w:color="auto"/>
              <w:right w:val="single" w:sz="4" w:space="0" w:color="auto"/>
            </w:tcBorders>
            <w:vAlign w:val="bottom"/>
            <w:hideMark/>
          </w:tcPr>
          <w:p w14:paraId="66978A0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1143" w:type="dxa"/>
            <w:tcBorders>
              <w:top w:val="single" w:sz="4" w:space="0" w:color="auto"/>
              <w:left w:val="single" w:sz="4" w:space="0" w:color="auto"/>
              <w:bottom w:val="single" w:sz="4" w:space="0" w:color="auto"/>
              <w:right w:val="single" w:sz="4" w:space="0" w:color="auto"/>
            </w:tcBorders>
            <w:vAlign w:val="bottom"/>
            <w:hideMark/>
          </w:tcPr>
          <w:p w14:paraId="5E96226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15</w:t>
            </w:r>
          </w:p>
        </w:tc>
        <w:tc>
          <w:tcPr>
            <w:tcW w:w="1143" w:type="dxa"/>
            <w:tcBorders>
              <w:top w:val="single" w:sz="4" w:space="0" w:color="auto"/>
              <w:left w:val="single" w:sz="4" w:space="0" w:color="auto"/>
              <w:bottom w:val="single" w:sz="4" w:space="0" w:color="auto"/>
              <w:right w:val="single" w:sz="4" w:space="0" w:color="auto"/>
            </w:tcBorders>
            <w:vAlign w:val="bottom"/>
            <w:hideMark/>
          </w:tcPr>
          <w:p w14:paraId="40B3962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83</w:t>
            </w:r>
          </w:p>
        </w:tc>
        <w:tc>
          <w:tcPr>
            <w:tcW w:w="1143" w:type="dxa"/>
            <w:tcBorders>
              <w:top w:val="single" w:sz="4" w:space="0" w:color="auto"/>
              <w:left w:val="single" w:sz="4" w:space="0" w:color="auto"/>
              <w:bottom w:val="single" w:sz="4" w:space="0" w:color="auto"/>
              <w:right w:val="single" w:sz="4" w:space="0" w:color="auto"/>
            </w:tcBorders>
            <w:vAlign w:val="bottom"/>
            <w:hideMark/>
          </w:tcPr>
          <w:p w14:paraId="4495096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495773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108</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50BAD4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32</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C0297D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76</w:t>
            </w:r>
          </w:p>
        </w:tc>
      </w:tr>
      <w:tr w:rsidR="00360825" w:rsidRPr="00DE1AA1" w14:paraId="5BAE3F62" w14:textId="77777777" w:rsidTr="00C04569">
        <w:tc>
          <w:tcPr>
            <w:tcW w:w="1919" w:type="dxa"/>
            <w:tcBorders>
              <w:top w:val="single" w:sz="4" w:space="0" w:color="auto"/>
              <w:left w:val="single" w:sz="4" w:space="0" w:color="auto"/>
              <w:bottom w:val="single" w:sz="4" w:space="0" w:color="auto"/>
              <w:right w:val="single" w:sz="4" w:space="0" w:color="auto"/>
            </w:tcBorders>
            <w:vAlign w:val="bottom"/>
            <w:hideMark/>
          </w:tcPr>
          <w:p w14:paraId="3FFE0E7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07CD8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08B4D7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B28B93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w:t>
            </w:r>
          </w:p>
        </w:tc>
        <w:tc>
          <w:tcPr>
            <w:tcW w:w="1143" w:type="dxa"/>
            <w:tcBorders>
              <w:top w:val="single" w:sz="4" w:space="0" w:color="auto"/>
              <w:left w:val="single" w:sz="4" w:space="0" w:color="auto"/>
              <w:bottom w:val="single" w:sz="4" w:space="0" w:color="auto"/>
              <w:right w:val="single" w:sz="4" w:space="0" w:color="auto"/>
            </w:tcBorders>
            <w:vAlign w:val="bottom"/>
            <w:hideMark/>
          </w:tcPr>
          <w:p w14:paraId="045514D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4F0C807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9</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DA9870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27</w:t>
            </w:r>
          </w:p>
        </w:tc>
      </w:tr>
      <w:tr w:rsidR="00360825" w:rsidRPr="00DE1AA1" w14:paraId="233520A4" w14:textId="77777777" w:rsidTr="00C04569">
        <w:tc>
          <w:tcPr>
            <w:tcW w:w="1919" w:type="dxa"/>
            <w:tcBorders>
              <w:top w:val="single" w:sz="4" w:space="0" w:color="auto"/>
              <w:left w:val="single" w:sz="4" w:space="0" w:color="auto"/>
              <w:bottom w:val="single" w:sz="4" w:space="0" w:color="auto"/>
              <w:right w:val="single" w:sz="4" w:space="0" w:color="auto"/>
            </w:tcBorders>
            <w:vAlign w:val="bottom"/>
            <w:hideMark/>
          </w:tcPr>
          <w:p w14:paraId="46C267A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B0F050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A3FA59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102</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6C094D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551A765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136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33A9BA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A73454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70</w:t>
            </w:r>
          </w:p>
        </w:tc>
      </w:tr>
      <w:tr w:rsidR="00360825" w:rsidRPr="00DE1AA1" w14:paraId="42AE6918" w14:textId="77777777" w:rsidTr="00C04569">
        <w:tc>
          <w:tcPr>
            <w:tcW w:w="1919" w:type="dxa"/>
            <w:tcBorders>
              <w:top w:val="single" w:sz="4" w:space="0" w:color="auto"/>
              <w:left w:val="single" w:sz="4" w:space="0" w:color="auto"/>
              <w:bottom w:val="single" w:sz="4" w:space="0" w:color="auto"/>
              <w:right w:val="single" w:sz="4" w:space="0" w:color="auto"/>
            </w:tcBorders>
            <w:hideMark/>
          </w:tcPr>
          <w:p w14:paraId="4831EC6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E1AA1">
              <w:rPr>
                <w:rFonts w:ascii="Arial" w:hAnsi="Arial" w:cs="Arial"/>
              </w:rPr>
              <w:t>All properties</w:t>
            </w:r>
          </w:p>
        </w:tc>
        <w:tc>
          <w:tcPr>
            <w:tcW w:w="1143" w:type="dxa"/>
            <w:tcBorders>
              <w:top w:val="single" w:sz="4" w:space="0" w:color="auto"/>
              <w:left w:val="single" w:sz="4" w:space="0" w:color="auto"/>
              <w:bottom w:val="single" w:sz="4" w:space="0" w:color="auto"/>
              <w:right w:val="single" w:sz="4" w:space="0" w:color="auto"/>
            </w:tcBorders>
            <w:vAlign w:val="bottom"/>
            <w:hideMark/>
          </w:tcPr>
          <w:p w14:paraId="3E45EC9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58</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B91AB1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380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3E5DED4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66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34644E5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504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071DB35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226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975439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278</w:t>
            </w:r>
          </w:p>
        </w:tc>
      </w:tr>
    </w:tbl>
    <w:p w14:paraId="38029FE0" w14:textId="77777777" w:rsidR="00360825" w:rsidRPr="00DE1AA1" w:rsidRDefault="00360825" w:rsidP="00360825">
      <w:pPr>
        <w:widowControl w:val="0"/>
        <w:spacing w:line="300" w:lineRule="auto"/>
        <w:rPr>
          <w:rFonts w:ascii="Arial" w:hAnsi="Arial" w:cs="Arial"/>
          <w:i/>
          <w:iCs/>
          <w:sz w:val="16"/>
          <w:szCs w:val="16"/>
        </w:rPr>
      </w:pPr>
      <w:r w:rsidRPr="00DE1AA1">
        <w:rPr>
          <w:rFonts w:ascii="Arial" w:hAnsi="Arial" w:cs="Arial"/>
          <w:i/>
          <w:iCs/>
          <w:sz w:val="16"/>
          <w:szCs w:val="16"/>
        </w:rPr>
        <w:t>Source: Derived from a range of sources as set out below</w:t>
      </w:r>
    </w:p>
    <w:p w14:paraId="57BC2C4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Despite the level of need being high, it is not considered that this would necessarily point to any requirement for the Council to increase the Local Plan housing requirement. The link between affordable need and overall need (of all tenures) is complex and in trying to make a link it must be remembered that many of those picked up as having an affordable need are already in housing (and therefore do not generate a net additional need for a home). Additionally, most of the affordable need is already part of the demographic projections and so any additional provision would arguably be double counting. That said, the level of affordable need across areas can form part of the consideration of the distribution of housing for different location, along with an understanding of demographic trends and economic growth.</w:t>
      </w:r>
    </w:p>
    <w:p w14:paraId="68FB090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The analysis suggests there will be a need for both social and affordable rented housing – the latter will be suitable particularly for households who are close to being able to afford to rent privately and also for some households who claim full Housing Benefit. On this basis, it is not recommended that the Council has a rigid policy for the split between social and affordable rented housing, although the analysis is clear that both tenures of homes are likely to be required.</w:t>
      </w:r>
    </w:p>
    <w:p w14:paraId="0195AFE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lastRenderedPageBreak/>
        <w:t xml:space="preserve">When looking at the need for AHO products, the analysis also suggests a need across the study area (for </w:t>
      </w:r>
      <w:r>
        <w:rPr>
          <w:rFonts w:ascii="Arial" w:hAnsi="Arial" w:cs="Arial"/>
        </w:rPr>
        <w:t>301</w:t>
      </w:r>
      <w:r w:rsidRPr="00DE1AA1">
        <w:rPr>
          <w:rFonts w:ascii="Arial" w:hAnsi="Arial" w:cs="Arial"/>
        </w:rPr>
        <w:t xml:space="preserve"> per annum). In interpreting this figure, it should however be noted that there could be a significant additional supply from resales of market homes (below a lower quartile price) which arguably would mean there is a much more limited need for AHO.</w:t>
      </w:r>
    </w:p>
    <w:p w14:paraId="6689F56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Analysis does suggest that there are many households in Chichester who are being excluded from the owner-occupied sector (as evidenced by reductions in owners with a mortgage and increases in the size of the private rented sector). This suggests that a key issue in the study area is about access to capital (e.g. for deposits, stamp duty, legal costs) as well as potentially mortgage restrictions (e.g. where employment is temporary) rather than simply the cost of housing to buy.</w:t>
      </w:r>
    </w:p>
    <w:p w14:paraId="55984B0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The study also considers different types of AHO (notably First Homes and shared ownership) as each will have a role to play – shared ownership is likely to be suitable for households with more marginal affordability (those only just able to afford to privately rent) as it has the advantage of a lower deposit and subsidised rent.</w:t>
      </w:r>
    </w:p>
    <w:p w14:paraId="4E8261D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In deciding what types of affordable housing to provide, including a split between rented and home ownership products, the Council will need to consider the relative levels of need and also viability issues (recognising for example that providing AHO may be more viable and may therefore allow more units to be delivered, but at the same time noting that households with a need for rented housing are likely to have more acute needs and fewer housing options).</w:t>
      </w:r>
    </w:p>
    <w:p w14:paraId="7AEF83D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Overall, the analysis identifies a notable need for affordable housing, and it is clear that provision of new affordable housing is an important and pressing issue in the area. It does however need to be stressed that this report does not provide an affordable housing target; the amount of affordable housing delivered will be limited to the amount that can viably be provided. The evidence does however suggest that affordable housing delivery should be maximised where opportunities arise.</w:t>
      </w:r>
    </w:p>
    <w:bookmarkEnd w:id="31"/>
    <w:p w14:paraId="51A0AA30" w14:textId="77777777" w:rsidR="00360825" w:rsidRPr="00D556DB" w:rsidRDefault="00360825" w:rsidP="00360825">
      <w:pPr>
        <w:pStyle w:val="BodyText"/>
        <w:numPr>
          <w:ilvl w:val="0"/>
          <w:numId w:val="0"/>
        </w:numPr>
        <w:rPr>
          <w:rFonts w:ascii="Arial" w:hAnsi="Arial" w:cs="Arial"/>
        </w:rPr>
      </w:pPr>
    </w:p>
    <w:p w14:paraId="1BADD55F" w14:textId="77777777" w:rsidR="00360825" w:rsidRPr="00D556DB" w:rsidRDefault="00360825" w:rsidP="00360825">
      <w:pPr>
        <w:pStyle w:val="Heading1"/>
        <w:rPr>
          <w:rFonts w:ascii="Arial" w:hAnsi="Arial" w:cs="Arial"/>
        </w:rPr>
      </w:pPr>
      <w:bookmarkStart w:id="32" w:name="_Toc96358138"/>
      <w:bookmarkStart w:id="33" w:name="_Toc97716036"/>
      <w:r w:rsidRPr="00D556DB">
        <w:rPr>
          <w:rFonts w:ascii="Arial" w:hAnsi="Arial" w:cs="Arial"/>
        </w:rPr>
        <w:lastRenderedPageBreak/>
        <w:t>Housing Mix</w:t>
      </w:r>
      <w:bookmarkEnd w:id="32"/>
      <w:bookmarkEnd w:id="33"/>
    </w:p>
    <w:p w14:paraId="76DF607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This section considers the appropriate mix of housing across Chichester, with a particular focus on the sizes of homes required in different tenure groups. This section looks at a range of statistics in relation to families (generally described as households with dependent children) before moving on to look at how the number of households in different age groups are projected to change moving forward.</w:t>
      </w:r>
    </w:p>
    <w:p w14:paraId="7285D0CF"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Background Data</w:t>
      </w:r>
    </w:p>
    <w:p w14:paraId="12A88BF7"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eastAsiaTheme="minorHAnsi" w:hAnsi="Arial" w:cs="Arial"/>
          <w:lang w:eastAsia="en-US"/>
        </w:rPr>
        <w:t>The number of families in Chichester (defined for the purpose of this assessment as any household which contains at least one dependent child) totalled 11,800 as of the 2011 Census, accounting for 24% of households; this proportion is lower than the regional (29%) and national average (29%).</w:t>
      </w:r>
    </w:p>
    <w:p w14:paraId="670E3275" w14:textId="77777777" w:rsidR="00360825" w:rsidRPr="00D556DB" w:rsidRDefault="00360825" w:rsidP="001A7584">
      <w:pPr>
        <w:pStyle w:val="Heading4"/>
        <w:ind w:firstLine="0"/>
      </w:pPr>
      <w:r w:rsidRPr="00DE1AA1">
        <w:t xml:space="preserve">Households with </w:t>
      </w:r>
      <w:r w:rsidRPr="00D556DB">
        <w:t>dependent</w:t>
      </w:r>
      <w:r w:rsidRPr="00DE1AA1">
        <w:t xml:space="preserve"> children (2011)</w:t>
      </w:r>
    </w:p>
    <w:tbl>
      <w:tblPr>
        <w:tblStyle w:val="TableGrid"/>
        <w:tblW w:w="5000" w:type="pct"/>
        <w:tblLayout w:type="fixed"/>
        <w:tblLook w:val="04A0" w:firstRow="1" w:lastRow="0" w:firstColumn="1" w:lastColumn="0" w:noHBand="0" w:noVBand="1"/>
      </w:tblPr>
      <w:tblGrid>
        <w:gridCol w:w="1530"/>
        <w:gridCol w:w="529"/>
        <w:gridCol w:w="959"/>
        <w:gridCol w:w="960"/>
        <w:gridCol w:w="960"/>
        <w:gridCol w:w="959"/>
        <w:gridCol w:w="960"/>
        <w:gridCol w:w="960"/>
        <w:gridCol w:w="960"/>
      </w:tblGrid>
      <w:tr w:rsidR="00360825" w:rsidRPr="00DE1AA1" w14:paraId="51C2B62C" w14:textId="77777777" w:rsidTr="00010B1F">
        <w:trPr>
          <w:cantSplit/>
          <w:trHeight w:val="1263"/>
        </w:trPr>
        <w:tc>
          <w:tcPr>
            <w:tcW w:w="1530" w:type="dxa"/>
            <w:tcBorders>
              <w:top w:val="single" w:sz="4" w:space="0" w:color="auto"/>
              <w:left w:val="single" w:sz="4" w:space="0" w:color="auto"/>
              <w:bottom w:val="single" w:sz="4" w:space="0" w:color="auto"/>
              <w:right w:val="single" w:sz="4" w:space="0" w:color="auto"/>
            </w:tcBorders>
            <w:shd w:val="clear" w:color="auto" w:fill="002060"/>
          </w:tcPr>
          <w:p w14:paraId="26B2A765" w14:textId="77777777" w:rsidR="00360825" w:rsidRPr="00DE1AA1" w:rsidRDefault="00360825" w:rsidP="00C04569">
            <w:pPr>
              <w:spacing w:after="0" w:line="300" w:lineRule="auto"/>
              <w:jc w:val="left"/>
              <w:rPr>
                <w:rFonts w:ascii="Arial" w:eastAsiaTheme="minorHAnsi" w:hAnsi="Arial" w:cs="Arial"/>
                <w:color w:val="FFFFFF" w:themeColor="background1"/>
                <w:lang w:eastAsia="en-US"/>
              </w:rPr>
            </w:pPr>
          </w:p>
        </w:tc>
        <w:tc>
          <w:tcPr>
            <w:tcW w:w="529" w:type="dxa"/>
            <w:tcBorders>
              <w:top w:val="single" w:sz="4" w:space="0" w:color="auto"/>
              <w:left w:val="single" w:sz="4" w:space="0" w:color="auto"/>
              <w:bottom w:val="single" w:sz="4" w:space="0" w:color="auto"/>
              <w:right w:val="single" w:sz="4" w:space="0" w:color="auto"/>
            </w:tcBorders>
            <w:shd w:val="clear" w:color="auto" w:fill="002060"/>
          </w:tcPr>
          <w:p w14:paraId="2ECC8EF5"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color w:val="FFFFFF" w:themeColor="background1"/>
                <w:lang w:eastAsia="en-US"/>
              </w:rPr>
            </w:pPr>
          </w:p>
        </w:tc>
        <w:tc>
          <w:tcPr>
            <w:tcW w:w="959"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7895087E"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rPr>
              <w:t>Married couple</w:t>
            </w:r>
          </w:p>
        </w:tc>
        <w:tc>
          <w:tcPr>
            <w:tcW w:w="96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0873D285"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spacing w:val="-6"/>
              </w:rPr>
              <w:t>Cohabiting</w:t>
            </w:r>
            <w:r w:rsidRPr="00D556DB">
              <w:rPr>
                <w:rFonts w:ascii="Arial" w:hAnsi="Arial" w:cs="Arial"/>
                <w:color w:val="FFFFFF" w:themeColor="background1"/>
              </w:rPr>
              <w:t xml:space="preserve"> couple</w:t>
            </w:r>
          </w:p>
        </w:tc>
        <w:tc>
          <w:tcPr>
            <w:tcW w:w="96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5E5FFED3"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rPr>
              <w:t>Lone parent</w:t>
            </w:r>
          </w:p>
        </w:tc>
        <w:tc>
          <w:tcPr>
            <w:tcW w:w="959"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23BFBB92" w14:textId="7C390DF8"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rPr>
              <w:t xml:space="preserve">Other </w:t>
            </w:r>
            <w:r w:rsidRPr="00D556DB">
              <w:rPr>
                <w:rFonts w:ascii="Arial" w:hAnsi="Arial" w:cs="Arial"/>
                <w:color w:val="FFFFFF" w:themeColor="background1"/>
                <w:spacing w:val="-10"/>
              </w:rPr>
              <w:t>households</w:t>
            </w:r>
            <w:r w:rsidR="000215ED">
              <w:rPr>
                <w:rFonts w:ascii="Arial" w:hAnsi="Arial" w:cs="Arial"/>
                <w:color w:val="FFFFFF" w:themeColor="background1"/>
                <w:spacing w:val="-10"/>
              </w:rPr>
              <w:t xml:space="preserve"> *</w:t>
            </w:r>
          </w:p>
        </w:tc>
        <w:tc>
          <w:tcPr>
            <w:tcW w:w="96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307841CB" w14:textId="77777777" w:rsidR="00360825" w:rsidRDefault="00360825" w:rsidP="000215ED">
            <w:pPr>
              <w:keepNext/>
              <w:widowControl w:val="0"/>
              <w:autoSpaceDE w:val="0"/>
              <w:autoSpaceDN w:val="0"/>
              <w:adjustRightInd w:val="0"/>
              <w:spacing w:after="0" w:line="300" w:lineRule="auto"/>
              <w:ind w:left="113" w:right="113"/>
              <w:jc w:val="center"/>
              <w:rPr>
                <w:rFonts w:ascii="Arial" w:hAnsi="Arial" w:cs="Arial"/>
                <w:color w:val="FFFFFF" w:themeColor="background1"/>
                <w:spacing w:val="-10"/>
              </w:rPr>
            </w:pPr>
            <w:r w:rsidRPr="00D556DB">
              <w:rPr>
                <w:rFonts w:ascii="Arial" w:hAnsi="Arial" w:cs="Arial"/>
                <w:color w:val="FFFFFF" w:themeColor="background1"/>
              </w:rPr>
              <w:t xml:space="preserve">All other </w:t>
            </w:r>
            <w:r w:rsidRPr="00D556DB">
              <w:rPr>
                <w:rFonts w:ascii="Arial" w:hAnsi="Arial" w:cs="Arial"/>
                <w:color w:val="FFFFFF" w:themeColor="background1"/>
                <w:spacing w:val="-10"/>
              </w:rPr>
              <w:t>households</w:t>
            </w:r>
          </w:p>
          <w:p w14:paraId="0D8B9E7E" w14:textId="7285C20E" w:rsidR="004C6DCD" w:rsidRPr="00D556DB" w:rsidRDefault="004C6DCD"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Pr>
                <w:rFonts w:ascii="Arial" w:hAnsi="Arial" w:cs="Arial"/>
                <w:color w:val="FFFFFF" w:themeColor="background1"/>
                <w:spacing w:val="-10"/>
              </w:rPr>
              <w:t>No Children</w:t>
            </w:r>
          </w:p>
        </w:tc>
        <w:tc>
          <w:tcPr>
            <w:tcW w:w="96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404C0211"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rPr>
              <w:t>Total</w:t>
            </w:r>
          </w:p>
        </w:tc>
        <w:tc>
          <w:tcPr>
            <w:tcW w:w="96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3EF82C27"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rPr>
              <w:t xml:space="preserve">Total with </w:t>
            </w:r>
            <w:r w:rsidRPr="00D556DB">
              <w:rPr>
                <w:rFonts w:ascii="Arial" w:hAnsi="Arial" w:cs="Arial"/>
                <w:color w:val="FFFFFF" w:themeColor="background1"/>
                <w:spacing w:val="-10"/>
              </w:rPr>
              <w:t>dependent</w:t>
            </w:r>
            <w:r w:rsidRPr="00D556DB">
              <w:rPr>
                <w:rFonts w:ascii="Arial" w:hAnsi="Arial" w:cs="Arial"/>
                <w:color w:val="FFFFFF" w:themeColor="background1"/>
              </w:rPr>
              <w:t xml:space="preserve"> children</w:t>
            </w:r>
          </w:p>
        </w:tc>
      </w:tr>
      <w:tr w:rsidR="00360825" w:rsidRPr="00DE1AA1" w14:paraId="27592C91" w14:textId="77777777" w:rsidTr="00C04569">
        <w:tc>
          <w:tcPr>
            <w:tcW w:w="1530" w:type="dxa"/>
            <w:vMerge w:val="restart"/>
            <w:tcBorders>
              <w:top w:val="single" w:sz="4" w:space="0" w:color="auto"/>
              <w:left w:val="single" w:sz="4" w:space="0" w:color="auto"/>
              <w:bottom w:val="single" w:sz="4" w:space="0" w:color="auto"/>
              <w:right w:val="single" w:sz="4" w:space="0" w:color="auto"/>
            </w:tcBorders>
            <w:hideMark/>
          </w:tcPr>
          <w:p w14:paraId="35D3A64E" w14:textId="77777777" w:rsidR="00360825" w:rsidRPr="00DE1AA1" w:rsidRDefault="00360825" w:rsidP="00C04569">
            <w:pPr>
              <w:keepNext/>
              <w:widowControl w:val="0"/>
              <w:spacing w:after="0" w:line="300" w:lineRule="auto"/>
              <w:jc w:val="left"/>
              <w:rPr>
                <w:rFonts w:ascii="Arial" w:hAnsi="Arial" w:cs="Arial"/>
              </w:rPr>
            </w:pPr>
            <w:r w:rsidRPr="00DE1AA1">
              <w:rPr>
                <w:rFonts w:ascii="Arial" w:hAnsi="Arial" w:cs="Arial"/>
              </w:rPr>
              <w:t>Chichester District</w:t>
            </w:r>
          </w:p>
        </w:tc>
        <w:tc>
          <w:tcPr>
            <w:tcW w:w="529" w:type="dxa"/>
            <w:tcBorders>
              <w:top w:val="single" w:sz="4" w:space="0" w:color="auto"/>
              <w:left w:val="single" w:sz="4" w:space="0" w:color="auto"/>
              <w:bottom w:val="single" w:sz="4" w:space="0" w:color="auto"/>
              <w:right w:val="single" w:sz="4" w:space="0" w:color="auto"/>
            </w:tcBorders>
            <w:hideMark/>
          </w:tcPr>
          <w:p w14:paraId="139FBC88"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lang w:eastAsia="en-US"/>
              </w:rPr>
            </w:pPr>
            <w:r w:rsidRPr="00DE1AA1">
              <w:rPr>
                <w:rFonts w:ascii="Arial" w:eastAsiaTheme="minorHAnsi" w:hAnsi="Arial" w:cs="Arial"/>
                <w:lang w:eastAsia="en-US"/>
              </w:rPr>
              <w:t>No.</w:t>
            </w:r>
          </w:p>
        </w:tc>
        <w:tc>
          <w:tcPr>
            <w:tcW w:w="959" w:type="dxa"/>
            <w:tcBorders>
              <w:top w:val="single" w:sz="4" w:space="0" w:color="auto"/>
              <w:left w:val="single" w:sz="4" w:space="0" w:color="auto"/>
              <w:bottom w:val="single" w:sz="4" w:space="0" w:color="auto"/>
              <w:right w:val="single" w:sz="4" w:space="0" w:color="auto"/>
            </w:tcBorders>
            <w:vAlign w:val="bottom"/>
            <w:hideMark/>
          </w:tcPr>
          <w:p w14:paraId="721057B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7,242</w:t>
            </w:r>
          </w:p>
        </w:tc>
        <w:tc>
          <w:tcPr>
            <w:tcW w:w="960" w:type="dxa"/>
            <w:tcBorders>
              <w:top w:val="single" w:sz="4" w:space="0" w:color="auto"/>
              <w:left w:val="single" w:sz="4" w:space="0" w:color="auto"/>
              <w:bottom w:val="single" w:sz="4" w:space="0" w:color="auto"/>
              <w:right w:val="single" w:sz="4" w:space="0" w:color="auto"/>
            </w:tcBorders>
            <w:vAlign w:val="bottom"/>
            <w:hideMark/>
          </w:tcPr>
          <w:p w14:paraId="7802DF8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1,457</w:t>
            </w:r>
          </w:p>
        </w:tc>
        <w:tc>
          <w:tcPr>
            <w:tcW w:w="960" w:type="dxa"/>
            <w:tcBorders>
              <w:top w:val="single" w:sz="4" w:space="0" w:color="auto"/>
              <w:left w:val="single" w:sz="4" w:space="0" w:color="auto"/>
              <w:bottom w:val="single" w:sz="4" w:space="0" w:color="auto"/>
              <w:right w:val="single" w:sz="4" w:space="0" w:color="auto"/>
            </w:tcBorders>
            <w:vAlign w:val="bottom"/>
            <w:hideMark/>
          </w:tcPr>
          <w:p w14:paraId="214701A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2,293</w:t>
            </w:r>
          </w:p>
        </w:tc>
        <w:tc>
          <w:tcPr>
            <w:tcW w:w="959" w:type="dxa"/>
            <w:tcBorders>
              <w:top w:val="single" w:sz="4" w:space="0" w:color="auto"/>
              <w:left w:val="single" w:sz="4" w:space="0" w:color="auto"/>
              <w:bottom w:val="single" w:sz="4" w:space="0" w:color="auto"/>
              <w:right w:val="single" w:sz="4" w:space="0" w:color="auto"/>
            </w:tcBorders>
            <w:vAlign w:val="bottom"/>
            <w:hideMark/>
          </w:tcPr>
          <w:p w14:paraId="3C17775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835</w:t>
            </w:r>
          </w:p>
        </w:tc>
        <w:tc>
          <w:tcPr>
            <w:tcW w:w="960" w:type="dxa"/>
            <w:tcBorders>
              <w:top w:val="single" w:sz="4" w:space="0" w:color="auto"/>
              <w:left w:val="single" w:sz="4" w:space="0" w:color="auto"/>
              <w:bottom w:val="single" w:sz="4" w:space="0" w:color="auto"/>
              <w:right w:val="single" w:sz="4" w:space="0" w:color="auto"/>
            </w:tcBorders>
            <w:vAlign w:val="bottom"/>
            <w:hideMark/>
          </w:tcPr>
          <w:p w14:paraId="6B4A920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38,021</w:t>
            </w:r>
          </w:p>
        </w:tc>
        <w:tc>
          <w:tcPr>
            <w:tcW w:w="960" w:type="dxa"/>
            <w:tcBorders>
              <w:top w:val="single" w:sz="4" w:space="0" w:color="auto"/>
              <w:left w:val="single" w:sz="4" w:space="0" w:color="auto"/>
              <w:bottom w:val="single" w:sz="4" w:space="0" w:color="auto"/>
              <w:right w:val="single" w:sz="4" w:space="0" w:color="auto"/>
            </w:tcBorders>
            <w:vAlign w:val="bottom"/>
            <w:hideMark/>
          </w:tcPr>
          <w:p w14:paraId="26D2258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49,848</w:t>
            </w:r>
          </w:p>
        </w:tc>
        <w:tc>
          <w:tcPr>
            <w:tcW w:w="960" w:type="dxa"/>
            <w:tcBorders>
              <w:top w:val="single" w:sz="4" w:space="0" w:color="auto"/>
              <w:left w:val="single" w:sz="4" w:space="0" w:color="auto"/>
              <w:bottom w:val="single" w:sz="4" w:space="0" w:color="auto"/>
              <w:right w:val="single" w:sz="4" w:space="0" w:color="auto"/>
            </w:tcBorders>
            <w:vAlign w:val="bottom"/>
            <w:hideMark/>
          </w:tcPr>
          <w:p w14:paraId="66F6DBB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11,827</w:t>
            </w:r>
          </w:p>
        </w:tc>
      </w:tr>
      <w:tr w:rsidR="00360825" w:rsidRPr="00DE1AA1" w14:paraId="1FAE589B" w14:textId="77777777" w:rsidTr="00C04569">
        <w:tc>
          <w:tcPr>
            <w:tcW w:w="1530" w:type="dxa"/>
            <w:vMerge/>
            <w:tcBorders>
              <w:top w:val="single" w:sz="4" w:space="0" w:color="auto"/>
              <w:left w:val="single" w:sz="4" w:space="0" w:color="auto"/>
              <w:bottom w:val="single" w:sz="4" w:space="0" w:color="auto"/>
              <w:right w:val="single" w:sz="4" w:space="0" w:color="auto"/>
            </w:tcBorders>
            <w:vAlign w:val="center"/>
            <w:hideMark/>
          </w:tcPr>
          <w:p w14:paraId="230F8C05" w14:textId="77777777" w:rsidR="00360825" w:rsidRPr="00DE1AA1" w:rsidRDefault="00360825" w:rsidP="00C04569">
            <w:pPr>
              <w:spacing w:after="0" w:line="240" w:lineRule="auto"/>
              <w:jc w:val="left"/>
              <w:rPr>
                <w:rFonts w:ascii="Arial" w:hAnsi="Arial" w:cs="Arial"/>
              </w:rPr>
            </w:pPr>
          </w:p>
        </w:tc>
        <w:tc>
          <w:tcPr>
            <w:tcW w:w="529" w:type="dxa"/>
            <w:tcBorders>
              <w:top w:val="single" w:sz="4" w:space="0" w:color="auto"/>
              <w:left w:val="single" w:sz="4" w:space="0" w:color="auto"/>
              <w:bottom w:val="single" w:sz="4" w:space="0" w:color="auto"/>
              <w:right w:val="single" w:sz="4" w:space="0" w:color="auto"/>
            </w:tcBorders>
            <w:hideMark/>
          </w:tcPr>
          <w:p w14:paraId="267B7163"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lang w:eastAsia="en-US"/>
              </w:rPr>
            </w:pPr>
            <w:r w:rsidRPr="00DE1AA1">
              <w:rPr>
                <w:rFonts w:ascii="Arial" w:eastAsiaTheme="minorHAnsi" w:hAnsi="Arial" w:cs="Arial"/>
                <w:lang w:eastAsia="en-US"/>
              </w:rPr>
              <w:t>%</w:t>
            </w:r>
          </w:p>
        </w:tc>
        <w:tc>
          <w:tcPr>
            <w:tcW w:w="959" w:type="dxa"/>
            <w:tcBorders>
              <w:top w:val="single" w:sz="4" w:space="0" w:color="auto"/>
              <w:left w:val="single" w:sz="4" w:space="0" w:color="auto"/>
              <w:bottom w:val="single" w:sz="4" w:space="0" w:color="auto"/>
              <w:right w:val="single" w:sz="4" w:space="0" w:color="auto"/>
            </w:tcBorders>
            <w:vAlign w:val="bottom"/>
            <w:hideMark/>
          </w:tcPr>
          <w:p w14:paraId="68B9A71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14.5%</w:t>
            </w:r>
          </w:p>
        </w:tc>
        <w:tc>
          <w:tcPr>
            <w:tcW w:w="960" w:type="dxa"/>
            <w:tcBorders>
              <w:top w:val="single" w:sz="4" w:space="0" w:color="auto"/>
              <w:left w:val="single" w:sz="4" w:space="0" w:color="auto"/>
              <w:bottom w:val="single" w:sz="4" w:space="0" w:color="auto"/>
              <w:right w:val="single" w:sz="4" w:space="0" w:color="auto"/>
            </w:tcBorders>
            <w:vAlign w:val="bottom"/>
            <w:hideMark/>
          </w:tcPr>
          <w:p w14:paraId="354B620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w:t>
            </w:r>
          </w:p>
        </w:tc>
        <w:tc>
          <w:tcPr>
            <w:tcW w:w="960" w:type="dxa"/>
            <w:tcBorders>
              <w:top w:val="single" w:sz="4" w:space="0" w:color="auto"/>
              <w:left w:val="single" w:sz="4" w:space="0" w:color="auto"/>
              <w:bottom w:val="single" w:sz="4" w:space="0" w:color="auto"/>
              <w:right w:val="single" w:sz="4" w:space="0" w:color="auto"/>
            </w:tcBorders>
            <w:vAlign w:val="bottom"/>
            <w:hideMark/>
          </w:tcPr>
          <w:p w14:paraId="27FBEC5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4.6%</w:t>
            </w:r>
          </w:p>
        </w:tc>
        <w:tc>
          <w:tcPr>
            <w:tcW w:w="959" w:type="dxa"/>
            <w:tcBorders>
              <w:top w:val="single" w:sz="4" w:space="0" w:color="auto"/>
              <w:left w:val="single" w:sz="4" w:space="0" w:color="auto"/>
              <w:bottom w:val="single" w:sz="4" w:space="0" w:color="auto"/>
              <w:right w:val="single" w:sz="4" w:space="0" w:color="auto"/>
            </w:tcBorders>
            <w:vAlign w:val="bottom"/>
            <w:hideMark/>
          </w:tcPr>
          <w:p w14:paraId="06A600D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w:t>
            </w:r>
          </w:p>
        </w:tc>
        <w:tc>
          <w:tcPr>
            <w:tcW w:w="960" w:type="dxa"/>
            <w:tcBorders>
              <w:top w:val="single" w:sz="4" w:space="0" w:color="auto"/>
              <w:left w:val="single" w:sz="4" w:space="0" w:color="auto"/>
              <w:bottom w:val="single" w:sz="4" w:space="0" w:color="auto"/>
              <w:right w:val="single" w:sz="4" w:space="0" w:color="auto"/>
            </w:tcBorders>
            <w:vAlign w:val="bottom"/>
            <w:hideMark/>
          </w:tcPr>
          <w:p w14:paraId="297A5BD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76.3%</w:t>
            </w:r>
          </w:p>
        </w:tc>
        <w:tc>
          <w:tcPr>
            <w:tcW w:w="960" w:type="dxa"/>
            <w:tcBorders>
              <w:top w:val="single" w:sz="4" w:space="0" w:color="auto"/>
              <w:left w:val="single" w:sz="4" w:space="0" w:color="auto"/>
              <w:bottom w:val="single" w:sz="4" w:space="0" w:color="auto"/>
              <w:right w:val="single" w:sz="4" w:space="0" w:color="auto"/>
            </w:tcBorders>
            <w:vAlign w:val="bottom"/>
            <w:hideMark/>
          </w:tcPr>
          <w:p w14:paraId="56233CD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960" w:type="dxa"/>
            <w:tcBorders>
              <w:top w:val="single" w:sz="4" w:space="0" w:color="auto"/>
              <w:left w:val="single" w:sz="4" w:space="0" w:color="auto"/>
              <w:bottom w:val="single" w:sz="4" w:space="0" w:color="auto"/>
              <w:right w:val="single" w:sz="4" w:space="0" w:color="auto"/>
            </w:tcBorders>
            <w:vAlign w:val="bottom"/>
            <w:hideMark/>
          </w:tcPr>
          <w:p w14:paraId="20E22B9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23.7%</w:t>
            </w:r>
          </w:p>
        </w:tc>
      </w:tr>
      <w:tr w:rsidR="00360825" w:rsidRPr="00DE1AA1" w14:paraId="7B46A962" w14:textId="77777777" w:rsidTr="00C04569">
        <w:tc>
          <w:tcPr>
            <w:tcW w:w="1530" w:type="dxa"/>
            <w:tcBorders>
              <w:top w:val="single" w:sz="4" w:space="0" w:color="auto"/>
              <w:left w:val="single" w:sz="4" w:space="0" w:color="auto"/>
              <w:bottom w:val="single" w:sz="4" w:space="0" w:color="auto"/>
              <w:right w:val="single" w:sz="4" w:space="0" w:color="auto"/>
            </w:tcBorders>
            <w:hideMark/>
          </w:tcPr>
          <w:p w14:paraId="7E8A009B"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rPr>
              <w:t>West Sussex</w:t>
            </w:r>
          </w:p>
        </w:tc>
        <w:tc>
          <w:tcPr>
            <w:tcW w:w="529" w:type="dxa"/>
            <w:tcBorders>
              <w:top w:val="single" w:sz="4" w:space="0" w:color="auto"/>
              <w:left w:val="single" w:sz="4" w:space="0" w:color="auto"/>
              <w:bottom w:val="single" w:sz="4" w:space="0" w:color="auto"/>
              <w:right w:val="single" w:sz="4" w:space="0" w:color="auto"/>
            </w:tcBorders>
            <w:hideMark/>
          </w:tcPr>
          <w:p w14:paraId="0F463365"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lang w:eastAsia="en-US"/>
              </w:rPr>
            </w:pPr>
            <w:r w:rsidRPr="00DE1AA1">
              <w:rPr>
                <w:rFonts w:ascii="Arial" w:eastAsiaTheme="minorHAnsi" w:hAnsi="Arial" w:cs="Arial"/>
                <w:lang w:eastAsia="en-US"/>
              </w:rPr>
              <w:t>%</w:t>
            </w:r>
          </w:p>
        </w:tc>
        <w:tc>
          <w:tcPr>
            <w:tcW w:w="959" w:type="dxa"/>
            <w:tcBorders>
              <w:top w:val="single" w:sz="4" w:space="0" w:color="auto"/>
              <w:left w:val="single" w:sz="4" w:space="0" w:color="auto"/>
              <w:bottom w:val="single" w:sz="4" w:space="0" w:color="auto"/>
              <w:right w:val="single" w:sz="4" w:space="0" w:color="auto"/>
            </w:tcBorders>
            <w:vAlign w:val="bottom"/>
            <w:hideMark/>
          </w:tcPr>
          <w:p w14:paraId="132E718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15.9%</w:t>
            </w:r>
          </w:p>
        </w:tc>
        <w:tc>
          <w:tcPr>
            <w:tcW w:w="960" w:type="dxa"/>
            <w:tcBorders>
              <w:top w:val="single" w:sz="4" w:space="0" w:color="auto"/>
              <w:left w:val="single" w:sz="4" w:space="0" w:color="auto"/>
              <w:bottom w:val="single" w:sz="4" w:space="0" w:color="auto"/>
              <w:right w:val="single" w:sz="4" w:space="0" w:color="auto"/>
            </w:tcBorders>
            <w:vAlign w:val="bottom"/>
            <w:hideMark/>
          </w:tcPr>
          <w:p w14:paraId="77C6E91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3.5%</w:t>
            </w:r>
          </w:p>
        </w:tc>
        <w:tc>
          <w:tcPr>
            <w:tcW w:w="960" w:type="dxa"/>
            <w:tcBorders>
              <w:top w:val="single" w:sz="4" w:space="0" w:color="auto"/>
              <w:left w:val="single" w:sz="4" w:space="0" w:color="auto"/>
              <w:bottom w:val="single" w:sz="4" w:space="0" w:color="auto"/>
              <w:right w:val="single" w:sz="4" w:space="0" w:color="auto"/>
            </w:tcBorders>
            <w:vAlign w:val="bottom"/>
            <w:hideMark/>
          </w:tcPr>
          <w:p w14:paraId="24E9F4E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5.4%</w:t>
            </w:r>
          </w:p>
        </w:tc>
        <w:tc>
          <w:tcPr>
            <w:tcW w:w="959" w:type="dxa"/>
            <w:tcBorders>
              <w:top w:val="single" w:sz="4" w:space="0" w:color="auto"/>
              <w:left w:val="single" w:sz="4" w:space="0" w:color="auto"/>
              <w:bottom w:val="single" w:sz="4" w:space="0" w:color="auto"/>
              <w:right w:val="single" w:sz="4" w:space="0" w:color="auto"/>
            </w:tcBorders>
            <w:vAlign w:val="bottom"/>
            <w:hideMark/>
          </w:tcPr>
          <w:p w14:paraId="3E64DCA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w:t>
            </w:r>
          </w:p>
        </w:tc>
        <w:tc>
          <w:tcPr>
            <w:tcW w:w="960" w:type="dxa"/>
            <w:tcBorders>
              <w:top w:val="single" w:sz="4" w:space="0" w:color="auto"/>
              <w:left w:val="single" w:sz="4" w:space="0" w:color="auto"/>
              <w:bottom w:val="single" w:sz="4" w:space="0" w:color="auto"/>
              <w:right w:val="single" w:sz="4" w:space="0" w:color="auto"/>
            </w:tcBorders>
            <w:vAlign w:val="bottom"/>
            <w:hideMark/>
          </w:tcPr>
          <w:p w14:paraId="3E72600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73.1%</w:t>
            </w:r>
          </w:p>
        </w:tc>
        <w:tc>
          <w:tcPr>
            <w:tcW w:w="960" w:type="dxa"/>
            <w:tcBorders>
              <w:top w:val="single" w:sz="4" w:space="0" w:color="auto"/>
              <w:left w:val="single" w:sz="4" w:space="0" w:color="auto"/>
              <w:bottom w:val="single" w:sz="4" w:space="0" w:color="auto"/>
              <w:right w:val="single" w:sz="4" w:space="0" w:color="auto"/>
            </w:tcBorders>
            <w:vAlign w:val="bottom"/>
            <w:hideMark/>
          </w:tcPr>
          <w:p w14:paraId="44DB4A4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960" w:type="dxa"/>
            <w:tcBorders>
              <w:top w:val="single" w:sz="4" w:space="0" w:color="auto"/>
              <w:left w:val="single" w:sz="4" w:space="0" w:color="auto"/>
              <w:bottom w:val="single" w:sz="4" w:space="0" w:color="auto"/>
              <w:right w:val="single" w:sz="4" w:space="0" w:color="auto"/>
            </w:tcBorders>
            <w:vAlign w:val="bottom"/>
            <w:hideMark/>
          </w:tcPr>
          <w:p w14:paraId="2BBC8BA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26.9%</w:t>
            </w:r>
          </w:p>
        </w:tc>
      </w:tr>
      <w:tr w:rsidR="00360825" w:rsidRPr="00DE1AA1" w14:paraId="5B69FD6A" w14:textId="77777777" w:rsidTr="00C04569">
        <w:tc>
          <w:tcPr>
            <w:tcW w:w="1530" w:type="dxa"/>
            <w:tcBorders>
              <w:top w:val="single" w:sz="4" w:space="0" w:color="auto"/>
              <w:left w:val="single" w:sz="4" w:space="0" w:color="auto"/>
              <w:bottom w:val="single" w:sz="4" w:space="0" w:color="auto"/>
              <w:right w:val="single" w:sz="4" w:space="0" w:color="auto"/>
            </w:tcBorders>
            <w:hideMark/>
          </w:tcPr>
          <w:p w14:paraId="60DD1062"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rPr>
              <w:t>South East</w:t>
            </w:r>
          </w:p>
        </w:tc>
        <w:tc>
          <w:tcPr>
            <w:tcW w:w="529" w:type="dxa"/>
            <w:tcBorders>
              <w:top w:val="single" w:sz="4" w:space="0" w:color="auto"/>
              <w:left w:val="single" w:sz="4" w:space="0" w:color="auto"/>
              <w:bottom w:val="single" w:sz="4" w:space="0" w:color="auto"/>
              <w:right w:val="single" w:sz="4" w:space="0" w:color="auto"/>
            </w:tcBorders>
            <w:hideMark/>
          </w:tcPr>
          <w:p w14:paraId="1BCA5C24"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lang w:eastAsia="en-US"/>
              </w:rPr>
            </w:pPr>
            <w:r w:rsidRPr="00DE1AA1">
              <w:rPr>
                <w:rFonts w:ascii="Arial" w:eastAsiaTheme="minorHAnsi" w:hAnsi="Arial" w:cs="Arial"/>
                <w:lang w:eastAsia="en-US"/>
              </w:rPr>
              <w:t>%</w:t>
            </w:r>
          </w:p>
        </w:tc>
        <w:tc>
          <w:tcPr>
            <w:tcW w:w="959" w:type="dxa"/>
            <w:tcBorders>
              <w:top w:val="single" w:sz="4" w:space="0" w:color="auto"/>
              <w:left w:val="single" w:sz="4" w:space="0" w:color="auto"/>
              <w:bottom w:val="single" w:sz="4" w:space="0" w:color="auto"/>
              <w:right w:val="single" w:sz="4" w:space="0" w:color="auto"/>
            </w:tcBorders>
            <w:vAlign w:val="bottom"/>
            <w:hideMark/>
          </w:tcPr>
          <w:p w14:paraId="3D3D911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17.1%</w:t>
            </w:r>
          </w:p>
        </w:tc>
        <w:tc>
          <w:tcPr>
            <w:tcW w:w="960" w:type="dxa"/>
            <w:tcBorders>
              <w:top w:val="single" w:sz="4" w:space="0" w:color="auto"/>
              <w:left w:val="single" w:sz="4" w:space="0" w:color="auto"/>
              <w:bottom w:val="single" w:sz="4" w:space="0" w:color="auto"/>
              <w:right w:val="single" w:sz="4" w:space="0" w:color="auto"/>
            </w:tcBorders>
            <w:vAlign w:val="bottom"/>
            <w:hideMark/>
          </w:tcPr>
          <w:p w14:paraId="7DF317A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3.9%</w:t>
            </w:r>
          </w:p>
        </w:tc>
        <w:tc>
          <w:tcPr>
            <w:tcW w:w="960" w:type="dxa"/>
            <w:tcBorders>
              <w:top w:val="single" w:sz="4" w:space="0" w:color="auto"/>
              <w:left w:val="single" w:sz="4" w:space="0" w:color="auto"/>
              <w:bottom w:val="single" w:sz="4" w:space="0" w:color="auto"/>
              <w:right w:val="single" w:sz="4" w:space="0" w:color="auto"/>
            </w:tcBorders>
            <w:vAlign w:val="bottom"/>
            <w:hideMark/>
          </w:tcPr>
          <w:p w14:paraId="71DF8A1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6.1%</w:t>
            </w:r>
          </w:p>
        </w:tc>
        <w:tc>
          <w:tcPr>
            <w:tcW w:w="959" w:type="dxa"/>
            <w:tcBorders>
              <w:top w:val="single" w:sz="4" w:space="0" w:color="auto"/>
              <w:left w:val="single" w:sz="4" w:space="0" w:color="auto"/>
              <w:bottom w:val="single" w:sz="4" w:space="0" w:color="auto"/>
              <w:right w:val="single" w:sz="4" w:space="0" w:color="auto"/>
            </w:tcBorders>
            <w:vAlign w:val="bottom"/>
            <w:hideMark/>
          </w:tcPr>
          <w:p w14:paraId="27C2143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w:t>
            </w:r>
          </w:p>
        </w:tc>
        <w:tc>
          <w:tcPr>
            <w:tcW w:w="960" w:type="dxa"/>
            <w:tcBorders>
              <w:top w:val="single" w:sz="4" w:space="0" w:color="auto"/>
              <w:left w:val="single" w:sz="4" w:space="0" w:color="auto"/>
              <w:bottom w:val="single" w:sz="4" w:space="0" w:color="auto"/>
              <w:right w:val="single" w:sz="4" w:space="0" w:color="auto"/>
            </w:tcBorders>
            <w:vAlign w:val="bottom"/>
            <w:hideMark/>
          </w:tcPr>
          <w:p w14:paraId="5B8F275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70.6%</w:t>
            </w:r>
          </w:p>
        </w:tc>
        <w:tc>
          <w:tcPr>
            <w:tcW w:w="960" w:type="dxa"/>
            <w:tcBorders>
              <w:top w:val="single" w:sz="4" w:space="0" w:color="auto"/>
              <w:left w:val="single" w:sz="4" w:space="0" w:color="auto"/>
              <w:bottom w:val="single" w:sz="4" w:space="0" w:color="auto"/>
              <w:right w:val="single" w:sz="4" w:space="0" w:color="auto"/>
            </w:tcBorders>
            <w:vAlign w:val="bottom"/>
            <w:hideMark/>
          </w:tcPr>
          <w:p w14:paraId="1DE479B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960" w:type="dxa"/>
            <w:tcBorders>
              <w:top w:val="single" w:sz="4" w:space="0" w:color="auto"/>
              <w:left w:val="single" w:sz="4" w:space="0" w:color="auto"/>
              <w:bottom w:val="single" w:sz="4" w:space="0" w:color="auto"/>
              <w:right w:val="single" w:sz="4" w:space="0" w:color="auto"/>
            </w:tcBorders>
            <w:vAlign w:val="bottom"/>
            <w:hideMark/>
          </w:tcPr>
          <w:p w14:paraId="611E1DC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29.4%</w:t>
            </w:r>
          </w:p>
        </w:tc>
      </w:tr>
      <w:tr w:rsidR="00360825" w:rsidRPr="00DE1AA1" w14:paraId="25C2AB92" w14:textId="77777777" w:rsidTr="00C04569">
        <w:tc>
          <w:tcPr>
            <w:tcW w:w="1530" w:type="dxa"/>
            <w:tcBorders>
              <w:top w:val="single" w:sz="4" w:space="0" w:color="auto"/>
              <w:left w:val="single" w:sz="4" w:space="0" w:color="auto"/>
              <w:bottom w:val="single" w:sz="4" w:space="0" w:color="auto"/>
              <w:right w:val="single" w:sz="4" w:space="0" w:color="auto"/>
            </w:tcBorders>
            <w:hideMark/>
          </w:tcPr>
          <w:p w14:paraId="0C2BB157"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rPr>
              <w:t>England</w:t>
            </w:r>
          </w:p>
        </w:tc>
        <w:tc>
          <w:tcPr>
            <w:tcW w:w="529" w:type="dxa"/>
            <w:tcBorders>
              <w:top w:val="single" w:sz="4" w:space="0" w:color="auto"/>
              <w:left w:val="single" w:sz="4" w:space="0" w:color="auto"/>
              <w:bottom w:val="single" w:sz="4" w:space="0" w:color="auto"/>
              <w:right w:val="single" w:sz="4" w:space="0" w:color="auto"/>
            </w:tcBorders>
            <w:hideMark/>
          </w:tcPr>
          <w:p w14:paraId="033F0451"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lang w:eastAsia="en-US"/>
              </w:rPr>
            </w:pPr>
            <w:r w:rsidRPr="00DE1AA1">
              <w:rPr>
                <w:rFonts w:ascii="Arial" w:eastAsiaTheme="minorHAnsi" w:hAnsi="Arial" w:cs="Arial"/>
                <w:lang w:eastAsia="en-US"/>
              </w:rPr>
              <w:t>%</w:t>
            </w:r>
          </w:p>
        </w:tc>
        <w:tc>
          <w:tcPr>
            <w:tcW w:w="959" w:type="dxa"/>
            <w:tcBorders>
              <w:top w:val="single" w:sz="4" w:space="0" w:color="auto"/>
              <w:left w:val="single" w:sz="4" w:space="0" w:color="auto"/>
              <w:bottom w:val="single" w:sz="4" w:space="0" w:color="auto"/>
              <w:right w:val="single" w:sz="4" w:space="0" w:color="auto"/>
            </w:tcBorders>
            <w:vAlign w:val="bottom"/>
            <w:hideMark/>
          </w:tcPr>
          <w:p w14:paraId="2395434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15.3%</w:t>
            </w:r>
          </w:p>
        </w:tc>
        <w:tc>
          <w:tcPr>
            <w:tcW w:w="960" w:type="dxa"/>
            <w:tcBorders>
              <w:top w:val="single" w:sz="4" w:space="0" w:color="auto"/>
              <w:left w:val="single" w:sz="4" w:space="0" w:color="auto"/>
              <w:bottom w:val="single" w:sz="4" w:space="0" w:color="auto"/>
              <w:right w:val="single" w:sz="4" w:space="0" w:color="auto"/>
            </w:tcBorders>
            <w:vAlign w:val="bottom"/>
            <w:hideMark/>
          </w:tcPr>
          <w:p w14:paraId="30421EC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4.0%</w:t>
            </w:r>
          </w:p>
        </w:tc>
        <w:tc>
          <w:tcPr>
            <w:tcW w:w="960" w:type="dxa"/>
            <w:tcBorders>
              <w:top w:val="single" w:sz="4" w:space="0" w:color="auto"/>
              <w:left w:val="single" w:sz="4" w:space="0" w:color="auto"/>
              <w:bottom w:val="single" w:sz="4" w:space="0" w:color="auto"/>
              <w:right w:val="single" w:sz="4" w:space="0" w:color="auto"/>
            </w:tcBorders>
            <w:vAlign w:val="bottom"/>
            <w:hideMark/>
          </w:tcPr>
          <w:p w14:paraId="73A3CD6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7.1%</w:t>
            </w:r>
          </w:p>
        </w:tc>
        <w:tc>
          <w:tcPr>
            <w:tcW w:w="959" w:type="dxa"/>
            <w:tcBorders>
              <w:top w:val="single" w:sz="4" w:space="0" w:color="auto"/>
              <w:left w:val="single" w:sz="4" w:space="0" w:color="auto"/>
              <w:bottom w:val="single" w:sz="4" w:space="0" w:color="auto"/>
              <w:right w:val="single" w:sz="4" w:space="0" w:color="auto"/>
            </w:tcBorders>
            <w:vAlign w:val="bottom"/>
            <w:hideMark/>
          </w:tcPr>
          <w:p w14:paraId="6E0BADB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w:t>
            </w:r>
          </w:p>
        </w:tc>
        <w:tc>
          <w:tcPr>
            <w:tcW w:w="960" w:type="dxa"/>
            <w:tcBorders>
              <w:top w:val="single" w:sz="4" w:space="0" w:color="auto"/>
              <w:left w:val="single" w:sz="4" w:space="0" w:color="auto"/>
              <w:bottom w:val="single" w:sz="4" w:space="0" w:color="auto"/>
              <w:right w:val="single" w:sz="4" w:space="0" w:color="auto"/>
            </w:tcBorders>
            <w:vAlign w:val="bottom"/>
            <w:hideMark/>
          </w:tcPr>
          <w:p w14:paraId="5114932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70.9%</w:t>
            </w:r>
          </w:p>
        </w:tc>
        <w:tc>
          <w:tcPr>
            <w:tcW w:w="960" w:type="dxa"/>
            <w:tcBorders>
              <w:top w:val="single" w:sz="4" w:space="0" w:color="auto"/>
              <w:left w:val="single" w:sz="4" w:space="0" w:color="auto"/>
              <w:bottom w:val="single" w:sz="4" w:space="0" w:color="auto"/>
              <w:right w:val="single" w:sz="4" w:space="0" w:color="auto"/>
            </w:tcBorders>
            <w:vAlign w:val="bottom"/>
            <w:hideMark/>
          </w:tcPr>
          <w:p w14:paraId="1D5E569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960" w:type="dxa"/>
            <w:tcBorders>
              <w:top w:val="single" w:sz="4" w:space="0" w:color="auto"/>
              <w:left w:val="single" w:sz="4" w:space="0" w:color="auto"/>
              <w:bottom w:val="single" w:sz="4" w:space="0" w:color="auto"/>
              <w:right w:val="single" w:sz="4" w:space="0" w:color="auto"/>
            </w:tcBorders>
            <w:vAlign w:val="bottom"/>
            <w:hideMark/>
          </w:tcPr>
          <w:p w14:paraId="472D091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29.1%</w:t>
            </w:r>
          </w:p>
        </w:tc>
      </w:tr>
    </w:tbl>
    <w:p w14:paraId="383CCF50" w14:textId="07A3C060" w:rsidR="00360825" w:rsidRPr="00D556DB"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Census (2011)</w:t>
      </w:r>
      <w:r w:rsidR="000215ED">
        <w:rPr>
          <w:rFonts w:ascii="Arial" w:hAnsi="Arial" w:cs="Arial"/>
          <w:i/>
          <w:iCs/>
          <w:sz w:val="16"/>
          <w:szCs w:val="16"/>
        </w:rPr>
        <w:t xml:space="preserve"> * Other households </w:t>
      </w:r>
      <w:r w:rsidR="004C6DCD">
        <w:rPr>
          <w:rFonts w:ascii="Arial" w:hAnsi="Arial" w:cs="Arial"/>
          <w:i/>
          <w:iCs/>
          <w:sz w:val="16"/>
          <w:szCs w:val="16"/>
        </w:rPr>
        <w:t>are households which include</w:t>
      </w:r>
      <w:r w:rsidR="000215ED">
        <w:rPr>
          <w:rFonts w:ascii="Arial" w:hAnsi="Arial" w:cs="Arial"/>
          <w:i/>
          <w:iCs/>
          <w:sz w:val="16"/>
          <w:szCs w:val="16"/>
        </w:rPr>
        <w:t xml:space="preserve"> unrelated adults </w:t>
      </w:r>
      <w:r w:rsidR="004C6DCD">
        <w:rPr>
          <w:rFonts w:ascii="Arial" w:hAnsi="Arial" w:cs="Arial"/>
          <w:i/>
          <w:iCs/>
          <w:sz w:val="16"/>
          <w:szCs w:val="16"/>
        </w:rPr>
        <w:t>sharing</w:t>
      </w:r>
    </w:p>
    <w:p w14:paraId="0FEA10A6"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eastAsiaTheme="minorHAnsi" w:hAnsi="Arial" w:cs="Arial"/>
          <w:lang w:eastAsia="en-US"/>
        </w:rPr>
        <w:t>The table below shows the same information for each sub-area. The analysis shows relatively few family households in Chichester (21%) and 31% of households in Plan Area North; this area also sees a higher proportion of married couple households with children than other locations.</w:t>
      </w:r>
    </w:p>
    <w:p w14:paraId="218D68F4" w14:textId="77777777" w:rsidR="00360825" w:rsidRPr="00D556DB" w:rsidRDefault="00360825" w:rsidP="001A7584">
      <w:pPr>
        <w:pStyle w:val="Heading4"/>
        <w:ind w:firstLine="0"/>
      </w:pPr>
      <w:r w:rsidRPr="00DE1AA1">
        <w:lastRenderedPageBreak/>
        <w:t>Households with dependent children (2011) – sub-areas</w:t>
      </w:r>
    </w:p>
    <w:tbl>
      <w:tblPr>
        <w:tblStyle w:val="TableGridLight1"/>
        <w:tblW w:w="5000" w:type="pct"/>
        <w:tblInd w:w="0" w:type="dxa"/>
        <w:tblLayout w:type="fixed"/>
        <w:tblLook w:val="04A0" w:firstRow="1" w:lastRow="0" w:firstColumn="1" w:lastColumn="0" w:noHBand="0" w:noVBand="1"/>
      </w:tblPr>
      <w:tblGrid>
        <w:gridCol w:w="1627"/>
        <w:gridCol w:w="1020"/>
        <w:gridCol w:w="1021"/>
        <w:gridCol w:w="1022"/>
        <w:gridCol w:w="1021"/>
        <w:gridCol w:w="1022"/>
        <w:gridCol w:w="1022"/>
        <w:gridCol w:w="1022"/>
      </w:tblGrid>
      <w:tr w:rsidR="00360825" w:rsidRPr="00DE1AA1" w14:paraId="553CEA22" w14:textId="77777777" w:rsidTr="00010B1F">
        <w:trPr>
          <w:cantSplit/>
          <w:trHeight w:val="1549"/>
        </w:trPr>
        <w:tc>
          <w:tcPr>
            <w:tcW w:w="1627" w:type="dxa"/>
            <w:tcBorders>
              <w:top w:val="single" w:sz="4" w:space="0" w:color="auto"/>
              <w:left w:val="single" w:sz="4" w:space="0" w:color="auto"/>
              <w:bottom w:val="single" w:sz="4" w:space="0" w:color="auto"/>
              <w:right w:val="single" w:sz="4" w:space="0" w:color="auto"/>
            </w:tcBorders>
            <w:shd w:val="clear" w:color="auto" w:fill="002060"/>
          </w:tcPr>
          <w:p w14:paraId="49001868" w14:textId="77777777" w:rsidR="00360825" w:rsidRPr="00DE1AA1" w:rsidRDefault="00360825" w:rsidP="00C04569">
            <w:pPr>
              <w:keepNext/>
              <w:spacing w:after="0" w:line="300" w:lineRule="auto"/>
              <w:jc w:val="left"/>
              <w:rPr>
                <w:rFonts w:ascii="Arial" w:eastAsiaTheme="minorHAnsi" w:hAnsi="Arial" w:cs="Arial"/>
                <w:color w:val="FFFFFF" w:themeColor="background1"/>
              </w:rPr>
            </w:pPr>
          </w:p>
        </w:tc>
        <w:tc>
          <w:tcPr>
            <w:tcW w:w="102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23B5175D"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Married couple</w:t>
            </w:r>
          </w:p>
        </w:tc>
        <w:tc>
          <w:tcPr>
            <w:tcW w:w="1021"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754E0C7F"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Cohabiting couple</w:t>
            </w:r>
          </w:p>
        </w:tc>
        <w:tc>
          <w:tcPr>
            <w:tcW w:w="1022"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4E424970"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Lone parent</w:t>
            </w:r>
          </w:p>
        </w:tc>
        <w:tc>
          <w:tcPr>
            <w:tcW w:w="1021"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60083DB4"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 xml:space="preserve">Other </w:t>
            </w:r>
            <w:r w:rsidRPr="00D556DB">
              <w:rPr>
                <w:rFonts w:ascii="Arial" w:hAnsi="Arial" w:cs="Arial"/>
                <w:color w:val="FFFFFF" w:themeColor="background1"/>
                <w:spacing w:val="-4"/>
              </w:rPr>
              <w:t>households</w:t>
            </w:r>
          </w:p>
        </w:tc>
        <w:tc>
          <w:tcPr>
            <w:tcW w:w="1022"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4F25D742" w14:textId="77777777" w:rsidR="00360825" w:rsidRDefault="00360825" w:rsidP="000215ED">
            <w:pPr>
              <w:keepNext/>
              <w:widowControl w:val="0"/>
              <w:autoSpaceDE w:val="0"/>
              <w:autoSpaceDN w:val="0"/>
              <w:adjustRightInd w:val="0"/>
              <w:spacing w:after="0" w:line="300" w:lineRule="auto"/>
              <w:ind w:left="113" w:right="113"/>
              <w:jc w:val="center"/>
              <w:rPr>
                <w:rFonts w:ascii="Arial" w:hAnsi="Arial" w:cs="Arial"/>
                <w:color w:val="FFFFFF" w:themeColor="background1"/>
                <w:spacing w:val="-4"/>
              </w:rPr>
            </w:pPr>
            <w:r w:rsidRPr="00D556DB">
              <w:rPr>
                <w:rFonts w:ascii="Arial" w:hAnsi="Arial" w:cs="Arial"/>
                <w:color w:val="FFFFFF" w:themeColor="background1"/>
              </w:rPr>
              <w:t xml:space="preserve">All other </w:t>
            </w:r>
            <w:r w:rsidRPr="00D556DB">
              <w:rPr>
                <w:rFonts w:ascii="Arial" w:hAnsi="Arial" w:cs="Arial"/>
                <w:color w:val="FFFFFF" w:themeColor="background1"/>
                <w:spacing w:val="-4"/>
              </w:rPr>
              <w:t>households</w:t>
            </w:r>
          </w:p>
          <w:p w14:paraId="3734116F" w14:textId="5E82751F" w:rsidR="004C6DCD" w:rsidRPr="00D556DB" w:rsidRDefault="004C6DCD"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Pr>
                <w:rFonts w:ascii="Arial" w:hAnsi="Arial" w:cs="Arial"/>
                <w:color w:val="FFFFFF" w:themeColor="background1"/>
                <w:spacing w:val="-4"/>
              </w:rPr>
              <w:t>No  Children</w:t>
            </w:r>
          </w:p>
        </w:tc>
        <w:tc>
          <w:tcPr>
            <w:tcW w:w="1022"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638DB081"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Total</w:t>
            </w:r>
          </w:p>
        </w:tc>
        <w:tc>
          <w:tcPr>
            <w:tcW w:w="1022"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4DB93541"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Total with dependent children</w:t>
            </w:r>
          </w:p>
        </w:tc>
      </w:tr>
      <w:tr w:rsidR="00360825" w:rsidRPr="00DE1AA1" w14:paraId="7DE28D15"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1CEF0D4B"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Chichester City</w:t>
            </w:r>
          </w:p>
        </w:tc>
        <w:tc>
          <w:tcPr>
            <w:tcW w:w="1020" w:type="dxa"/>
            <w:tcBorders>
              <w:top w:val="single" w:sz="4" w:space="0" w:color="auto"/>
              <w:left w:val="single" w:sz="4" w:space="0" w:color="auto"/>
              <w:bottom w:val="single" w:sz="4" w:space="0" w:color="auto"/>
              <w:right w:val="single" w:sz="4" w:space="0" w:color="auto"/>
            </w:tcBorders>
            <w:vAlign w:val="bottom"/>
            <w:hideMark/>
          </w:tcPr>
          <w:p w14:paraId="19DDC22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11.0%</w:t>
            </w:r>
          </w:p>
        </w:tc>
        <w:tc>
          <w:tcPr>
            <w:tcW w:w="1021" w:type="dxa"/>
            <w:tcBorders>
              <w:top w:val="single" w:sz="4" w:space="0" w:color="auto"/>
              <w:left w:val="single" w:sz="4" w:space="0" w:color="auto"/>
              <w:bottom w:val="single" w:sz="4" w:space="0" w:color="auto"/>
              <w:right w:val="single" w:sz="4" w:space="0" w:color="auto"/>
            </w:tcBorders>
            <w:vAlign w:val="bottom"/>
            <w:hideMark/>
          </w:tcPr>
          <w:p w14:paraId="6B6E05B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w:t>
            </w:r>
          </w:p>
        </w:tc>
        <w:tc>
          <w:tcPr>
            <w:tcW w:w="1022" w:type="dxa"/>
            <w:tcBorders>
              <w:top w:val="single" w:sz="4" w:space="0" w:color="auto"/>
              <w:left w:val="single" w:sz="4" w:space="0" w:color="auto"/>
              <w:bottom w:val="single" w:sz="4" w:space="0" w:color="auto"/>
              <w:right w:val="single" w:sz="4" w:space="0" w:color="auto"/>
            </w:tcBorders>
            <w:vAlign w:val="bottom"/>
            <w:hideMark/>
          </w:tcPr>
          <w:p w14:paraId="76DE3C7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5.2%</w:t>
            </w:r>
          </w:p>
        </w:tc>
        <w:tc>
          <w:tcPr>
            <w:tcW w:w="1021" w:type="dxa"/>
            <w:tcBorders>
              <w:top w:val="single" w:sz="4" w:space="0" w:color="auto"/>
              <w:left w:val="single" w:sz="4" w:space="0" w:color="auto"/>
              <w:bottom w:val="single" w:sz="4" w:space="0" w:color="auto"/>
              <w:right w:val="single" w:sz="4" w:space="0" w:color="auto"/>
            </w:tcBorders>
            <w:vAlign w:val="bottom"/>
            <w:hideMark/>
          </w:tcPr>
          <w:p w14:paraId="46C3366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4A0A6FF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79.1%</w:t>
            </w:r>
          </w:p>
        </w:tc>
        <w:tc>
          <w:tcPr>
            <w:tcW w:w="1022" w:type="dxa"/>
            <w:tcBorders>
              <w:top w:val="single" w:sz="4" w:space="0" w:color="auto"/>
              <w:left w:val="single" w:sz="4" w:space="0" w:color="auto"/>
              <w:bottom w:val="single" w:sz="4" w:space="0" w:color="auto"/>
              <w:right w:val="single" w:sz="4" w:space="0" w:color="auto"/>
            </w:tcBorders>
            <w:vAlign w:val="bottom"/>
            <w:hideMark/>
          </w:tcPr>
          <w:p w14:paraId="0D766E8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137B57C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20.9%</w:t>
            </w:r>
          </w:p>
        </w:tc>
      </w:tr>
      <w:tr w:rsidR="00360825" w:rsidRPr="00DE1AA1" w14:paraId="0B914CC9"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774B5623"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EW Corridor</w:t>
            </w:r>
          </w:p>
        </w:tc>
        <w:tc>
          <w:tcPr>
            <w:tcW w:w="1020" w:type="dxa"/>
            <w:tcBorders>
              <w:top w:val="single" w:sz="4" w:space="0" w:color="auto"/>
              <w:left w:val="single" w:sz="4" w:space="0" w:color="auto"/>
              <w:bottom w:val="single" w:sz="4" w:space="0" w:color="auto"/>
              <w:right w:val="single" w:sz="4" w:space="0" w:color="auto"/>
            </w:tcBorders>
            <w:vAlign w:val="bottom"/>
            <w:hideMark/>
          </w:tcPr>
          <w:p w14:paraId="2034722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17.1%</w:t>
            </w:r>
          </w:p>
        </w:tc>
        <w:tc>
          <w:tcPr>
            <w:tcW w:w="1021" w:type="dxa"/>
            <w:tcBorders>
              <w:top w:val="single" w:sz="4" w:space="0" w:color="auto"/>
              <w:left w:val="single" w:sz="4" w:space="0" w:color="auto"/>
              <w:bottom w:val="single" w:sz="4" w:space="0" w:color="auto"/>
              <w:right w:val="single" w:sz="4" w:space="0" w:color="auto"/>
            </w:tcBorders>
            <w:vAlign w:val="bottom"/>
            <w:hideMark/>
          </w:tcPr>
          <w:p w14:paraId="170B27B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3.4%</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200700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4.7%</w:t>
            </w:r>
          </w:p>
        </w:tc>
        <w:tc>
          <w:tcPr>
            <w:tcW w:w="1021" w:type="dxa"/>
            <w:tcBorders>
              <w:top w:val="single" w:sz="4" w:space="0" w:color="auto"/>
              <w:left w:val="single" w:sz="4" w:space="0" w:color="auto"/>
              <w:bottom w:val="single" w:sz="4" w:space="0" w:color="auto"/>
              <w:right w:val="single" w:sz="4" w:space="0" w:color="auto"/>
            </w:tcBorders>
            <w:vAlign w:val="bottom"/>
            <w:hideMark/>
          </w:tcPr>
          <w:p w14:paraId="05D590E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w:t>
            </w:r>
          </w:p>
        </w:tc>
        <w:tc>
          <w:tcPr>
            <w:tcW w:w="1022" w:type="dxa"/>
            <w:tcBorders>
              <w:top w:val="single" w:sz="4" w:space="0" w:color="auto"/>
              <w:left w:val="single" w:sz="4" w:space="0" w:color="auto"/>
              <w:bottom w:val="single" w:sz="4" w:space="0" w:color="auto"/>
              <w:right w:val="single" w:sz="4" w:space="0" w:color="auto"/>
            </w:tcBorders>
            <w:vAlign w:val="bottom"/>
            <w:hideMark/>
          </w:tcPr>
          <w:p w14:paraId="6D24029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72.9%</w:t>
            </w:r>
          </w:p>
        </w:tc>
        <w:tc>
          <w:tcPr>
            <w:tcW w:w="1022" w:type="dxa"/>
            <w:tcBorders>
              <w:top w:val="single" w:sz="4" w:space="0" w:color="auto"/>
              <w:left w:val="single" w:sz="4" w:space="0" w:color="auto"/>
              <w:bottom w:val="single" w:sz="4" w:space="0" w:color="auto"/>
              <w:right w:val="single" w:sz="4" w:space="0" w:color="auto"/>
            </w:tcBorders>
            <w:vAlign w:val="bottom"/>
            <w:hideMark/>
          </w:tcPr>
          <w:p w14:paraId="1985636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D4357F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27.1%</w:t>
            </w:r>
          </w:p>
        </w:tc>
      </w:tr>
      <w:tr w:rsidR="00360825" w:rsidRPr="00DE1AA1" w14:paraId="7F157A0C"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603B7024"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Manhood</w:t>
            </w:r>
          </w:p>
        </w:tc>
        <w:tc>
          <w:tcPr>
            <w:tcW w:w="1020" w:type="dxa"/>
            <w:tcBorders>
              <w:top w:val="single" w:sz="4" w:space="0" w:color="auto"/>
              <w:left w:val="single" w:sz="4" w:space="0" w:color="auto"/>
              <w:bottom w:val="single" w:sz="4" w:space="0" w:color="auto"/>
              <w:right w:val="single" w:sz="4" w:space="0" w:color="auto"/>
            </w:tcBorders>
            <w:vAlign w:val="bottom"/>
            <w:hideMark/>
          </w:tcPr>
          <w:p w14:paraId="634A0CF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12.1%</w:t>
            </w:r>
          </w:p>
        </w:tc>
        <w:tc>
          <w:tcPr>
            <w:tcW w:w="1021" w:type="dxa"/>
            <w:tcBorders>
              <w:top w:val="single" w:sz="4" w:space="0" w:color="auto"/>
              <w:left w:val="single" w:sz="4" w:space="0" w:color="auto"/>
              <w:bottom w:val="single" w:sz="4" w:space="0" w:color="auto"/>
              <w:right w:val="single" w:sz="4" w:space="0" w:color="auto"/>
            </w:tcBorders>
            <w:vAlign w:val="bottom"/>
            <w:hideMark/>
          </w:tcPr>
          <w:p w14:paraId="2AE02B2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74E5808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4.5%</w:t>
            </w:r>
          </w:p>
        </w:tc>
        <w:tc>
          <w:tcPr>
            <w:tcW w:w="1021" w:type="dxa"/>
            <w:tcBorders>
              <w:top w:val="single" w:sz="4" w:space="0" w:color="auto"/>
              <w:left w:val="single" w:sz="4" w:space="0" w:color="auto"/>
              <w:bottom w:val="single" w:sz="4" w:space="0" w:color="auto"/>
              <w:right w:val="single" w:sz="4" w:space="0" w:color="auto"/>
            </w:tcBorders>
            <w:vAlign w:val="bottom"/>
            <w:hideMark/>
          </w:tcPr>
          <w:p w14:paraId="23811F8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BA2449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78.7%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0B2E65E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0E08B50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21.3%</w:t>
            </w:r>
          </w:p>
        </w:tc>
      </w:tr>
      <w:tr w:rsidR="00360825" w:rsidRPr="00DE1AA1" w14:paraId="2B7B70FC"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75F81A83"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Plan Area North</w:t>
            </w:r>
          </w:p>
        </w:tc>
        <w:tc>
          <w:tcPr>
            <w:tcW w:w="1020" w:type="dxa"/>
            <w:tcBorders>
              <w:top w:val="single" w:sz="4" w:space="0" w:color="auto"/>
              <w:left w:val="single" w:sz="4" w:space="0" w:color="auto"/>
              <w:bottom w:val="single" w:sz="4" w:space="0" w:color="auto"/>
              <w:right w:val="single" w:sz="4" w:space="0" w:color="auto"/>
            </w:tcBorders>
            <w:vAlign w:val="bottom"/>
            <w:hideMark/>
          </w:tcPr>
          <w:p w14:paraId="4A1E130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22.6%</w:t>
            </w:r>
          </w:p>
        </w:tc>
        <w:tc>
          <w:tcPr>
            <w:tcW w:w="1021" w:type="dxa"/>
            <w:tcBorders>
              <w:top w:val="single" w:sz="4" w:space="0" w:color="auto"/>
              <w:left w:val="single" w:sz="4" w:space="0" w:color="auto"/>
              <w:bottom w:val="single" w:sz="4" w:space="0" w:color="auto"/>
              <w:right w:val="single" w:sz="4" w:space="0" w:color="auto"/>
            </w:tcBorders>
            <w:vAlign w:val="bottom"/>
            <w:hideMark/>
          </w:tcPr>
          <w:p w14:paraId="7ECD65C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8C6B33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3.8%</w:t>
            </w:r>
          </w:p>
        </w:tc>
        <w:tc>
          <w:tcPr>
            <w:tcW w:w="1021" w:type="dxa"/>
            <w:tcBorders>
              <w:top w:val="single" w:sz="4" w:space="0" w:color="auto"/>
              <w:left w:val="single" w:sz="4" w:space="0" w:color="auto"/>
              <w:bottom w:val="single" w:sz="4" w:space="0" w:color="auto"/>
              <w:right w:val="single" w:sz="4" w:space="0" w:color="auto"/>
            </w:tcBorders>
            <w:vAlign w:val="bottom"/>
            <w:hideMark/>
          </w:tcPr>
          <w:p w14:paraId="69D67E6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64BD0AF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69.3%</w:t>
            </w:r>
          </w:p>
        </w:tc>
        <w:tc>
          <w:tcPr>
            <w:tcW w:w="1022" w:type="dxa"/>
            <w:tcBorders>
              <w:top w:val="single" w:sz="4" w:space="0" w:color="auto"/>
              <w:left w:val="single" w:sz="4" w:space="0" w:color="auto"/>
              <w:bottom w:val="single" w:sz="4" w:space="0" w:color="auto"/>
              <w:right w:val="single" w:sz="4" w:space="0" w:color="auto"/>
            </w:tcBorders>
            <w:vAlign w:val="bottom"/>
            <w:hideMark/>
          </w:tcPr>
          <w:p w14:paraId="4359963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5EE5A86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30.7%</w:t>
            </w:r>
          </w:p>
        </w:tc>
      </w:tr>
      <w:tr w:rsidR="00360825" w:rsidRPr="00DE1AA1" w14:paraId="79AEBD5E"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39AA320A"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SDNP</w:t>
            </w:r>
          </w:p>
        </w:tc>
        <w:tc>
          <w:tcPr>
            <w:tcW w:w="1020" w:type="dxa"/>
            <w:tcBorders>
              <w:top w:val="single" w:sz="4" w:space="0" w:color="auto"/>
              <w:left w:val="single" w:sz="4" w:space="0" w:color="auto"/>
              <w:bottom w:val="single" w:sz="4" w:space="0" w:color="auto"/>
              <w:right w:val="single" w:sz="4" w:space="0" w:color="auto"/>
            </w:tcBorders>
            <w:vAlign w:val="bottom"/>
            <w:hideMark/>
          </w:tcPr>
          <w:p w14:paraId="514E6FD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16.1%</w:t>
            </w:r>
          </w:p>
        </w:tc>
        <w:tc>
          <w:tcPr>
            <w:tcW w:w="1021" w:type="dxa"/>
            <w:tcBorders>
              <w:top w:val="single" w:sz="4" w:space="0" w:color="auto"/>
              <w:left w:val="single" w:sz="4" w:space="0" w:color="auto"/>
              <w:bottom w:val="single" w:sz="4" w:space="0" w:color="auto"/>
              <w:right w:val="single" w:sz="4" w:space="0" w:color="auto"/>
            </w:tcBorders>
            <w:vAlign w:val="bottom"/>
            <w:hideMark/>
          </w:tcPr>
          <w:p w14:paraId="49256C8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3BC0BC8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4.3%</w:t>
            </w:r>
          </w:p>
        </w:tc>
        <w:tc>
          <w:tcPr>
            <w:tcW w:w="1021" w:type="dxa"/>
            <w:tcBorders>
              <w:top w:val="single" w:sz="4" w:space="0" w:color="auto"/>
              <w:left w:val="single" w:sz="4" w:space="0" w:color="auto"/>
              <w:bottom w:val="single" w:sz="4" w:space="0" w:color="auto"/>
              <w:right w:val="single" w:sz="4" w:space="0" w:color="auto"/>
            </w:tcBorders>
            <w:vAlign w:val="bottom"/>
            <w:hideMark/>
          </w:tcPr>
          <w:p w14:paraId="6C0D3FD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1.3%</w:t>
            </w:r>
          </w:p>
        </w:tc>
        <w:tc>
          <w:tcPr>
            <w:tcW w:w="1022" w:type="dxa"/>
            <w:tcBorders>
              <w:top w:val="single" w:sz="4" w:space="0" w:color="auto"/>
              <w:left w:val="single" w:sz="4" w:space="0" w:color="auto"/>
              <w:bottom w:val="single" w:sz="4" w:space="0" w:color="auto"/>
              <w:right w:val="single" w:sz="4" w:space="0" w:color="auto"/>
            </w:tcBorders>
            <w:vAlign w:val="bottom"/>
            <w:hideMark/>
          </w:tcPr>
          <w:p w14:paraId="5356E8C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75.5%</w:t>
            </w:r>
          </w:p>
        </w:tc>
        <w:tc>
          <w:tcPr>
            <w:tcW w:w="1022" w:type="dxa"/>
            <w:tcBorders>
              <w:top w:val="single" w:sz="4" w:space="0" w:color="auto"/>
              <w:left w:val="single" w:sz="4" w:space="0" w:color="auto"/>
              <w:bottom w:val="single" w:sz="4" w:space="0" w:color="auto"/>
              <w:right w:val="single" w:sz="4" w:space="0" w:color="auto"/>
            </w:tcBorders>
            <w:vAlign w:val="bottom"/>
            <w:hideMark/>
          </w:tcPr>
          <w:p w14:paraId="482E0E9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9F3667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24.5%</w:t>
            </w:r>
          </w:p>
        </w:tc>
      </w:tr>
      <w:tr w:rsidR="00360825" w:rsidRPr="00DE1AA1" w14:paraId="7428B994"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3FA3ACB2"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TOTAL</w:t>
            </w:r>
          </w:p>
        </w:tc>
        <w:tc>
          <w:tcPr>
            <w:tcW w:w="1020" w:type="dxa"/>
            <w:tcBorders>
              <w:top w:val="single" w:sz="4" w:space="0" w:color="auto"/>
              <w:left w:val="single" w:sz="4" w:space="0" w:color="auto"/>
              <w:bottom w:val="single" w:sz="4" w:space="0" w:color="auto"/>
              <w:right w:val="single" w:sz="4" w:space="0" w:color="auto"/>
            </w:tcBorders>
            <w:vAlign w:val="bottom"/>
            <w:hideMark/>
          </w:tcPr>
          <w:p w14:paraId="0524F1B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14.5%</w:t>
            </w:r>
          </w:p>
        </w:tc>
        <w:tc>
          <w:tcPr>
            <w:tcW w:w="1021" w:type="dxa"/>
            <w:tcBorders>
              <w:top w:val="single" w:sz="4" w:space="0" w:color="auto"/>
              <w:left w:val="single" w:sz="4" w:space="0" w:color="auto"/>
              <w:bottom w:val="single" w:sz="4" w:space="0" w:color="auto"/>
              <w:right w:val="single" w:sz="4" w:space="0" w:color="auto"/>
            </w:tcBorders>
            <w:vAlign w:val="bottom"/>
            <w:hideMark/>
          </w:tcPr>
          <w:p w14:paraId="7559FD8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w:t>
            </w:r>
          </w:p>
        </w:tc>
        <w:tc>
          <w:tcPr>
            <w:tcW w:w="1022" w:type="dxa"/>
            <w:tcBorders>
              <w:top w:val="single" w:sz="4" w:space="0" w:color="auto"/>
              <w:left w:val="single" w:sz="4" w:space="0" w:color="auto"/>
              <w:bottom w:val="single" w:sz="4" w:space="0" w:color="auto"/>
              <w:right w:val="single" w:sz="4" w:space="0" w:color="auto"/>
            </w:tcBorders>
            <w:vAlign w:val="bottom"/>
            <w:hideMark/>
          </w:tcPr>
          <w:p w14:paraId="185F19A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4.6%</w:t>
            </w:r>
          </w:p>
        </w:tc>
        <w:tc>
          <w:tcPr>
            <w:tcW w:w="1021" w:type="dxa"/>
            <w:tcBorders>
              <w:top w:val="single" w:sz="4" w:space="0" w:color="auto"/>
              <w:left w:val="single" w:sz="4" w:space="0" w:color="auto"/>
              <w:bottom w:val="single" w:sz="4" w:space="0" w:color="auto"/>
              <w:right w:val="single" w:sz="4" w:space="0" w:color="auto"/>
            </w:tcBorders>
            <w:vAlign w:val="bottom"/>
            <w:hideMark/>
          </w:tcPr>
          <w:p w14:paraId="1367E2C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1373AE3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76.3%</w:t>
            </w:r>
          </w:p>
        </w:tc>
        <w:tc>
          <w:tcPr>
            <w:tcW w:w="1022" w:type="dxa"/>
            <w:tcBorders>
              <w:top w:val="single" w:sz="4" w:space="0" w:color="auto"/>
              <w:left w:val="single" w:sz="4" w:space="0" w:color="auto"/>
              <w:bottom w:val="single" w:sz="4" w:space="0" w:color="auto"/>
              <w:right w:val="single" w:sz="4" w:space="0" w:color="auto"/>
            </w:tcBorders>
            <w:vAlign w:val="bottom"/>
            <w:hideMark/>
          </w:tcPr>
          <w:p w14:paraId="57EFE14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8A2447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23.7%</w:t>
            </w:r>
          </w:p>
        </w:tc>
      </w:tr>
    </w:tbl>
    <w:p w14:paraId="58C582DC" w14:textId="4BC4F3C9" w:rsidR="004C6DCD" w:rsidRPr="00D556DB" w:rsidRDefault="00360825" w:rsidP="004C6DCD">
      <w:pPr>
        <w:spacing w:line="300" w:lineRule="auto"/>
        <w:jc w:val="left"/>
        <w:rPr>
          <w:rFonts w:ascii="Arial" w:hAnsi="Arial" w:cs="Arial"/>
          <w:i/>
          <w:iCs/>
          <w:sz w:val="16"/>
          <w:szCs w:val="16"/>
        </w:rPr>
      </w:pPr>
      <w:r w:rsidRPr="00D556DB">
        <w:rPr>
          <w:rFonts w:ascii="Arial" w:hAnsi="Arial" w:cs="Arial"/>
          <w:i/>
          <w:iCs/>
          <w:sz w:val="16"/>
          <w:szCs w:val="16"/>
        </w:rPr>
        <w:t>Source: Census (2011)</w:t>
      </w:r>
      <w:r w:rsidR="004C6DCD" w:rsidRPr="004C6DCD">
        <w:rPr>
          <w:rFonts w:ascii="Arial" w:hAnsi="Arial" w:cs="Arial"/>
          <w:i/>
          <w:iCs/>
          <w:sz w:val="16"/>
          <w:szCs w:val="16"/>
        </w:rPr>
        <w:t xml:space="preserve"> </w:t>
      </w:r>
      <w:r w:rsidR="004C6DCD">
        <w:rPr>
          <w:rFonts w:ascii="Arial" w:hAnsi="Arial" w:cs="Arial"/>
          <w:i/>
          <w:iCs/>
          <w:sz w:val="16"/>
          <w:szCs w:val="16"/>
        </w:rPr>
        <w:t>* Other households are households which include unrelated adults sharing</w:t>
      </w:r>
    </w:p>
    <w:p w14:paraId="59645FBF" w14:textId="2C3A185A" w:rsidR="00360825" w:rsidRPr="00D556DB" w:rsidRDefault="00360825" w:rsidP="00360825">
      <w:pPr>
        <w:spacing w:line="300" w:lineRule="auto"/>
        <w:jc w:val="left"/>
        <w:rPr>
          <w:rFonts w:ascii="Arial" w:hAnsi="Arial" w:cs="Arial"/>
          <w:i/>
          <w:iCs/>
          <w:sz w:val="16"/>
          <w:szCs w:val="16"/>
        </w:rPr>
      </w:pPr>
    </w:p>
    <w:p w14:paraId="7AB9FB5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the current tenure of households with dependent children. There are some considerable differences by household type with lone parents having a very high proportion living in the social rented sector and also in private rented accommodation. In Chichester, only 34% of lone parent households are owner-occupiers compared with 73% of married couples with children.</w:t>
      </w:r>
    </w:p>
    <w:p w14:paraId="4BEB904B" w14:textId="77777777" w:rsidR="00360825" w:rsidRPr="00D556DB" w:rsidRDefault="00360825" w:rsidP="001A7584">
      <w:pPr>
        <w:pStyle w:val="Heading4"/>
        <w:ind w:firstLine="0"/>
      </w:pPr>
      <w:r w:rsidRPr="00DE1AA1">
        <w:t xml:space="preserve">Tenure of households with dependent children </w:t>
      </w:r>
      <w:r w:rsidRPr="00D556DB">
        <w:t>(2011) – Chichester District</w:t>
      </w:r>
    </w:p>
    <w:p w14:paraId="270B71E0" w14:textId="77777777" w:rsidR="00360825" w:rsidRPr="00D556DB" w:rsidRDefault="00360825" w:rsidP="00360825">
      <w:pPr>
        <w:pStyle w:val="BodyText"/>
        <w:keepNext/>
        <w:numPr>
          <w:ilvl w:val="0"/>
          <w:numId w:val="0"/>
        </w:numPr>
        <w:tabs>
          <w:tab w:val="left" w:pos="720"/>
        </w:tabs>
        <w:spacing w:after="0" w:line="240" w:lineRule="auto"/>
        <w:rPr>
          <w:rFonts w:ascii="Arial" w:hAnsi="Arial" w:cs="Arial"/>
          <w:color w:val="FF0000"/>
        </w:rPr>
      </w:pPr>
      <w:r w:rsidRPr="00DE1AA1">
        <w:rPr>
          <w:rFonts w:ascii="Arial" w:hAnsi="Arial" w:cs="Arial"/>
          <w:noProof/>
        </w:rPr>
        <w:drawing>
          <wp:inline distT="0" distB="0" distL="0" distR="0" wp14:anchorId="50CBDBDE" wp14:editId="1B481135">
            <wp:extent cx="5556250" cy="2889250"/>
            <wp:effectExtent l="0" t="0" r="6350" b="6350"/>
            <wp:docPr id="41" name="Chart 41" descr="The figure shows the current tenure of households with dependent children. There are some considerable differences by household type with lone parents having a very high proportion living in the social rented sector and also in private rented accommodation. In Chichester, only 34% of lone parent households are owner-occupiers compared with 73% of married couples with childre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D1C760A" w14:textId="77777777" w:rsidR="00360825" w:rsidRPr="00D556DB"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Census (2011)</w:t>
      </w:r>
    </w:p>
    <w:p w14:paraId="47E94B6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number of bedrooms for family households at the point of the 2011 Census. The analysis shows the differences between married, cohabiting and lone parent families. Across the study area, the tendency is for family households to occupy 3-bedroom housing with varying degrees of 2-and 4+-bedroom properties depending on the household composition. The data </w:t>
      </w:r>
      <w:r w:rsidRPr="00D556DB">
        <w:rPr>
          <w:rFonts w:ascii="Arial" w:hAnsi="Arial" w:cs="Arial"/>
        </w:rPr>
        <w:lastRenderedPageBreak/>
        <w:t>also, unsurprisingly, highlights the small level of 1-bed stock occupied by families across the board. As a result, we could expect continued demand for 3+-bedroom homes from family households.</w:t>
      </w:r>
    </w:p>
    <w:p w14:paraId="5BFE8C4D" w14:textId="77777777" w:rsidR="00360825" w:rsidRPr="00D556DB" w:rsidRDefault="00360825" w:rsidP="001A7584">
      <w:pPr>
        <w:pStyle w:val="Heading4"/>
        <w:ind w:firstLine="0"/>
      </w:pPr>
      <w:r w:rsidRPr="00D556DB">
        <w:t>Number of Bedrooms by Family Household Type, 2011 – Chichester District</w:t>
      </w:r>
    </w:p>
    <w:p w14:paraId="4F5956AA" w14:textId="77777777" w:rsidR="00360825" w:rsidRPr="00D556DB" w:rsidRDefault="00360825" w:rsidP="00360825">
      <w:pPr>
        <w:pStyle w:val="BodyText"/>
        <w:keepNext/>
        <w:numPr>
          <w:ilvl w:val="0"/>
          <w:numId w:val="0"/>
        </w:numPr>
        <w:tabs>
          <w:tab w:val="left" w:pos="720"/>
        </w:tabs>
        <w:spacing w:after="0" w:line="240" w:lineRule="auto"/>
        <w:rPr>
          <w:rFonts w:ascii="Arial" w:hAnsi="Arial" w:cs="Arial"/>
        </w:rPr>
      </w:pPr>
      <w:r w:rsidRPr="00D556DB">
        <w:rPr>
          <w:rFonts w:ascii="Arial" w:hAnsi="Arial" w:cs="Arial"/>
          <w:noProof/>
          <w:color w:val="FF0000"/>
        </w:rPr>
        <w:drawing>
          <wp:inline distT="0" distB="0" distL="0" distR="0" wp14:anchorId="2B96491D" wp14:editId="4A53B37A">
            <wp:extent cx="5556250" cy="2889250"/>
            <wp:effectExtent l="0" t="0" r="6350" b="6350"/>
            <wp:docPr id="40" name="Chart 40" descr="The figure shows the number of bedrooms for family households at the point of the 2011 Census. The analysis shows the differences between married, cohabiting and lone parent families. Across the study area, the tendency is for family households to occupy 3-bedroom housing with varying degrees of 2-and 4+-bedroom properties depending on the household composition. The data also, unsurprisingly, highlights the small level of 1-bed stock occupied by families across the board. As a result, we could expect continued demand for 3+-bedroom homes from family households."/>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15E98CB" w14:textId="77777777" w:rsidR="00360825" w:rsidRPr="00D556DB"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Census (2011)</w:t>
      </w:r>
    </w:p>
    <w:p w14:paraId="15185FD7"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The Mix of Housing</w:t>
      </w:r>
    </w:p>
    <w:p w14:paraId="6321888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 model has been developed that starts with the current profile of housing in terms of size (bedrooms) and tenure. Within the data, information is available about the age of households and the typical sizes of homes they occupy. By using demographic projections linked to the local housing need calculated though the standard method, it is possible to see which age groups are expected to change in number, and by how much.</w:t>
      </w:r>
    </w:p>
    <w:p w14:paraId="187EAF0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On the assumption that occupancy patterns for each age group (within each tenure) remain the same, it is therefore possible to assess the profile of housing needed over the assessment period to 2039 (from 2021).</w:t>
      </w:r>
    </w:p>
    <w:p w14:paraId="4F0E7F0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An important starting point is to understand the current balance of housing in the area – the table below profiles the sizes of homes in different tenure groups across areas. The data shows a market stock that is dominated by 3+-bedroom homes (making up 74% of the total in this tenure group, a higher proportion than seen nationally but similar to the regional position). The profile of the social rented sector is broadly similar across areas (slightly fewer 1- and 3-bedroom homes and more with 2-bedrooms) as is the private rented sector (although again there are a relatively low number of 1-bedroom homes and a higher proportion with 3-bedrooms). Observations about the current mix feed into conclusions about future mix later in this section.</w:t>
      </w:r>
    </w:p>
    <w:p w14:paraId="7A2C32AA" w14:textId="77777777" w:rsidR="00360825" w:rsidRPr="00DE1AA1" w:rsidRDefault="00360825" w:rsidP="001A7584">
      <w:pPr>
        <w:pStyle w:val="Heading4"/>
        <w:ind w:firstLine="0"/>
      </w:pPr>
      <w:r w:rsidRPr="00DE1AA1">
        <w:lastRenderedPageBreak/>
        <w:t xml:space="preserve">Number of </w:t>
      </w:r>
      <w:r w:rsidRPr="00D556DB">
        <w:t>Bedrooms</w:t>
      </w:r>
      <w:r w:rsidRPr="00DE1AA1">
        <w:t xml:space="preserve"> by Tenure, 2011</w:t>
      </w:r>
    </w:p>
    <w:tbl>
      <w:tblPr>
        <w:tblStyle w:val="TableGrid"/>
        <w:tblW w:w="5000" w:type="pct"/>
        <w:tblLayout w:type="fixed"/>
        <w:tblLook w:val="04A0" w:firstRow="1" w:lastRow="0" w:firstColumn="1" w:lastColumn="0" w:noHBand="0" w:noVBand="1"/>
      </w:tblPr>
      <w:tblGrid>
        <w:gridCol w:w="1019"/>
        <w:gridCol w:w="1532"/>
        <w:gridCol w:w="1555"/>
        <w:gridCol w:w="1557"/>
        <w:gridCol w:w="1557"/>
        <w:gridCol w:w="1557"/>
      </w:tblGrid>
      <w:tr w:rsidR="00360825" w:rsidRPr="00DE1AA1" w14:paraId="3095A3FC" w14:textId="77777777" w:rsidTr="00C04569">
        <w:tc>
          <w:tcPr>
            <w:tcW w:w="580" w:type="pct"/>
            <w:tcBorders>
              <w:top w:val="single" w:sz="4" w:space="0" w:color="auto"/>
              <w:left w:val="single" w:sz="4" w:space="0" w:color="auto"/>
              <w:bottom w:val="single" w:sz="4" w:space="0" w:color="auto"/>
              <w:right w:val="single" w:sz="4" w:space="0" w:color="auto"/>
            </w:tcBorders>
            <w:shd w:val="clear" w:color="auto" w:fill="002060"/>
          </w:tcPr>
          <w:p w14:paraId="0CA09F05" w14:textId="77777777" w:rsidR="00360825" w:rsidRPr="00DE1AA1" w:rsidRDefault="00360825" w:rsidP="00C04569">
            <w:pPr>
              <w:keepNext/>
              <w:spacing w:after="0" w:line="300" w:lineRule="auto"/>
              <w:jc w:val="left"/>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shd w:val="clear" w:color="auto" w:fill="002060"/>
          </w:tcPr>
          <w:p w14:paraId="09012EA7" w14:textId="77777777" w:rsidR="00360825" w:rsidRPr="00DE1AA1" w:rsidRDefault="00360825" w:rsidP="00C04569">
            <w:pPr>
              <w:pStyle w:val="05Tableheading"/>
              <w:tabs>
                <w:tab w:val="clear" w:pos="1021"/>
              </w:tabs>
              <w:spacing w:line="300" w:lineRule="auto"/>
              <w:ind w:left="997" w:hanging="993"/>
              <w:jc w:val="center"/>
              <w:rPr>
                <w:color w:val="FFFFFF" w:themeColor="background1"/>
                <w:sz w:val="18"/>
                <w:szCs w:val="18"/>
              </w:rPr>
            </w:pPr>
          </w:p>
        </w:tc>
        <w:tc>
          <w:tcPr>
            <w:tcW w:w="886" w:type="pct"/>
            <w:tcBorders>
              <w:top w:val="single" w:sz="4" w:space="0" w:color="auto"/>
              <w:left w:val="single" w:sz="4" w:space="0" w:color="auto"/>
              <w:bottom w:val="single" w:sz="4" w:space="0" w:color="auto"/>
              <w:right w:val="single" w:sz="4" w:space="0" w:color="auto"/>
            </w:tcBorders>
            <w:shd w:val="clear" w:color="auto" w:fill="002060"/>
            <w:hideMark/>
          </w:tcPr>
          <w:p w14:paraId="0D677A1D" w14:textId="77777777" w:rsidR="00360825" w:rsidRPr="00D556DB" w:rsidRDefault="00360825" w:rsidP="00C04569">
            <w:pPr>
              <w:pStyle w:val="05Tableheading"/>
              <w:tabs>
                <w:tab w:val="clear" w:pos="1021"/>
              </w:tabs>
              <w:spacing w:line="300" w:lineRule="auto"/>
              <w:ind w:left="0" w:firstLine="0"/>
              <w:jc w:val="center"/>
              <w:rPr>
                <w:b w:val="0"/>
                <w:bCs w:val="0"/>
                <w:color w:val="FFFFFF" w:themeColor="background1"/>
                <w:sz w:val="20"/>
                <w:szCs w:val="20"/>
              </w:rPr>
            </w:pPr>
            <w:r w:rsidRPr="00D556DB">
              <w:rPr>
                <w:color w:val="FFFFFF" w:themeColor="background1"/>
                <w:sz w:val="20"/>
                <w:szCs w:val="20"/>
              </w:rPr>
              <w:t xml:space="preserve">Chichester </w:t>
            </w:r>
            <w:r w:rsidRPr="00D556DB">
              <w:rPr>
                <w:b w:val="0"/>
                <w:bCs w:val="0"/>
                <w:color w:val="FFFFFF" w:themeColor="background1"/>
                <w:sz w:val="20"/>
                <w:szCs w:val="20"/>
              </w:rPr>
              <w:t>District</w:t>
            </w:r>
          </w:p>
        </w:tc>
        <w:tc>
          <w:tcPr>
            <w:tcW w:w="887" w:type="pct"/>
            <w:tcBorders>
              <w:top w:val="single" w:sz="4" w:space="0" w:color="auto"/>
              <w:left w:val="single" w:sz="4" w:space="0" w:color="auto"/>
              <w:bottom w:val="single" w:sz="4" w:space="0" w:color="auto"/>
              <w:right w:val="single" w:sz="4" w:space="0" w:color="auto"/>
            </w:tcBorders>
            <w:shd w:val="clear" w:color="auto" w:fill="002060"/>
            <w:hideMark/>
          </w:tcPr>
          <w:p w14:paraId="55C45BE9" w14:textId="77777777" w:rsidR="00360825" w:rsidRPr="00D556DB" w:rsidRDefault="00360825" w:rsidP="00C04569">
            <w:pPr>
              <w:pStyle w:val="05Tableheading"/>
              <w:tabs>
                <w:tab w:val="clear" w:pos="1021"/>
              </w:tabs>
              <w:spacing w:line="300" w:lineRule="auto"/>
              <w:ind w:left="997" w:hanging="993"/>
              <w:jc w:val="center"/>
              <w:rPr>
                <w:b w:val="0"/>
                <w:bCs w:val="0"/>
                <w:color w:val="FFFFFF" w:themeColor="background1"/>
                <w:sz w:val="20"/>
                <w:szCs w:val="20"/>
              </w:rPr>
            </w:pPr>
            <w:r w:rsidRPr="00D556DB">
              <w:rPr>
                <w:b w:val="0"/>
                <w:bCs w:val="0"/>
                <w:color w:val="FFFFFF" w:themeColor="background1"/>
                <w:sz w:val="20"/>
                <w:szCs w:val="20"/>
              </w:rPr>
              <w:t>West Sussex</w:t>
            </w:r>
          </w:p>
        </w:tc>
        <w:tc>
          <w:tcPr>
            <w:tcW w:w="887" w:type="pct"/>
            <w:tcBorders>
              <w:top w:val="single" w:sz="4" w:space="0" w:color="auto"/>
              <w:left w:val="single" w:sz="4" w:space="0" w:color="auto"/>
              <w:bottom w:val="single" w:sz="4" w:space="0" w:color="auto"/>
              <w:right w:val="single" w:sz="4" w:space="0" w:color="auto"/>
            </w:tcBorders>
            <w:shd w:val="clear" w:color="auto" w:fill="002060"/>
            <w:hideMark/>
          </w:tcPr>
          <w:p w14:paraId="6906EE61" w14:textId="77777777" w:rsidR="00360825" w:rsidRPr="00D556DB" w:rsidRDefault="00360825" w:rsidP="00C04569">
            <w:pPr>
              <w:pStyle w:val="05Tableheading"/>
              <w:tabs>
                <w:tab w:val="clear" w:pos="1021"/>
              </w:tabs>
              <w:spacing w:line="300" w:lineRule="auto"/>
              <w:ind w:left="997" w:hanging="993"/>
              <w:jc w:val="center"/>
              <w:rPr>
                <w:b w:val="0"/>
                <w:bCs w:val="0"/>
                <w:color w:val="FFFFFF" w:themeColor="background1"/>
                <w:sz w:val="20"/>
                <w:szCs w:val="20"/>
              </w:rPr>
            </w:pPr>
            <w:r w:rsidRPr="00D556DB">
              <w:rPr>
                <w:b w:val="0"/>
                <w:bCs w:val="0"/>
                <w:color w:val="FFFFFF" w:themeColor="background1"/>
                <w:sz w:val="20"/>
                <w:szCs w:val="20"/>
              </w:rPr>
              <w:t>South East</w:t>
            </w:r>
          </w:p>
        </w:tc>
        <w:tc>
          <w:tcPr>
            <w:tcW w:w="887" w:type="pct"/>
            <w:tcBorders>
              <w:top w:val="single" w:sz="4" w:space="0" w:color="auto"/>
              <w:left w:val="single" w:sz="4" w:space="0" w:color="auto"/>
              <w:bottom w:val="single" w:sz="4" w:space="0" w:color="auto"/>
              <w:right w:val="single" w:sz="4" w:space="0" w:color="auto"/>
            </w:tcBorders>
            <w:shd w:val="clear" w:color="auto" w:fill="002060"/>
            <w:hideMark/>
          </w:tcPr>
          <w:p w14:paraId="49F3FF4A" w14:textId="77777777" w:rsidR="00360825" w:rsidRPr="00D556DB" w:rsidRDefault="00360825" w:rsidP="00C04569">
            <w:pPr>
              <w:pStyle w:val="05Tableheading"/>
              <w:tabs>
                <w:tab w:val="clear" w:pos="1021"/>
              </w:tabs>
              <w:spacing w:line="300" w:lineRule="auto"/>
              <w:ind w:left="997" w:hanging="993"/>
              <w:jc w:val="center"/>
              <w:rPr>
                <w:b w:val="0"/>
                <w:bCs w:val="0"/>
                <w:color w:val="FFFFFF" w:themeColor="background1"/>
                <w:sz w:val="20"/>
                <w:szCs w:val="20"/>
              </w:rPr>
            </w:pPr>
            <w:r w:rsidRPr="00D556DB">
              <w:rPr>
                <w:b w:val="0"/>
                <w:bCs w:val="0"/>
                <w:color w:val="FFFFFF" w:themeColor="background1"/>
                <w:sz w:val="20"/>
                <w:szCs w:val="20"/>
              </w:rPr>
              <w:t>England</w:t>
            </w:r>
          </w:p>
        </w:tc>
      </w:tr>
      <w:tr w:rsidR="00360825" w:rsidRPr="00DE1AA1" w14:paraId="29D6A5A2" w14:textId="77777777" w:rsidTr="00C04569">
        <w:tc>
          <w:tcPr>
            <w:tcW w:w="580" w:type="pct"/>
            <w:vMerge w:val="restart"/>
            <w:tcBorders>
              <w:top w:val="single" w:sz="4" w:space="0" w:color="auto"/>
              <w:left w:val="single" w:sz="4" w:space="0" w:color="auto"/>
              <w:bottom w:val="single" w:sz="4" w:space="0" w:color="auto"/>
              <w:right w:val="single" w:sz="4" w:space="0" w:color="auto"/>
            </w:tcBorders>
            <w:hideMark/>
          </w:tcPr>
          <w:p w14:paraId="77C0B5D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Owner-occupied</w:t>
            </w:r>
          </w:p>
        </w:tc>
        <w:tc>
          <w:tcPr>
            <w:tcW w:w="873" w:type="pct"/>
            <w:tcBorders>
              <w:top w:val="single" w:sz="4" w:space="0" w:color="auto"/>
              <w:left w:val="single" w:sz="4" w:space="0" w:color="auto"/>
              <w:bottom w:val="single" w:sz="4" w:space="0" w:color="auto"/>
              <w:right w:val="single" w:sz="4" w:space="0" w:color="auto"/>
            </w:tcBorders>
            <w:hideMark/>
          </w:tcPr>
          <w:p w14:paraId="370BE067"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886" w:type="pct"/>
            <w:tcBorders>
              <w:top w:val="single" w:sz="4" w:space="0" w:color="auto"/>
              <w:left w:val="single" w:sz="4" w:space="0" w:color="auto"/>
              <w:bottom w:val="single" w:sz="4" w:space="0" w:color="auto"/>
              <w:right w:val="single" w:sz="4" w:space="0" w:color="auto"/>
            </w:tcBorders>
            <w:vAlign w:val="bottom"/>
            <w:hideMark/>
          </w:tcPr>
          <w:p w14:paraId="5DACA25D"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w:t>
            </w:r>
          </w:p>
        </w:tc>
        <w:tc>
          <w:tcPr>
            <w:tcW w:w="887" w:type="pct"/>
            <w:tcBorders>
              <w:top w:val="single" w:sz="4" w:space="0" w:color="auto"/>
              <w:left w:val="single" w:sz="4" w:space="0" w:color="auto"/>
              <w:bottom w:val="single" w:sz="4" w:space="0" w:color="auto"/>
              <w:right w:val="single" w:sz="4" w:space="0" w:color="auto"/>
            </w:tcBorders>
            <w:vAlign w:val="bottom"/>
            <w:hideMark/>
          </w:tcPr>
          <w:p w14:paraId="42DDA68C"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5%</w:t>
            </w:r>
          </w:p>
        </w:tc>
        <w:tc>
          <w:tcPr>
            <w:tcW w:w="887" w:type="pct"/>
            <w:tcBorders>
              <w:top w:val="single" w:sz="4" w:space="0" w:color="auto"/>
              <w:left w:val="single" w:sz="4" w:space="0" w:color="auto"/>
              <w:bottom w:val="single" w:sz="4" w:space="0" w:color="auto"/>
              <w:right w:val="single" w:sz="4" w:space="0" w:color="auto"/>
            </w:tcBorders>
            <w:vAlign w:val="bottom"/>
            <w:hideMark/>
          </w:tcPr>
          <w:p w14:paraId="4C4B1DC1"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5%</w:t>
            </w:r>
          </w:p>
        </w:tc>
        <w:tc>
          <w:tcPr>
            <w:tcW w:w="887" w:type="pct"/>
            <w:tcBorders>
              <w:top w:val="single" w:sz="4" w:space="0" w:color="auto"/>
              <w:left w:val="single" w:sz="4" w:space="0" w:color="auto"/>
              <w:bottom w:val="single" w:sz="4" w:space="0" w:color="auto"/>
              <w:right w:val="single" w:sz="4" w:space="0" w:color="auto"/>
            </w:tcBorders>
            <w:vAlign w:val="bottom"/>
            <w:hideMark/>
          </w:tcPr>
          <w:p w14:paraId="78C1473B"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w:t>
            </w:r>
          </w:p>
        </w:tc>
      </w:tr>
      <w:tr w:rsidR="00360825" w:rsidRPr="00DE1AA1" w14:paraId="26C39702"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2A9D13CA"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670D0159"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78F9B2C8"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23%</w:t>
            </w:r>
          </w:p>
        </w:tc>
        <w:tc>
          <w:tcPr>
            <w:tcW w:w="887" w:type="pct"/>
            <w:tcBorders>
              <w:top w:val="single" w:sz="4" w:space="0" w:color="auto"/>
              <w:left w:val="single" w:sz="4" w:space="0" w:color="auto"/>
              <w:bottom w:val="single" w:sz="4" w:space="0" w:color="auto"/>
              <w:right w:val="single" w:sz="4" w:space="0" w:color="auto"/>
            </w:tcBorders>
            <w:vAlign w:val="bottom"/>
            <w:hideMark/>
          </w:tcPr>
          <w:p w14:paraId="1E4CA1BD"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25%</w:t>
            </w:r>
          </w:p>
        </w:tc>
        <w:tc>
          <w:tcPr>
            <w:tcW w:w="887" w:type="pct"/>
            <w:tcBorders>
              <w:top w:val="single" w:sz="4" w:space="0" w:color="auto"/>
              <w:left w:val="single" w:sz="4" w:space="0" w:color="auto"/>
              <w:bottom w:val="single" w:sz="4" w:space="0" w:color="auto"/>
              <w:right w:val="single" w:sz="4" w:space="0" w:color="auto"/>
            </w:tcBorders>
            <w:vAlign w:val="bottom"/>
            <w:hideMark/>
          </w:tcPr>
          <w:p w14:paraId="7CE58588"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22%</w:t>
            </w:r>
          </w:p>
        </w:tc>
        <w:tc>
          <w:tcPr>
            <w:tcW w:w="887" w:type="pct"/>
            <w:tcBorders>
              <w:top w:val="single" w:sz="4" w:space="0" w:color="auto"/>
              <w:left w:val="single" w:sz="4" w:space="0" w:color="auto"/>
              <w:bottom w:val="single" w:sz="4" w:space="0" w:color="auto"/>
              <w:right w:val="single" w:sz="4" w:space="0" w:color="auto"/>
            </w:tcBorders>
            <w:vAlign w:val="bottom"/>
            <w:hideMark/>
          </w:tcPr>
          <w:p w14:paraId="0C40A340"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23%</w:t>
            </w:r>
          </w:p>
        </w:tc>
      </w:tr>
      <w:tr w:rsidR="00360825" w:rsidRPr="00DE1AA1" w14:paraId="49660DD3"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3884E984"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5DFF32D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224F0DD2"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42%</w:t>
            </w:r>
          </w:p>
        </w:tc>
        <w:tc>
          <w:tcPr>
            <w:tcW w:w="887" w:type="pct"/>
            <w:tcBorders>
              <w:top w:val="single" w:sz="4" w:space="0" w:color="auto"/>
              <w:left w:val="single" w:sz="4" w:space="0" w:color="auto"/>
              <w:bottom w:val="single" w:sz="4" w:space="0" w:color="auto"/>
              <w:right w:val="single" w:sz="4" w:space="0" w:color="auto"/>
            </w:tcBorders>
            <w:vAlign w:val="bottom"/>
            <w:hideMark/>
          </w:tcPr>
          <w:p w14:paraId="4DD1FA58"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43%</w:t>
            </w:r>
          </w:p>
        </w:tc>
        <w:tc>
          <w:tcPr>
            <w:tcW w:w="887" w:type="pct"/>
            <w:tcBorders>
              <w:top w:val="single" w:sz="4" w:space="0" w:color="auto"/>
              <w:left w:val="single" w:sz="4" w:space="0" w:color="auto"/>
              <w:bottom w:val="single" w:sz="4" w:space="0" w:color="auto"/>
              <w:right w:val="single" w:sz="4" w:space="0" w:color="auto"/>
            </w:tcBorders>
            <w:vAlign w:val="bottom"/>
            <w:hideMark/>
          </w:tcPr>
          <w:p w14:paraId="0B7DDFA2"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44%</w:t>
            </w:r>
          </w:p>
        </w:tc>
        <w:tc>
          <w:tcPr>
            <w:tcW w:w="887" w:type="pct"/>
            <w:tcBorders>
              <w:top w:val="single" w:sz="4" w:space="0" w:color="auto"/>
              <w:left w:val="single" w:sz="4" w:space="0" w:color="auto"/>
              <w:bottom w:val="single" w:sz="4" w:space="0" w:color="auto"/>
              <w:right w:val="single" w:sz="4" w:space="0" w:color="auto"/>
            </w:tcBorders>
            <w:vAlign w:val="bottom"/>
            <w:hideMark/>
          </w:tcPr>
          <w:p w14:paraId="76F8FF46"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48%</w:t>
            </w:r>
          </w:p>
        </w:tc>
      </w:tr>
      <w:tr w:rsidR="00360825" w:rsidRPr="00DE1AA1" w14:paraId="1B45FBBD"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6B2D38FB"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40EFF383"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505DCC05"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32%</w:t>
            </w:r>
          </w:p>
        </w:tc>
        <w:tc>
          <w:tcPr>
            <w:tcW w:w="887" w:type="pct"/>
            <w:tcBorders>
              <w:top w:val="single" w:sz="4" w:space="0" w:color="auto"/>
              <w:left w:val="single" w:sz="4" w:space="0" w:color="auto"/>
              <w:bottom w:val="single" w:sz="4" w:space="0" w:color="auto"/>
              <w:right w:val="single" w:sz="4" w:space="0" w:color="auto"/>
            </w:tcBorders>
            <w:vAlign w:val="bottom"/>
            <w:hideMark/>
          </w:tcPr>
          <w:p w14:paraId="3968B714"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26%</w:t>
            </w:r>
          </w:p>
        </w:tc>
        <w:tc>
          <w:tcPr>
            <w:tcW w:w="887" w:type="pct"/>
            <w:tcBorders>
              <w:top w:val="single" w:sz="4" w:space="0" w:color="auto"/>
              <w:left w:val="single" w:sz="4" w:space="0" w:color="auto"/>
              <w:bottom w:val="single" w:sz="4" w:space="0" w:color="auto"/>
              <w:right w:val="single" w:sz="4" w:space="0" w:color="auto"/>
            </w:tcBorders>
            <w:vAlign w:val="bottom"/>
            <w:hideMark/>
          </w:tcPr>
          <w:p w14:paraId="01445D40"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30%</w:t>
            </w:r>
          </w:p>
        </w:tc>
        <w:tc>
          <w:tcPr>
            <w:tcW w:w="887" w:type="pct"/>
            <w:tcBorders>
              <w:top w:val="single" w:sz="4" w:space="0" w:color="auto"/>
              <w:left w:val="single" w:sz="4" w:space="0" w:color="auto"/>
              <w:bottom w:val="single" w:sz="4" w:space="0" w:color="auto"/>
              <w:right w:val="single" w:sz="4" w:space="0" w:color="auto"/>
            </w:tcBorders>
            <w:vAlign w:val="bottom"/>
            <w:hideMark/>
          </w:tcPr>
          <w:p w14:paraId="36BA11B4"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25%</w:t>
            </w:r>
          </w:p>
        </w:tc>
      </w:tr>
      <w:tr w:rsidR="00360825" w:rsidRPr="00DE1AA1" w14:paraId="38FAB77E"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66D73C54"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6A3244F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886" w:type="pct"/>
            <w:tcBorders>
              <w:top w:val="single" w:sz="4" w:space="0" w:color="auto"/>
              <w:left w:val="single" w:sz="4" w:space="0" w:color="auto"/>
              <w:bottom w:val="single" w:sz="4" w:space="0" w:color="auto"/>
              <w:right w:val="single" w:sz="4" w:space="0" w:color="auto"/>
            </w:tcBorders>
            <w:vAlign w:val="bottom"/>
            <w:hideMark/>
          </w:tcPr>
          <w:p w14:paraId="258CD1DC"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265BB0C0"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269888B3"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44C0F16D"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r>
      <w:tr w:rsidR="00360825" w:rsidRPr="00DE1AA1" w14:paraId="349D9DAB" w14:textId="77777777" w:rsidTr="00C04569">
        <w:tc>
          <w:tcPr>
            <w:tcW w:w="580" w:type="pct"/>
            <w:vMerge w:val="restart"/>
            <w:tcBorders>
              <w:top w:val="single" w:sz="4" w:space="0" w:color="auto"/>
              <w:left w:val="single" w:sz="4" w:space="0" w:color="auto"/>
              <w:bottom w:val="single" w:sz="4" w:space="0" w:color="auto"/>
              <w:right w:val="single" w:sz="4" w:space="0" w:color="auto"/>
            </w:tcBorders>
            <w:hideMark/>
          </w:tcPr>
          <w:p w14:paraId="055E2EE6"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Social rented</w:t>
            </w:r>
          </w:p>
        </w:tc>
        <w:tc>
          <w:tcPr>
            <w:tcW w:w="873" w:type="pct"/>
            <w:tcBorders>
              <w:top w:val="single" w:sz="4" w:space="0" w:color="auto"/>
              <w:left w:val="single" w:sz="4" w:space="0" w:color="auto"/>
              <w:bottom w:val="single" w:sz="4" w:space="0" w:color="auto"/>
              <w:right w:val="single" w:sz="4" w:space="0" w:color="auto"/>
            </w:tcBorders>
            <w:hideMark/>
          </w:tcPr>
          <w:p w14:paraId="0939E40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886" w:type="pct"/>
            <w:tcBorders>
              <w:top w:val="single" w:sz="4" w:space="0" w:color="auto"/>
              <w:left w:val="single" w:sz="4" w:space="0" w:color="auto"/>
              <w:bottom w:val="single" w:sz="4" w:space="0" w:color="auto"/>
              <w:right w:val="single" w:sz="4" w:space="0" w:color="auto"/>
            </w:tcBorders>
            <w:vAlign w:val="bottom"/>
            <w:hideMark/>
          </w:tcPr>
          <w:p w14:paraId="0CEDBC69"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27%</w:t>
            </w:r>
          </w:p>
        </w:tc>
        <w:tc>
          <w:tcPr>
            <w:tcW w:w="887" w:type="pct"/>
            <w:tcBorders>
              <w:top w:val="single" w:sz="4" w:space="0" w:color="auto"/>
              <w:left w:val="single" w:sz="4" w:space="0" w:color="auto"/>
              <w:bottom w:val="single" w:sz="4" w:space="0" w:color="auto"/>
              <w:right w:val="single" w:sz="4" w:space="0" w:color="auto"/>
            </w:tcBorders>
            <w:vAlign w:val="bottom"/>
            <w:hideMark/>
          </w:tcPr>
          <w:p w14:paraId="1761AFC9"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32%</w:t>
            </w:r>
          </w:p>
        </w:tc>
        <w:tc>
          <w:tcPr>
            <w:tcW w:w="887" w:type="pct"/>
            <w:tcBorders>
              <w:top w:val="single" w:sz="4" w:space="0" w:color="auto"/>
              <w:left w:val="single" w:sz="4" w:space="0" w:color="auto"/>
              <w:bottom w:val="single" w:sz="4" w:space="0" w:color="auto"/>
              <w:right w:val="single" w:sz="4" w:space="0" w:color="auto"/>
            </w:tcBorders>
            <w:vAlign w:val="bottom"/>
            <w:hideMark/>
          </w:tcPr>
          <w:p w14:paraId="19A168DF"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32%</w:t>
            </w:r>
          </w:p>
        </w:tc>
        <w:tc>
          <w:tcPr>
            <w:tcW w:w="887" w:type="pct"/>
            <w:tcBorders>
              <w:top w:val="single" w:sz="4" w:space="0" w:color="auto"/>
              <w:left w:val="single" w:sz="4" w:space="0" w:color="auto"/>
              <w:bottom w:val="single" w:sz="4" w:space="0" w:color="auto"/>
              <w:right w:val="single" w:sz="4" w:space="0" w:color="auto"/>
            </w:tcBorders>
            <w:vAlign w:val="bottom"/>
            <w:hideMark/>
          </w:tcPr>
          <w:p w14:paraId="6040E4FD"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31%</w:t>
            </w:r>
          </w:p>
        </w:tc>
      </w:tr>
      <w:tr w:rsidR="00360825" w:rsidRPr="00DE1AA1" w14:paraId="19D48D49"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1DB68835"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7E941FF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139BF25F"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42%</w:t>
            </w:r>
          </w:p>
        </w:tc>
        <w:tc>
          <w:tcPr>
            <w:tcW w:w="887" w:type="pct"/>
            <w:tcBorders>
              <w:top w:val="single" w:sz="4" w:space="0" w:color="auto"/>
              <w:left w:val="single" w:sz="4" w:space="0" w:color="auto"/>
              <w:bottom w:val="single" w:sz="4" w:space="0" w:color="auto"/>
              <w:right w:val="single" w:sz="4" w:space="0" w:color="auto"/>
            </w:tcBorders>
            <w:vAlign w:val="bottom"/>
            <w:hideMark/>
          </w:tcPr>
          <w:p w14:paraId="60ADE8AC"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33%</w:t>
            </w:r>
          </w:p>
        </w:tc>
        <w:tc>
          <w:tcPr>
            <w:tcW w:w="887" w:type="pct"/>
            <w:tcBorders>
              <w:top w:val="single" w:sz="4" w:space="0" w:color="auto"/>
              <w:left w:val="single" w:sz="4" w:space="0" w:color="auto"/>
              <w:bottom w:val="single" w:sz="4" w:space="0" w:color="auto"/>
              <w:right w:val="single" w:sz="4" w:space="0" w:color="auto"/>
            </w:tcBorders>
            <w:vAlign w:val="bottom"/>
            <w:hideMark/>
          </w:tcPr>
          <w:p w14:paraId="0AC3F73D"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33%</w:t>
            </w:r>
          </w:p>
        </w:tc>
        <w:tc>
          <w:tcPr>
            <w:tcW w:w="887" w:type="pct"/>
            <w:tcBorders>
              <w:top w:val="single" w:sz="4" w:space="0" w:color="auto"/>
              <w:left w:val="single" w:sz="4" w:space="0" w:color="auto"/>
              <w:bottom w:val="single" w:sz="4" w:space="0" w:color="auto"/>
              <w:right w:val="single" w:sz="4" w:space="0" w:color="auto"/>
            </w:tcBorders>
            <w:vAlign w:val="bottom"/>
            <w:hideMark/>
          </w:tcPr>
          <w:p w14:paraId="1AF09017"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34%</w:t>
            </w:r>
          </w:p>
        </w:tc>
      </w:tr>
      <w:tr w:rsidR="00360825" w:rsidRPr="00DE1AA1" w14:paraId="5664FFF5"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0A3CF593"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5FA5C9E3"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763F0039"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28%</w:t>
            </w:r>
          </w:p>
        </w:tc>
        <w:tc>
          <w:tcPr>
            <w:tcW w:w="887" w:type="pct"/>
            <w:tcBorders>
              <w:top w:val="single" w:sz="4" w:space="0" w:color="auto"/>
              <w:left w:val="single" w:sz="4" w:space="0" w:color="auto"/>
              <w:bottom w:val="single" w:sz="4" w:space="0" w:color="auto"/>
              <w:right w:val="single" w:sz="4" w:space="0" w:color="auto"/>
            </w:tcBorders>
            <w:vAlign w:val="bottom"/>
            <w:hideMark/>
          </w:tcPr>
          <w:p w14:paraId="69F88716"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31%</w:t>
            </w:r>
          </w:p>
        </w:tc>
        <w:tc>
          <w:tcPr>
            <w:tcW w:w="887" w:type="pct"/>
            <w:tcBorders>
              <w:top w:val="single" w:sz="4" w:space="0" w:color="auto"/>
              <w:left w:val="single" w:sz="4" w:space="0" w:color="auto"/>
              <w:bottom w:val="single" w:sz="4" w:space="0" w:color="auto"/>
              <w:right w:val="single" w:sz="4" w:space="0" w:color="auto"/>
            </w:tcBorders>
            <w:vAlign w:val="bottom"/>
            <w:hideMark/>
          </w:tcPr>
          <w:p w14:paraId="7E6344E9"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31%</w:t>
            </w:r>
          </w:p>
        </w:tc>
        <w:tc>
          <w:tcPr>
            <w:tcW w:w="887" w:type="pct"/>
            <w:tcBorders>
              <w:top w:val="single" w:sz="4" w:space="0" w:color="auto"/>
              <w:left w:val="single" w:sz="4" w:space="0" w:color="auto"/>
              <w:bottom w:val="single" w:sz="4" w:space="0" w:color="auto"/>
              <w:right w:val="single" w:sz="4" w:space="0" w:color="auto"/>
            </w:tcBorders>
            <w:vAlign w:val="bottom"/>
            <w:hideMark/>
          </w:tcPr>
          <w:p w14:paraId="41578A64"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31%</w:t>
            </w:r>
          </w:p>
        </w:tc>
      </w:tr>
      <w:tr w:rsidR="00360825" w:rsidRPr="00DE1AA1" w14:paraId="54BDE1D0"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7BBC4DD7"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02032A45"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4E79419A"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w:t>
            </w:r>
          </w:p>
        </w:tc>
        <w:tc>
          <w:tcPr>
            <w:tcW w:w="887" w:type="pct"/>
            <w:tcBorders>
              <w:top w:val="single" w:sz="4" w:space="0" w:color="auto"/>
              <w:left w:val="single" w:sz="4" w:space="0" w:color="auto"/>
              <w:bottom w:val="single" w:sz="4" w:space="0" w:color="auto"/>
              <w:right w:val="single" w:sz="4" w:space="0" w:color="auto"/>
            </w:tcBorders>
            <w:vAlign w:val="bottom"/>
            <w:hideMark/>
          </w:tcPr>
          <w:p w14:paraId="1CD6950E"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w:t>
            </w:r>
          </w:p>
        </w:tc>
        <w:tc>
          <w:tcPr>
            <w:tcW w:w="887" w:type="pct"/>
            <w:tcBorders>
              <w:top w:val="single" w:sz="4" w:space="0" w:color="auto"/>
              <w:left w:val="single" w:sz="4" w:space="0" w:color="auto"/>
              <w:bottom w:val="single" w:sz="4" w:space="0" w:color="auto"/>
              <w:right w:val="single" w:sz="4" w:space="0" w:color="auto"/>
            </w:tcBorders>
            <w:vAlign w:val="bottom"/>
            <w:hideMark/>
          </w:tcPr>
          <w:p w14:paraId="6F20F7F9"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4%</w:t>
            </w:r>
          </w:p>
        </w:tc>
        <w:tc>
          <w:tcPr>
            <w:tcW w:w="887" w:type="pct"/>
            <w:tcBorders>
              <w:top w:val="single" w:sz="4" w:space="0" w:color="auto"/>
              <w:left w:val="single" w:sz="4" w:space="0" w:color="auto"/>
              <w:bottom w:val="single" w:sz="4" w:space="0" w:color="auto"/>
              <w:right w:val="single" w:sz="4" w:space="0" w:color="auto"/>
            </w:tcBorders>
            <w:vAlign w:val="bottom"/>
            <w:hideMark/>
          </w:tcPr>
          <w:p w14:paraId="5ED60D02"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w:t>
            </w:r>
          </w:p>
        </w:tc>
      </w:tr>
      <w:tr w:rsidR="00360825" w:rsidRPr="00DE1AA1" w14:paraId="32D786FF"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138CCB79"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1B668B7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886" w:type="pct"/>
            <w:tcBorders>
              <w:top w:val="single" w:sz="4" w:space="0" w:color="auto"/>
              <w:left w:val="single" w:sz="4" w:space="0" w:color="auto"/>
              <w:bottom w:val="single" w:sz="4" w:space="0" w:color="auto"/>
              <w:right w:val="single" w:sz="4" w:space="0" w:color="auto"/>
            </w:tcBorders>
            <w:vAlign w:val="bottom"/>
            <w:hideMark/>
          </w:tcPr>
          <w:p w14:paraId="48004784"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4DC46825"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02DC4171"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56C7320A"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r>
      <w:tr w:rsidR="00360825" w:rsidRPr="00DE1AA1" w14:paraId="06737C24" w14:textId="77777777" w:rsidTr="00C04569">
        <w:tc>
          <w:tcPr>
            <w:tcW w:w="580" w:type="pct"/>
            <w:vMerge w:val="restart"/>
            <w:tcBorders>
              <w:top w:val="single" w:sz="4" w:space="0" w:color="auto"/>
              <w:left w:val="single" w:sz="4" w:space="0" w:color="auto"/>
              <w:bottom w:val="single" w:sz="4" w:space="0" w:color="auto"/>
              <w:right w:val="single" w:sz="4" w:space="0" w:color="auto"/>
            </w:tcBorders>
            <w:hideMark/>
          </w:tcPr>
          <w:p w14:paraId="1162BB8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Private rented</w:t>
            </w:r>
          </w:p>
        </w:tc>
        <w:tc>
          <w:tcPr>
            <w:tcW w:w="873" w:type="pct"/>
            <w:tcBorders>
              <w:top w:val="single" w:sz="4" w:space="0" w:color="auto"/>
              <w:left w:val="single" w:sz="4" w:space="0" w:color="auto"/>
              <w:bottom w:val="single" w:sz="4" w:space="0" w:color="auto"/>
              <w:right w:val="single" w:sz="4" w:space="0" w:color="auto"/>
            </w:tcBorders>
            <w:hideMark/>
          </w:tcPr>
          <w:p w14:paraId="13C2050A"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886" w:type="pct"/>
            <w:tcBorders>
              <w:top w:val="single" w:sz="4" w:space="0" w:color="auto"/>
              <w:left w:val="single" w:sz="4" w:space="0" w:color="auto"/>
              <w:bottom w:val="single" w:sz="4" w:space="0" w:color="auto"/>
              <w:right w:val="single" w:sz="4" w:space="0" w:color="auto"/>
            </w:tcBorders>
            <w:vAlign w:val="bottom"/>
            <w:hideMark/>
          </w:tcPr>
          <w:p w14:paraId="15480AEE"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17%</w:t>
            </w:r>
          </w:p>
        </w:tc>
        <w:tc>
          <w:tcPr>
            <w:tcW w:w="887" w:type="pct"/>
            <w:tcBorders>
              <w:top w:val="single" w:sz="4" w:space="0" w:color="auto"/>
              <w:left w:val="single" w:sz="4" w:space="0" w:color="auto"/>
              <w:bottom w:val="single" w:sz="4" w:space="0" w:color="auto"/>
              <w:right w:val="single" w:sz="4" w:space="0" w:color="auto"/>
            </w:tcBorders>
            <w:vAlign w:val="bottom"/>
            <w:hideMark/>
          </w:tcPr>
          <w:p w14:paraId="07D80C14"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28%</w:t>
            </w:r>
          </w:p>
        </w:tc>
        <w:tc>
          <w:tcPr>
            <w:tcW w:w="887" w:type="pct"/>
            <w:tcBorders>
              <w:top w:val="single" w:sz="4" w:space="0" w:color="auto"/>
              <w:left w:val="single" w:sz="4" w:space="0" w:color="auto"/>
              <w:bottom w:val="single" w:sz="4" w:space="0" w:color="auto"/>
              <w:right w:val="single" w:sz="4" w:space="0" w:color="auto"/>
            </w:tcBorders>
            <w:vAlign w:val="bottom"/>
            <w:hideMark/>
          </w:tcPr>
          <w:p w14:paraId="065416EA"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24%</w:t>
            </w:r>
          </w:p>
        </w:tc>
        <w:tc>
          <w:tcPr>
            <w:tcW w:w="887" w:type="pct"/>
            <w:tcBorders>
              <w:top w:val="single" w:sz="4" w:space="0" w:color="auto"/>
              <w:left w:val="single" w:sz="4" w:space="0" w:color="auto"/>
              <w:bottom w:val="single" w:sz="4" w:space="0" w:color="auto"/>
              <w:right w:val="single" w:sz="4" w:space="0" w:color="auto"/>
            </w:tcBorders>
            <w:vAlign w:val="bottom"/>
            <w:hideMark/>
          </w:tcPr>
          <w:p w14:paraId="62FFB299"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23%</w:t>
            </w:r>
          </w:p>
        </w:tc>
      </w:tr>
      <w:tr w:rsidR="00360825" w:rsidRPr="00DE1AA1" w14:paraId="7476B778"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176E1B6A" w14:textId="77777777" w:rsidR="00360825" w:rsidRPr="00DE1AA1" w:rsidRDefault="00360825" w:rsidP="00C04569">
            <w:pPr>
              <w:spacing w:after="0" w:line="240" w:lineRule="auto"/>
              <w:jc w:val="left"/>
              <w:rPr>
                <w:rFonts w:ascii="Arial" w:eastAsiaTheme="majorEastAsia" w:hAnsi="Arial" w:cs="Arial"/>
                <w:lang w:eastAsia="en-US"/>
              </w:rPr>
            </w:pPr>
          </w:p>
        </w:tc>
        <w:tc>
          <w:tcPr>
            <w:tcW w:w="873" w:type="pct"/>
            <w:tcBorders>
              <w:top w:val="single" w:sz="4" w:space="0" w:color="auto"/>
              <w:left w:val="single" w:sz="4" w:space="0" w:color="auto"/>
              <w:bottom w:val="single" w:sz="4" w:space="0" w:color="auto"/>
              <w:right w:val="single" w:sz="4" w:space="0" w:color="auto"/>
            </w:tcBorders>
            <w:hideMark/>
          </w:tcPr>
          <w:p w14:paraId="761E7D0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0AAF9FB5"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37%</w:t>
            </w:r>
          </w:p>
        </w:tc>
        <w:tc>
          <w:tcPr>
            <w:tcW w:w="887" w:type="pct"/>
            <w:tcBorders>
              <w:top w:val="single" w:sz="4" w:space="0" w:color="auto"/>
              <w:left w:val="single" w:sz="4" w:space="0" w:color="auto"/>
              <w:bottom w:val="single" w:sz="4" w:space="0" w:color="auto"/>
              <w:right w:val="single" w:sz="4" w:space="0" w:color="auto"/>
            </w:tcBorders>
            <w:vAlign w:val="bottom"/>
            <w:hideMark/>
          </w:tcPr>
          <w:p w14:paraId="0E8EA9B7"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37%</w:t>
            </w:r>
          </w:p>
        </w:tc>
        <w:tc>
          <w:tcPr>
            <w:tcW w:w="887" w:type="pct"/>
            <w:tcBorders>
              <w:top w:val="single" w:sz="4" w:space="0" w:color="auto"/>
              <w:left w:val="single" w:sz="4" w:space="0" w:color="auto"/>
              <w:bottom w:val="single" w:sz="4" w:space="0" w:color="auto"/>
              <w:right w:val="single" w:sz="4" w:space="0" w:color="auto"/>
            </w:tcBorders>
            <w:vAlign w:val="bottom"/>
            <w:hideMark/>
          </w:tcPr>
          <w:p w14:paraId="1211857C"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37%</w:t>
            </w:r>
          </w:p>
        </w:tc>
        <w:tc>
          <w:tcPr>
            <w:tcW w:w="887" w:type="pct"/>
            <w:tcBorders>
              <w:top w:val="single" w:sz="4" w:space="0" w:color="auto"/>
              <w:left w:val="single" w:sz="4" w:space="0" w:color="auto"/>
              <w:bottom w:val="single" w:sz="4" w:space="0" w:color="auto"/>
              <w:right w:val="single" w:sz="4" w:space="0" w:color="auto"/>
            </w:tcBorders>
            <w:vAlign w:val="bottom"/>
            <w:hideMark/>
          </w:tcPr>
          <w:p w14:paraId="453A9BC5"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39%</w:t>
            </w:r>
          </w:p>
        </w:tc>
      </w:tr>
      <w:tr w:rsidR="00360825" w:rsidRPr="00DE1AA1" w14:paraId="264D928A"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09696DCF" w14:textId="77777777" w:rsidR="00360825" w:rsidRPr="00DE1AA1" w:rsidRDefault="00360825" w:rsidP="00C04569">
            <w:pPr>
              <w:spacing w:after="0" w:line="240" w:lineRule="auto"/>
              <w:jc w:val="left"/>
              <w:rPr>
                <w:rFonts w:ascii="Arial" w:eastAsiaTheme="majorEastAsia" w:hAnsi="Arial" w:cs="Arial"/>
                <w:lang w:eastAsia="en-US"/>
              </w:rPr>
            </w:pPr>
          </w:p>
        </w:tc>
        <w:tc>
          <w:tcPr>
            <w:tcW w:w="873" w:type="pct"/>
            <w:tcBorders>
              <w:top w:val="single" w:sz="4" w:space="0" w:color="auto"/>
              <w:left w:val="single" w:sz="4" w:space="0" w:color="auto"/>
              <w:bottom w:val="single" w:sz="4" w:space="0" w:color="auto"/>
              <w:right w:val="single" w:sz="4" w:space="0" w:color="auto"/>
            </w:tcBorders>
            <w:hideMark/>
          </w:tcPr>
          <w:p w14:paraId="2CA6516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038CAC0A"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32%</w:t>
            </w:r>
          </w:p>
        </w:tc>
        <w:tc>
          <w:tcPr>
            <w:tcW w:w="887" w:type="pct"/>
            <w:tcBorders>
              <w:top w:val="single" w:sz="4" w:space="0" w:color="auto"/>
              <w:left w:val="single" w:sz="4" w:space="0" w:color="auto"/>
              <w:bottom w:val="single" w:sz="4" w:space="0" w:color="auto"/>
              <w:right w:val="single" w:sz="4" w:space="0" w:color="auto"/>
            </w:tcBorders>
            <w:vAlign w:val="bottom"/>
            <w:hideMark/>
          </w:tcPr>
          <w:p w14:paraId="46B0BF25"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26%</w:t>
            </w:r>
          </w:p>
        </w:tc>
        <w:tc>
          <w:tcPr>
            <w:tcW w:w="887" w:type="pct"/>
            <w:tcBorders>
              <w:top w:val="single" w:sz="4" w:space="0" w:color="auto"/>
              <w:left w:val="single" w:sz="4" w:space="0" w:color="auto"/>
              <w:bottom w:val="single" w:sz="4" w:space="0" w:color="auto"/>
              <w:right w:val="single" w:sz="4" w:space="0" w:color="auto"/>
            </w:tcBorders>
            <w:vAlign w:val="bottom"/>
            <w:hideMark/>
          </w:tcPr>
          <w:p w14:paraId="05A1BB2C"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27%</w:t>
            </w:r>
          </w:p>
        </w:tc>
        <w:tc>
          <w:tcPr>
            <w:tcW w:w="887" w:type="pct"/>
            <w:tcBorders>
              <w:top w:val="single" w:sz="4" w:space="0" w:color="auto"/>
              <w:left w:val="single" w:sz="4" w:space="0" w:color="auto"/>
              <w:bottom w:val="single" w:sz="4" w:space="0" w:color="auto"/>
              <w:right w:val="single" w:sz="4" w:space="0" w:color="auto"/>
            </w:tcBorders>
            <w:vAlign w:val="bottom"/>
            <w:hideMark/>
          </w:tcPr>
          <w:p w14:paraId="28963A76"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28%</w:t>
            </w:r>
          </w:p>
        </w:tc>
      </w:tr>
      <w:tr w:rsidR="00360825" w:rsidRPr="00DE1AA1" w14:paraId="52E1F881"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08FB9187" w14:textId="77777777" w:rsidR="00360825" w:rsidRPr="00DE1AA1" w:rsidRDefault="00360825" w:rsidP="00C04569">
            <w:pPr>
              <w:spacing w:after="0" w:line="240" w:lineRule="auto"/>
              <w:jc w:val="left"/>
              <w:rPr>
                <w:rFonts w:ascii="Arial" w:eastAsiaTheme="majorEastAsia" w:hAnsi="Arial" w:cs="Arial"/>
                <w:lang w:eastAsia="en-US"/>
              </w:rPr>
            </w:pPr>
          </w:p>
        </w:tc>
        <w:tc>
          <w:tcPr>
            <w:tcW w:w="873" w:type="pct"/>
            <w:tcBorders>
              <w:top w:val="single" w:sz="4" w:space="0" w:color="auto"/>
              <w:left w:val="single" w:sz="4" w:space="0" w:color="auto"/>
              <w:bottom w:val="single" w:sz="4" w:space="0" w:color="auto"/>
              <w:right w:val="single" w:sz="4" w:space="0" w:color="auto"/>
            </w:tcBorders>
            <w:hideMark/>
          </w:tcPr>
          <w:p w14:paraId="360A8FE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4E3F8309"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13%</w:t>
            </w:r>
          </w:p>
        </w:tc>
        <w:tc>
          <w:tcPr>
            <w:tcW w:w="887" w:type="pct"/>
            <w:tcBorders>
              <w:top w:val="single" w:sz="4" w:space="0" w:color="auto"/>
              <w:left w:val="single" w:sz="4" w:space="0" w:color="auto"/>
              <w:bottom w:val="single" w:sz="4" w:space="0" w:color="auto"/>
              <w:right w:val="single" w:sz="4" w:space="0" w:color="auto"/>
            </w:tcBorders>
            <w:vAlign w:val="bottom"/>
            <w:hideMark/>
          </w:tcPr>
          <w:p w14:paraId="7592BC3E"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9%</w:t>
            </w:r>
          </w:p>
        </w:tc>
        <w:tc>
          <w:tcPr>
            <w:tcW w:w="887" w:type="pct"/>
            <w:tcBorders>
              <w:top w:val="single" w:sz="4" w:space="0" w:color="auto"/>
              <w:left w:val="single" w:sz="4" w:space="0" w:color="auto"/>
              <w:bottom w:val="single" w:sz="4" w:space="0" w:color="auto"/>
              <w:right w:val="single" w:sz="4" w:space="0" w:color="auto"/>
            </w:tcBorders>
            <w:vAlign w:val="bottom"/>
            <w:hideMark/>
          </w:tcPr>
          <w:p w14:paraId="194C9DC6"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12%</w:t>
            </w:r>
          </w:p>
        </w:tc>
        <w:tc>
          <w:tcPr>
            <w:tcW w:w="887" w:type="pct"/>
            <w:tcBorders>
              <w:top w:val="single" w:sz="4" w:space="0" w:color="auto"/>
              <w:left w:val="single" w:sz="4" w:space="0" w:color="auto"/>
              <w:bottom w:val="single" w:sz="4" w:space="0" w:color="auto"/>
              <w:right w:val="single" w:sz="4" w:space="0" w:color="auto"/>
            </w:tcBorders>
            <w:vAlign w:val="bottom"/>
            <w:hideMark/>
          </w:tcPr>
          <w:p w14:paraId="2B4D6329"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w:t>
            </w:r>
          </w:p>
        </w:tc>
      </w:tr>
      <w:tr w:rsidR="00360825" w:rsidRPr="00DE1AA1" w14:paraId="349257FC"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42075A2F" w14:textId="77777777" w:rsidR="00360825" w:rsidRPr="00DE1AA1" w:rsidRDefault="00360825" w:rsidP="00C04569">
            <w:pPr>
              <w:spacing w:after="0" w:line="240" w:lineRule="auto"/>
              <w:jc w:val="left"/>
              <w:rPr>
                <w:rFonts w:ascii="Arial" w:eastAsiaTheme="majorEastAsia" w:hAnsi="Arial" w:cs="Arial"/>
                <w:lang w:eastAsia="en-US"/>
              </w:rPr>
            </w:pPr>
          </w:p>
        </w:tc>
        <w:tc>
          <w:tcPr>
            <w:tcW w:w="873" w:type="pct"/>
            <w:tcBorders>
              <w:top w:val="single" w:sz="4" w:space="0" w:color="auto"/>
              <w:left w:val="single" w:sz="4" w:space="0" w:color="auto"/>
              <w:bottom w:val="single" w:sz="4" w:space="0" w:color="auto"/>
              <w:right w:val="single" w:sz="4" w:space="0" w:color="auto"/>
            </w:tcBorders>
            <w:hideMark/>
          </w:tcPr>
          <w:p w14:paraId="2F1B977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886" w:type="pct"/>
            <w:tcBorders>
              <w:top w:val="single" w:sz="4" w:space="0" w:color="auto"/>
              <w:left w:val="single" w:sz="4" w:space="0" w:color="auto"/>
              <w:bottom w:val="single" w:sz="4" w:space="0" w:color="auto"/>
              <w:right w:val="single" w:sz="4" w:space="0" w:color="auto"/>
            </w:tcBorders>
            <w:vAlign w:val="bottom"/>
            <w:hideMark/>
          </w:tcPr>
          <w:p w14:paraId="508D7FC6"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5F6BB1D5"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41922F97"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20388D52"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r>
    </w:tbl>
    <w:p w14:paraId="6D46262D" w14:textId="77777777" w:rsidR="00360825" w:rsidRPr="00D556DB"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Census (2011)</w:t>
      </w:r>
    </w:p>
    <w:p w14:paraId="37337F10"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Overview of Methodology</w:t>
      </w:r>
    </w:p>
    <w:p w14:paraId="4D9E663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method to consider future housing mix looks at the ages of the Household Reference Persons and how these are projected to change over time. The sub-sections to follow describe some of the key analysis.</w:t>
      </w:r>
    </w:p>
    <w:p w14:paraId="50C56C22"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Understanding How Households Occupy Homes</w:t>
      </w:r>
    </w:p>
    <w:p w14:paraId="40D227B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Whilst the demographic projections provide a good indication of how the population and household structure will develop, it is not a simple task to convert the net increase in the number of households into a suggested profile for additional housing to be provided. The main reason for this is that in the market sector, households are able to buy or rent any size of property (subject to what they can afford) and therefore knowledge of the profile of households in an area does not directly transfer into the sizes of property to be provided.</w:t>
      </w:r>
    </w:p>
    <w:p w14:paraId="594BAA9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size of housing which households occupy relates more to their wealth and age than the number of people they contain. For example, there is no reason a single person cannot buy (or choose to live in) a 4-bedroom home as long as they can afford it, and hence projecting an increase in single person households does not automatically translate into a need for smaller units.</w:t>
      </w:r>
    </w:p>
    <w:p w14:paraId="46DC6BC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That said, issues of supply can also impact occupancy patterns, for example it may be that a supply of additional smaller bungalows (say 2-bedrooms) would encourage older people to downsize but in the absence of such accommodation these households remain living in their larger accommodation.</w:t>
      </w:r>
    </w:p>
    <w:p w14:paraId="111E791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The issue of choice is less relevant in the affordable sector (particularly since the introduction of the social sector size criteria) where households are allocated properties which reflect the size of the household, although there will still be some level of under-occupation moving forward with regard to older person and working households who may be able to under-occupy housing (e.g. those who can afford to pay the spare room subsidy (‘bedroom tax’)).</w:t>
      </w:r>
    </w:p>
    <w:p w14:paraId="591961F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approach used is to interrogate information derived in the projections about the number of household reference persons (HRPs) in each age group and apply this to the profile of housing within these groups. The data for this analysis has been formed from a commissioned table by ONS (Table CT0621 which provides relevant data for all local authorities in England and Wales from the 2011 Census).</w:t>
      </w:r>
    </w:p>
    <w:p w14:paraId="3DD03A6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figures below show an estimate of how the average number of bedrooms varies by different ages of HRP and broad tenure group for Chichester and the South East. In the owner-occupied (OO) sector the average size of accommodation rises over time to typically reach a peak around the age of 50; a similar pattern (but with smaller dwelling sizes and an earlier peak) is seen in both the social and private rented sector (PRS). After peaking, the average dwelling size decreases – as typically some households downsize as they get older. The analysis identifies some small differences between Chichester and the region, although average dwelling sizes by age of HRP are similar in both areas.</w:t>
      </w:r>
    </w:p>
    <w:p w14:paraId="785DCDBF" w14:textId="77777777" w:rsidR="00360825" w:rsidRPr="00D556DB" w:rsidRDefault="00360825" w:rsidP="001A7584">
      <w:pPr>
        <w:pStyle w:val="Heading4"/>
        <w:ind w:firstLine="0"/>
      </w:pPr>
      <w:r w:rsidRPr="00D556DB">
        <w:t>Average Bedrooms by Age and Tenure in Chichester and the South East</w:t>
      </w:r>
    </w:p>
    <w:p w14:paraId="41AAFF0A" w14:textId="77777777" w:rsidR="00360825" w:rsidRPr="00D556DB" w:rsidRDefault="00360825" w:rsidP="00360825">
      <w:pPr>
        <w:pStyle w:val="BodyText"/>
        <w:keepNext/>
        <w:numPr>
          <w:ilvl w:val="0"/>
          <w:numId w:val="0"/>
        </w:numPr>
        <w:tabs>
          <w:tab w:val="left" w:pos="720"/>
        </w:tabs>
        <w:spacing w:after="0" w:line="240" w:lineRule="auto"/>
        <w:rPr>
          <w:rFonts w:ascii="Arial" w:hAnsi="Arial" w:cs="Arial"/>
        </w:rPr>
      </w:pPr>
      <w:r w:rsidRPr="00D556DB">
        <w:rPr>
          <w:rFonts w:ascii="Arial" w:hAnsi="Arial" w:cs="Arial"/>
          <w:noProof/>
        </w:rPr>
        <w:drawing>
          <wp:inline distT="0" distB="0" distL="0" distR="0" wp14:anchorId="213D7477" wp14:editId="74718D7E">
            <wp:extent cx="5556250" cy="3454400"/>
            <wp:effectExtent l="0" t="0" r="6350" b="12700"/>
            <wp:docPr id="39" name="Chart 39" descr="The figures shows an estimate of how the average number of bedrooms varies by different ages of HRP and broad tenure group for Chichester and the South East. In the owner-occupied (OO) sector the average size of accommodation rises over time to typically reach a peak around the age of 50; a similar pattern (but with smaller dwelling sizes and an earlier peak) is seen in both the social and private rented sector (PRS). After peaking, the average dwelling size decreases – as typically some households downsize as they get older. The analysis identifies some small differences between Chichester and the region, although average dwelling sizes by age of HRP are similar in both areas."/>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806F6C7" w14:textId="77777777" w:rsidR="00360825" w:rsidRPr="00D556DB"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Census (2011)</w:t>
      </w:r>
    </w:p>
    <w:p w14:paraId="1E36097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Replicating the existing occupancy patterns at a local level would however result in the conclusions being skewed by the existing housing profile. On this basis a further model has been developed that applies regional occupancy assumptions for the South East region. Assumptions are applied to the projected changes in Household Reference Person by age discussed below.</w:t>
      </w:r>
    </w:p>
    <w:p w14:paraId="1A15AD31" w14:textId="77777777" w:rsidR="00360825" w:rsidRPr="00D556DB" w:rsidRDefault="00360825" w:rsidP="001A7584">
      <w:pPr>
        <w:pStyle w:val="BodyText"/>
        <w:numPr>
          <w:ilvl w:val="1"/>
          <w:numId w:val="6"/>
        </w:numPr>
        <w:tabs>
          <w:tab w:val="num" w:pos="0"/>
        </w:tabs>
        <w:spacing w:after="120"/>
        <w:ind w:left="0" w:hanging="709"/>
        <w:rPr>
          <w:rFonts w:ascii="Arial" w:eastAsiaTheme="majorEastAsia" w:hAnsi="Arial" w:cs="Arial"/>
        </w:rPr>
      </w:pPr>
      <w:r w:rsidRPr="00D556DB">
        <w:rPr>
          <w:rFonts w:ascii="Arial" w:hAnsi="Arial" w:cs="Arial"/>
        </w:rPr>
        <w:t>The analysis has been used to derive outputs for three broad categories. These are:</w:t>
      </w:r>
    </w:p>
    <w:p w14:paraId="4CA1E28D" w14:textId="77777777" w:rsidR="00360825" w:rsidRPr="00DE1AA1" w:rsidRDefault="00360825" w:rsidP="001A7584">
      <w:pPr>
        <w:pStyle w:val="ListBullet2"/>
        <w:tabs>
          <w:tab w:val="clear" w:pos="643"/>
          <w:tab w:val="left" w:pos="720"/>
        </w:tabs>
        <w:spacing w:after="0"/>
        <w:jc w:val="left"/>
        <w:rPr>
          <w:rFonts w:ascii="Arial" w:hAnsi="Arial" w:cs="Arial"/>
        </w:rPr>
      </w:pPr>
      <w:r w:rsidRPr="00DE1AA1">
        <w:rPr>
          <w:rFonts w:ascii="Arial" w:hAnsi="Arial" w:cs="Arial"/>
          <w:b/>
          <w:bCs/>
        </w:rPr>
        <w:t>Market Housing</w:t>
      </w:r>
      <w:r w:rsidRPr="00DE1AA1">
        <w:rPr>
          <w:rFonts w:ascii="Arial" w:hAnsi="Arial" w:cs="Arial"/>
        </w:rPr>
        <w:t xml:space="preserve"> – which is taken to follow the occupancy profiles in the owner-occupied sector;</w:t>
      </w:r>
    </w:p>
    <w:p w14:paraId="797D2C70" w14:textId="77777777" w:rsidR="00360825" w:rsidRPr="00DE1AA1" w:rsidRDefault="00360825" w:rsidP="001A7584">
      <w:pPr>
        <w:pStyle w:val="ListBullet2"/>
        <w:tabs>
          <w:tab w:val="clear" w:pos="643"/>
          <w:tab w:val="left" w:pos="720"/>
        </w:tabs>
        <w:spacing w:after="0"/>
        <w:jc w:val="left"/>
        <w:rPr>
          <w:rFonts w:ascii="Arial" w:hAnsi="Arial" w:cs="Arial"/>
        </w:rPr>
      </w:pPr>
      <w:r w:rsidRPr="00D556DB">
        <w:rPr>
          <w:rFonts w:ascii="Arial" w:hAnsi="Arial" w:cs="Arial"/>
          <w:b/>
          <w:bCs/>
        </w:rPr>
        <w:t>Affordable Home Ownership</w:t>
      </w:r>
      <w:r w:rsidRPr="00D556DB">
        <w:rPr>
          <w:rFonts w:ascii="Arial" w:hAnsi="Arial" w:cs="Arial"/>
        </w:rPr>
        <w:t xml:space="preserve"> – which is taken to follow the occupancy profile in the private rented sector (this is seen as reasonable as the Government’s desired growth in home ownership looks to be largely driven by a wish to see households move out of private renting); and</w:t>
      </w:r>
    </w:p>
    <w:p w14:paraId="521EB022" w14:textId="77777777" w:rsidR="00360825" w:rsidRPr="00DE1AA1" w:rsidRDefault="00360825" w:rsidP="001A7584">
      <w:pPr>
        <w:pStyle w:val="ListBullet2"/>
        <w:tabs>
          <w:tab w:val="clear" w:pos="643"/>
          <w:tab w:val="left" w:pos="720"/>
        </w:tabs>
        <w:jc w:val="left"/>
        <w:rPr>
          <w:rFonts w:ascii="Arial" w:hAnsi="Arial" w:cs="Arial"/>
        </w:rPr>
      </w:pPr>
      <w:r w:rsidRPr="00D556DB">
        <w:rPr>
          <w:rFonts w:ascii="Arial" w:hAnsi="Arial" w:cs="Arial"/>
          <w:b/>
          <w:bCs/>
        </w:rPr>
        <w:t>Rented Affordable Housing</w:t>
      </w:r>
      <w:r w:rsidRPr="00D556DB">
        <w:rPr>
          <w:rFonts w:ascii="Arial" w:hAnsi="Arial" w:cs="Arial"/>
        </w:rPr>
        <w:t xml:space="preserve"> – which is taken to follow the occupancy profile in the social rented sector. The affordable sector in the analysis to follow would include social and affordable rented housing.</w:t>
      </w:r>
    </w:p>
    <w:p w14:paraId="7E57F478"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Changes to Households by Age</w:t>
      </w:r>
    </w:p>
    <w:p w14:paraId="0F4AA3E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table below presents the projected change in households by age of household reference person, this shows growth as being expected in all age groups and in particular some older age groups. The number of households headed by someone aged 50-59 is projected to see a modest decline over the period studied. </w:t>
      </w:r>
    </w:p>
    <w:p w14:paraId="3D7F3FD2" w14:textId="77777777" w:rsidR="00360825" w:rsidRPr="00D556DB" w:rsidRDefault="00360825" w:rsidP="001A7584">
      <w:pPr>
        <w:pStyle w:val="Heading4"/>
        <w:ind w:firstLine="0"/>
      </w:pPr>
      <w:r w:rsidRPr="00D556DB">
        <w:t>Projected Change in Household by Age of HRP in Chichester District – linking to the Standard Method</w:t>
      </w:r>
    </w:p>
    <w:tbl>
      <w:tblPr>
        <w:tblStyle w:val="TableGridLight1"/>
        <w:tblW w:w="5000" w:type="pct"/>
        <w:tblInd w:w="0" w:type="dxa"/>
        <w:tblLook w:val="04A0" w:firstRow="1" w:lastRow="0" w:firstColumn="1" w:lastColumn="0" w:noHBand="0" w:noVBand="1"/>
      </w:tblPr>
      <w:tblGrid>
        <w:gridCol w:w="1756"/>
        <w:gridCol w:w="1756"/>
        <w:gridCol w:w="1755"/>
        <w:gridCol w:w="1755"/>
        <w:gridCol w:w="1755"/>
      </w:tblGrid>
      <w:tr w:rsidR="00360825" w:rsidRPr="007C65E9" w14:paraId="4AE6E438" w14:textId="77777777" w:rsidTr="00C04569">
        <w:tc>
          <w:tcPr>
            <w:tcW w:w="1000" w:type="pct"/>
            <w:shd w:val="clear" w:color="auto" w:fill="002060"/>
          </w:tcPr>
          <w:p w14:paraId="55C01FC6" w14:textId="77777777" w:rsidR="00360825" w:rsidRPr="00D556DB" w:rsidRDefault="00360825" w:rsidP="00C04569">
            <w:pPr>
              <w:keepNext/>
              <w:spacing w:after="0" w:line="300" w:lineRule="auto"/>
              <w:jc w:val="left"/>
              <w:rPr>
                <w:rFonts w:ascii="Arial" w:hAnsi="Arial" w:cs="Arial"/>
              </w:rPr>
            </w:pPr>
          </w:p>
        </w:tc>
        <w:tc>
          <w:tcPr>
            <w:tcW w:w="1000" w:type="pct"/>
            <w:shd w:val="clear" w:color="auto" w:fill="002060"/>
            <w:hideMark/>
          </w:tcPr>
          <w:p w14:paraId="468FC985" w14:textId="77777777" w:rsidR="00360825" w:rsidRPr="00D556DB" w:rsidRDefault="00360825" w:rsidP="00C04569">
            <w:pPr>
              <w:pStyle w:val="ChilmarkHeader1"/>
              <w:numPr>
                <w:ilvl w:val="0"/>
                <w:numId w:val="0"/>
              </w:numPr>
              <w:tabs>
                <w:tab w:val="left" w:pos="720"/>
              </w:tabs>
              <w:spacing w:before="0" w:line="300" w:lineRule="auto"/>
              <w:jc w:val="center"/>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2021</w:t>
            </w:r>
          </w:p>
        </w:tc>
        <w:tc>
          <w:tcPr>
            <w:tcW w:w="1000" w:type="pct"/>
            <w:shd w:val="clear" w:color="auto" w:fill="002060"/>
            <w:hideMark/>
          </w:tcPr>
          <w:p w14:paraId="1532BDF3" w14:textId="77777777" w:rsidR="00360825" w:rsidRPr="00D556DB" w:rsidRDefault="00360825" w:rsidP="00C04569">
            <w:pPr>
              <w:pStyle w:val="ChilmarkHeader1"/>
              <w:numPr>
                <w:ilvl w:val="0"/>
                <w:numId w:val="0"/>
              </w:numPr>
              <w:tabs>
                <w:tab w:val="left" w:pos="720"/>
              </w:tabs>
              <w:spacing w:before="0" w:line="300" w:lineRule="auto"/>
              <w:jc w:val="center"/>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2039</w:t>
            </w:r>
          </w:p>
        </w:tc>
        <w:tc>
          <w:tcPr>
            <w:tcW w:w="1000" w:type="pct"/>
            <w:shd w:val="clear" w:color="auto" w:fill="002060"/>
            <w:hideMark/>
          </w:tcPr>
          <w:p w14:paraId="56ADC375" w14:textId="77777777" w:rsidR="00360825" w:rsidRPr="00D556DB" w:rsidRDefault="00360825" w:rsidP="00C04569">
            <w:pPr>
              <w:pStyle w:val="ChilmarkHeader1"/>
              <w:numPr>
                <w:ilvl w:val="0"/>
                <w:numId w:val="0"/>
              </w:numPr>
              <w:tabs>
                <w:tab w:val="left" w:pos="720"/>
              </w:tabs>
              <w:spacing w:before="0" w:line="300" w:lineRule="auto"/>
              <w:jc w:val="center"/>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Change in Households</w:t>
            </w:r>
          </w:p>
        </w:tc>
        <w:tc>
          <w:tcPr>
            <w:tcW w:w="1000" w:type="pct"/>
            <w:shd w:val="clear" w:color="auto" w:fill="002060"/>
            <w:hideMark/>
          </w:tcPr>
          <w:p w14:paraId="63303179" w14:textId="77777777" w:rsidR="00360825" w:rsidRPr="00D556DB" w:rsidRDefault="00360825" w:rsidP="00C04569">
            <w:pPr>
              <w:pStyle w:val="ChilmarkHeader1"/>
              <w:numPr>
                <w:ilvl w:val="0"/>
                <w:numId w:val="0"/>
              </w:numPr>
              <w:tabs>
                <w:tab w:val="left" w:pos="720"/>
              </w:tabs>
              <w:spacing w:before="0" w:line="300" w:lineRule="auto"/>
              <w:jc w:val="center"/>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 Change</w:t>
            </w:r>
          </w:p>
        </w:tc>
      </w:tr>
      <w:tr w:rsidR="00360825" w:rsidRPr="007C65E9" w14:paraId="35B5F07B" w14:textId="77777777" w:rsidTr="00C04569">
        <w:tc>
          <w:tcPr>
            <w:tcW w:w="1000" w:type="pct"/>
            <w:hideMark/>
          </w:tcPr>
          <w:p w14:paraId="16CE1C73"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16-24</w:t>
            </w:r>
          </w:p>
        </w:tc>
        <w:tc>
          <w:tcPr>
            <w:tcW w:w="1000" w:type="pct"/>
            <w:hideMark/>
          </w:tcPr>
          <w:p w14:paraId="7C26350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1,189</w:t>
            </w:r>
          </w:p>
        </w:tc>
        <w:tc>
          <w:tcPr>
            <w:tcW w:w="1000" w:type="pct"/>
            <w:hideMark/>
          </w:tcPr>
          <w:p w14:paraId="60CD31C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1,684</w:t>
            </w:r>
          </w:p>
        </w:tc>
        <w:tc>
          <w:tcPr>
            <w:tcW w:w="1000" w:type="pct"/>
            <w:hideMark/>
          </w:tcPr>
          <w:p w14:paraId="3AFC3A7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495</w:t>
            </w:r>
          </w:p>
        </w:tc>
        <w:tc>
          <w:tcPr>
            <w:tcW w:w="1000" w:type="pct"/>
            <w:hideMark/>
          </w:tcPr>
          <w:p w14:paraId="795B115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41.7%</w:t>
            </w:r>
          </w:p>
        </w:tc>
      </w:tr>
      <w:tr w:rsidR="00360825" w:rsidRPr="007C65E9" w14:paraId="3FDAD41D" w14:textId="77777777" w:rsidTr="00C04569">
        <w:tc>
          <w:tcPr>
            <w:tcW w:w="1000" w:type="pct"/>
            <w:hideMark/>
          </w:tcPr>
          <w:p w14:paraId="1FD7747B"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25-29</w:t>
            </w:r>
          </w:p>
        </w:tc>
        <w:tc>
          <w:tcPr>
            <w:tcW w:w="1000" w:type="pct"/>
            <w:hideMark/>
          </w:tcPr>
          <w:p w14:paraId="279C455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1,973</w:t>
            </w:r>
          </w:p>
        </w:tc>
        <w:tc>
          <w:tcPr>
            <w:tcW w:w="1000" w:type="pct"/>
            <w:hideMark/>
          </w:tcPr>
          <w:p w14:paraId="311CC5F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2,699</w:t>
            </w:r>
          </w:p>
        </w:tc>
        <w:tc>
          <w:tcPr>
            <w:tcW w:w="1000" w:type="pct"/>
            <w:hideMark/>
          </w:tcPr>
          <w:p w14:paraId="37E45B45"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726</w:t>
            </w:r>
          </w:p>
        </w:tc>
        <w:tc>
          <w:tcPr>
            <w:tcW w:w="1000" w:type="pct"/>
            <w:hideMark/>
          </w:tcPr>
          <w:p w14:paraId="4E8E302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36.8%</w:t>
            </w:r>
          </w:p>
        </w:tc>
      </w:tr>
      <w:tr w:rsidR="00360825" w:rsidRPr="007C65E9" w14:paraId="3A782997" w14:textId="77777777" w:rsidTr="00C04569">
        <w:tc>
          <w:tcPr>
            <w:tcW w:w="1000" w:type="pct"/>
            <w:hideMark/>
          </w:tcPr>
          <w:p w14:paraId="490824FE"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30-34</w:t>
            </w:r>
          </w:p>
        </w:tc>
        <w:tc>
          <w:tcPr>
            <w:tcW w:w="1000" w:type="pct"/>
            <w:hideMark/>
          </w:tcPr>
          <w:p w14:paraId="587FF08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2,765</w:t>
            </w:r>
          </w:p>
        </w:tc>
        <w:tc>
          <w:tcPr>
            <w:tcW w:w="1000" w:type="pct"/>
            <w:hideMark/>
          </w:tcPr>
          <w:p w14:paraId="3F3C279E"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3,595</w:t>
            </w:r>
          </w:p>
        </w:tc>
        <w:tc>
          <w:tcPr>
            <w:tcW w:w="1000" w:type="pct"/>
            <w:hideMark/>
          </w:tcPr>
          <w:p w14:paraId="01C89C7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829</w:t>
            </w:r>
          </w:p>
        </w:tc>
        <w:tc>
          <w:tcPr>
            <w:tcW w:w="1000" w:type="pct"/>
            <w:hideMark/>
          </w:tcPr>
          <w:p w14:paraId="08262578"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30.0%</w:t>
            </w:r>
          </w:p>
        </w:tc>
      </w:tr>
      <w:tr w:rsidR="00360825" w:rsidRPr="007C65E9" w14:paraId="6FEAF46B" w14:textId="77777777" w:rsidTr="00C04569">
        <w:tc>
          <w:tcPr>
            <w:tcW w:w="1000" w:type="pct"/>
            <w:hideMark/>
          </w:tcPr>
          <w:p w14:paraId="2EE04AC8"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35-39</w:t>
            </w:r>
          </w:p>
        </w:tc>
        <w:tc>
          <w:tcPr>
            <w:tcW w:w="1000" w:type="pct"/>
            <w:hideMark/>
          </w:tcPr>
          <w:p w14:paraId="6DA1A96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3,160</w:t>
            </w:r>
          </w:p>
        </w:tc>
        <w:tc>
          <w:tcPr>
            <w:tcW w:w="1000" w:type="pct"/>
            <w:hideMark/>
          </w:tcPr>
          <w:p w14:paraId="6DECD0F2"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3,301</w:t>
            </w:r>
          </w:p>
        </w:tc>
        <w:tc>
          <w:tcPr>
            <w:tcW w:w="1000" w:type="pct"/>
            <w:hideMark/>
          </w:tcPr>
          <w:p w14:paraId="3118CFE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141</w:t>
            </w:r>
          </w:p>
        </w:tc>
        <w:tc>
          <w:tcPr>
            <w:tcW w:w="1000" w:type="pct"/>
            <w:hideMark/>
          </w:tcPr>
          <w:p w14:paraId="1FED5BE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4.5%</w:t>
            </w:r>
          </w:p>
        </w:tc>
      </w:tr>
      <w:tr w:rsidR="00360825" w:rsidRPr="007C65E9" w14:paraId="1F6DBAE8" w14:textId="77777777" w:rsidTr="00C04569">
        <w:tc>
          <w:tcPr>
            <w:tcW w:w="1000" w:type="pct"/>
            <w:hideMark/>
          </w:tcPr>
          <w:p w14:paraId="23AFAEB9"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40-44</w:t>
            </w:r>
          </w:p>
        </w:tc>
        <w:tc>
          <w:tcPr>
            <w:tcW w:w="1000" w:type="pct"/>
            <w:hideMark/>
          </w:tcPr>
          <w:p w14:paraId="25CEC0CE"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3,376</w:t>
            </w:r>
          </w:p>
        </w:tc>
        <w:tc>
          <w:tcPr>
            <w:tcW w:w="1000" w:type="pct"/>
            <w:hideMark/>
          </w:tcPr>
          <w:p w14:paraId="07C7714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3,764</w:t>
            </w:r>
          </w:p>
        </w:tc>
        <w:tc>
          <w:tcPr>
            <w:tcW w:w="1000" w:type="pct"/>
            <w:hideMark/>
          </w:tcPr>
          <w:p w14:paraId="0950C35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388</w:t>
            </w:r>
          </w:p>
        </w:tc>
        <w:tc>
          <w:tcPr>
            <w:tcW w:w="1000" w:type="pct"/>
            <w:hideMark/>
          </w:tcPr>
          <w:p w14:paraId="7A62128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11.5%</w:t>
            </w:r>
          </w:p>
        </w:tc>
      </w:tr>
      <w:tr w:rsidR="00360825" w:rsidRPr="007C65E9" w14:paraId="0C77F535" w14:textId="77777777" w:rsidTr="00C04569">
        <w:tc>
          <w:tcPr>
            <w:tcW w:w="1000" w:type="pct"/>
            <w:hideMark/>
          </w:tcPr>
          <w:p w14:paraId="4FA8257B"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45-49</w:t>
            </w:r>
          </w:p>
        </w:tc>
        <w:tc>
          <w:tcPr>
            <w:tcW w:w="1000" w:type="pct"/>
            <w:hideMark/>
          </w:tcPr>
          <w:p w14:paraId="00B2B94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3,939</w:t>
            </w:r>
          </w:p>
        </w:tc>
        <w:tc>
          <w:tcPr>
            <w:tcW w:w="1000" w:type="pct"/>
            <w:hideMark/>
          </w:tcPr>
          <w:p w14:paraId="637B7BB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4,147</w:t>
            </w:r>
          </w:p>
        </w:tc>
        <w:tc>
          <w:tcPr>
            <w:tcW w:w="1000" w:type="pct"/>
            <w:hideMark/>
          </w:tcPr>
          <w:p w14:paraId="1346E76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208</w:t>
            </w:r>
          </w:p>
        </w:tc>
        <w:tc>
          <w:tcPr>
            <w:tcW w:w="1000" w:type="pct"/>
            <w:hideMark/>
          </w:tcPr>
          <w:p w14:paraId="2228A61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5.3%</w:t>
            </w:r>
          </w:p>
        </w:tc>
      </w:tr>
      <w:tr w:rsidR="00360825" w:rsidRPr="007C65E9" w14:paraId="27AC3338" w14:textId="77777777" w:rsidTr="00C04569">
        <w:tc>
          <w:tcPr>
            <w:tcW w:w="1000" w:type="pct"/>
            <w:hideMark/>
          </w:tcPr>
          <w:p w14:paraId="71069E9C"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50-54</w:t>
            </w:r>
          </w:p>
        </w:tc>
        <w:tc>
          <w:tcPr>
            <w:tcW w:w="1000" w:type="pct"/>
            <w:hideMark/>
          </w:tcPr>
          <w:p w14:paraId="25FFB4E5"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5,006</w:t>
            </w:r>
          </w:p>
        </w:tc>
        <w:tc>
          <w:tcPr>
            <w:tcW w:w="1000" w:type="pct"/>
            <w:hideMark/>
          </w:tcPr>
          <w:p w14:paraId="5DCB7029"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4,625</w:t>
            </w:r>
          </w:p>
        </w:tc>
        <w:tc>
          <w:tcPr>
            <w:tcW w:w="1000" w:type="pct"/>
            <w:hideMark/>
          </w:tcPr>
          <w:p w14:paraId="609AACD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-381</w:t>
            </w:r>
          </w:p>
        </w:tc>
        <w:tc>
          <w:tcPr>
            <w:tcW w:w="1000" w:type="pct"/>
            <w:hideMark/>
          </w:tcPr>
          <w:p w14:paraId="28E6573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-7.6%</w:t>
            </w:r>
          </w:p>
        </w:tc>
      </w:tr>
      <w:tr w:rsidR="00360825" w:rsidRPr="007C65E9" w14:paraId="550AD7B6" w14:textId="77777777" w:rsidTr="00C04569">
        <w:tc>
          <w:tcPr>
            <w:tcW w:w="1000" w:type="pct"/>
            <w:hideMark/>
          </w:tcPr>
          <w:p w14:paraId="1435B035"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55-59</w:t>
            </w:r>
          </w:p>
        </w:tc>
        <w:tc>
          <w:tcPr>
            <w:tcW w:w="1000" w:type="pct"/>
            <w:hideMark/>
          </w:tcPr>
          <w:p w14:paraId="6AB591F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5,675</w:t>
            </w:r>
          </w:p>
        </w:tc>
        <w:tc>
          <w:tcPr>
            <w:tcW w:w="1000" w:type="pct"/>
            <w:hideMark/>
          </w:tcPr>
          <w:p w14:paraId="52AD406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5,338</w:t>
            </w:r>
          </w:p>
        </w:tc>
        <w:tc>
          <w:tcPr>
            <w:tcW w:w="1000" w:type="pct"/>
            <w:hideMark/>
          </w:tcPr>
          <w:p w14:paraId="5B8C14BE"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-338</w:t>
            </w:r>
          </w:p>
        </w:tc>
        <w:tc>
          <w:tcPr>
            <w:tcW w:w="1000" w:type="pct"/>
            <w:hideMark/>
          </w:tcPr>
          <w:p w14:paraId="2804A3C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-5.9%</w:t>
            </w:r>
          </w:p>
        </w:tc>
      </w:tr>
      <w:tr w:rsidR="00360825" w:rsidRPr="007C65E9" w14:paraId="4EE6EF4F" w14:textId="77777777" w:rsidTr="00C04569">
        <w:tc>
          <w:tcPr>
            <w:tcW w:w="1000" w:type="pct"/>
            <w:hideMark/>
          </w:tcPr>
          <w:p w14:paraId="1C024E97"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60-64</w:t>
            </w:r>
          </w:p>
        </w:tc>
        <w:tc>
          <w:tcPr>
            <w:tcW w:w="1000" w:type="pct"/>
            <w:hideMark/>
          </w:tcPr>
          <w:p w14:paraId="1F8DB8C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5,286</w:t>
            </w:r>
          </w:p>
        </w:tc>
        <w:tc>
          <w:tcPr>
            <w:tcW w:w="1000" w:type="pct"/>
            <w:hideMark/>
          </w:tcPr>
          <w:p w14:paraId="1AF71798"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5,528</w:t>
            </w:r>
          </w:p>
        </w:tc>
        <w:tc>
          <w:tcPr>
            <w:tcW w:w="1000" w:type="pct"/>
            <w:hideMark/>
          </w:tcPr>
          <w:p w14:paraId="1450DF8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242</w:t>
            </w:r>
          </w:p>
        </w:tc>
        <w:tc>
          <w:tcPr>
            <w:tcW w:w="1000" w:type="pct"/>
            <w:hideMark/>
          </w:tcPr>
          <w:p w14:paraId="7D9B6E6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4.6%</w:t>
            </w:r>
          </w:p>
        </w:tc>
      </w:tr>
      <w:tr w:rsidR="00360825" w:rsidRPr="007C65E9" w14:paraId="399AF0E3" w14:textId="77777777" w:rsidTr="00C04569">
        <w:tc>
          <w:tcPr>
            <w:tcW w:w="1000" w:type="pct"/>
            <w:hideMark/>
          </w:tcPr>
          <w:p w14:paraId="0C7782A4"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65-69</w:t>
            </w:r>
          </w:p>
        </w:tc>
        <w:tc>
          <w:tcPr>
            <w:tcW w:w="1000" w:type="pct"/>
            <w:hideMark/>
          </w:tcPr>
          <w:p w14:paraId="5FDB985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5,070</w:t>
            </w:r>
          </w:p>
        </w:tc>
        <w:tc>
          <w:tcPr>
            <w:tcW w:w="1000" w:type="pct"/>
            <w:hideMark/>
          </w:tcPr>
          <w:p w14:paraId="0670BF8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6,705</w:t>
            </w:r>
          </w:p>
        </w:tc>
        <w:tc>
          <w:tcPr>
            <w:tcW w:w="1000" w:type="pct"/>
            <w:hideMark/>
          </w:tcPr>
          <w:p w14:paraId="2E70DAD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1,634</w:t>
            </w:r>
          </w:p>
        </w:tc>
        <w:tc>
          <w:tcPr>
            <w:tcW w:w="1000" w:type="pct"/>
            <w:hideMark/>
          </w:tcPr>
          <w:p w14:paraId="3A891FEF"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32.2%</w:t>
            </w:r>
          </w:p>
        </w:tc>
      </w:tr>
      <w:tr w:rsidR="00360825" w:rsidRPr="007C65E9" w14:paraId="4ADCA47D" w14:textId="77777777" w:rsidTr="00C04569">
        <w:tc>
          <w:tcPr>
            <w:tcW w:w="1000" w:type="pct"/>
            <w:hideMark/>
          </w:tcPr>
          <w:p w14:paraId="0817FEDF"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70-74</w:t>
            </w:r>
          </w:p>
        </w:tc>
        <w:tc>
          <w:tcPr>
            <w:tcW w:w="1000" w:type="pct"/>
            <w:hideMark/>
          </w:tcPr>
          <w:p w14:paraId="1B9972A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5,648</w:t>
            </w:r>
          </w:p>
        </w:tc>
        <w:tc>
          <w:tcPr>
            <w:tcW w:w="1000" w:type="pct"/>
            <w:hideMark/>
          </w:tcPr>
          <w:p w14:paraId="68D028A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7,710</w:t>
            </w:r>
          </w:p>
        </w:tc>
        <w:tc>
          <w:tcPr>
            <w:tcW w:w="1000" w:type="pct"/>
            <w:hideMark/>
          </w:tcPr>
          <w:p w14:paraId="14B3E95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2,062</w:t>
            </w:r>
          </w:p>
        </w:tc>
        <w:tc>
          <w:tcPr>
            <w:tcW w:w="1000" w:type="pct"/>
            <w:hideMark/>
          </w:tcPr>
          <w:p w14:paraId="550C105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36.5%</w:t>
            </w:r>
          </w:p>
        </w:tc>
      </w:tr>
      <w:tr w:rsidR="00360825" w:rsidRPr="007C65E9" w14:paraId="3F10DF44" w14:textId="77777777" w:rsidTr="00C04569">
        <w:tc>
          <w:tcPr>
            <w:tcW w:w="1000" w:type="pct"/>
            <w:hideMark/>
          </w:tcPr>
          <w:p w14:paraId="0D9F2E0C"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75-79</w:t>
            </w:r>
          </w:p>
        </w:tc>
        <w:tc>
          <w:tcPr>
            <w:tcW w:w="1000" w:type="pct"/>
            <w:hideMark/>
          </w:tcPr>
          <w:p w14:paraId="2EB645A5"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4,817</w:t>
            </w:r>
          </w:p>
        </w:tc>
        <w:tc>
          <w:tcPr>
            <w:tcW w:w="1000" w:type="pct"/>
            <w:hideMark/>
          </w:tcPr>
          <w:p w14:paraId="219AA921"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6,882</w:t>
            </w:r>
          </w:p>
        </w:tc>
        <w:tc>
          <w:tcPr>
            <w:tcW w:w="1000" w:type="pct"/>
            <w:hideMark/>
          </w:tcPr>
          <w:p w14:paraId="455716D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2,065</w:t>
            </w:r>
          </w:p>
        </w:tc>
        <w:tc>
          <w:tcPr>
            <w:tcW w:w="1000" w:type="pct"/>
            <w:hideMark/>
          </w:tcPr>
          <w:p w14:paraId="3913939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42.9%</w:t>
            </w:r>
          </w:p>
        </w:tc>
      </w:tr>
      <w:tr w:rsidR="00360825" w:rsidRPr="007C65E9" w14:paraId="3AE19DA6" w14:textId="77777777" w:rsidTr="00C04569">
        <w:tc>
          <w:tcPr>
            <w:tcW w:w="1000" w:type="pct"/>
            <w:hideMark/>
          </w:tcPr>
          <w:p w14:paraId="05521962"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80-84</w:t>
            </w:r>
          </w:p>
        </w:tc>
        <w:tc>
          <w:tcPr>
            <w:tcW w:w="1000" w:type="pct"/>
            <w:hideMark/>
          </w:tcPr>
          <w:p w14:paraId="39A48AB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3,514</w:t>
            </w:r>
          </w:p>
        </w:tc>
        <w:tc>
          <w:tcPr>
            <w:tcW w:w="1000" w:type="pct"/>
            <w:hideMark/>
          </w:tcPr>
          <w:p w14:paraId="786B28B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5,449</w:t>
            </w:r>
          </w:p>
        </w:tc>
        <w:tc>
          <w:tcPr>
            <w:tcW w:w="1000" w:type="pct"/>
            <w:hideMark/>
          </w:tcPr>
          <w:p w14:paraId="4206975A"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1,935</w:t>
            </w:r>
          </w:p>
        </w:tc>
        <w:tc>
          <w:tcPr>
            <w:tcW w:w="1000" w:type="pct"/>
            <w:hideMark/>
          </w:tcPr>
          <w:p w14:paraId="11E936A2"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55.1%</w:t>
            </w:r>
          </w:p>
        </w:tc>
      </w:tr>
      <w:tr w:rsidR="00360825" w:rsidRPr="007C65E9" w14:paraId="5C4ADD4E" w14:textId="77777777" w:rsidTr="00C04569">
        <w:tc>
          <w:tcPr>
            <w:tcW w:w="1000" w:type="pct"/>
            <w:hideMark/>
          </w:tcPr>
          <w:p w14:paraId="7C69B701"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85 &amp; over</w:t>
            </w:r>
          </w:p>
        </w:tc>
        <w:tc>
          <w:tcPr>
            <w:tcW w:w="1000" w:type="pct"/>
            <w:hideMark/>
          </w:tcPr>
          <w:p w14:paraId="7E9E890F"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3,691</w:t>
            </w:r>
          </w:p>
        </w:tc>
        <w:tc>
          <w:tcPr>
            <w:tcW w:w="1000" w:type="pct"/>
            <w:hideMark/>
          </w:tcPr>
          <w:p w14:paraId="22FD13A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6,137</w:t>
            </w:r>
          </w:p>
        </w:tc>
        <w:tc>
          <w:tcPr>
            <w:tcW w:w="1000" w:type="pct"/>
            <w:hideMark/>
          </w:tcPr>
          <w:p w14:paraId="61E7328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2,446</w:t>
            </w:r>
          </w:p>
        </w:tc>
        <w:tc>
          <w:tcPr>
            <w:tcW w:w="1000" w:type="pct"/>
            <w:hideMark/>
          </w:tcPr>
          <w:p w14:paraId="7D8B18FF"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66.3%</w:t>
            </w:r>
          </w:p>
        </w:tc>
      </w:tr>
      <w:tr w:rsidR="00360825" w:rsidRPr="007C65E9" w14:paraId="4254AA02" w14:textId="77777777" w:rsidTr="00C04569">
        <w:tc>
          <w:tcPr>
            <w:tcW w:w="1000" w:type="pct"/>
            <w:hideMark/>
          </w:tcPr>
          <w:p w14:paraId="3F18DE1D"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Total</w:t>
            </w:r>
          </w:p>
        </w:tc>
        <w:tc>
          <w:tcPr>
            <w:tcW w:w="1000" w:type="pct"/>
            <w:hideMark/>
          </w:tcPr>
          <w:p w14:paraId="380DE42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55,110</w:t>
            </w:r>
          </w:p>
        </w:tc>
        <w:tc>
          <w:tcPr>
            <w:tcW w:w="1000" w:type="pct"/>
            <w:hideMark/>
          </w:tcPr>
          <w:p w14:paraId="07F5F83F"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67,563</w:t>
            </w:r>
          </w:p>
        </w:tc>
        <w:tc>
          <w:tcPr>
            <w:tcW w:w="1000" w:type="pct"/>
            <w:hideMark/>
          </w:tcPr>
          <w:p w14:paraId="0241411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12,453</w:t>
            </w:r>
          </w:p>
        </w:tc>
        <w:tc>
          <w:tcPr>
            <w:tcW w:w="1000" w:type="pct"/>
            <w:hideMark/>
          </w:tcPr>
          <w:p w14:paraId="1C6AA55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22.6%</w:t>
            </w:r>
          </w:p>
        </w:tc>
      </w:tr>
    </w:tbl>
    <w:p w14:paraId="450AE532" w14:textId="77777777" w:rsidR="00360825" w:rsidRPr="00DE1AA1" w:rsidRDefault="00360825" w:rsidP="00360825">
      <w:pPr>
        <w:pStyle w:val="Caption"/>
        <w:spacing w:after="360"/>
        <w:jc w:val="left"/>
        <w:rPr>
          <w:rFonts w:eastAsiaTheme="majorEastAsia"/>
        </w:rPr>
      </w:pPr>
      <w:r w:rsidRPr="00D556DB">
        <w:rPr>
          <w:i/>
          <w:sz w:val="16"/>
          <w:szCs w:val="16"/>
        </w:rPr>
        <w:t>Source: Demographic Projections</w:t>
      </w:r>
    </w:p>
    <w:p w14:paraId="4E077A2B"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lastRenderedPageBreak/>
        <w:t>Initial Modelled Outputs</w:t>
      </w:r>
    </w:p>
    <w:p w14:paraId="0FE696A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By following the methodology set out above and drawing on the sources shown, a series of outputs have been derived to consider the likely size requirement of housing within each of the three broad tenures at a local authority level. Two tables are provided, considering both local and regional occupancy patterns. The data linking to local occupancy will to some extent reflect the role and function of the local area, whilst the regional data will help to establish any particular gaps (or relative surpluses) of different sizes/tenures of homes when considered in a wider context.</w:t>
      </w:r>
    </w:p>
    <w:p w14:paraId="1C2DF54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analysis for rented affordable housing can also draw on data from the local authority Housing Register with regards to the profile of need. The data has been taken from the Local Authority Housing Statistics (“LAHS”) and shows a pattern of need which is focussed on 1- and 2-bedroom homes but also showing over a fifth of households as requiring 3+- bedroom homes.</w:t>
      </w:r>
    </w:p>
    <w:p w14:paraId="2A28A879" w14:textId="77777777" w:rsidR="00360825" w:rsidRPr="00DE1AA1" w:rsidRDefault="00360825" w:rsidP="001A7584">
      <w:pPr>
        <w:pStyle w:val="Heading4"/>
        <w:ind w:firstLine="0"/>
        <w:rPr>
          <w:color w:val="808080" w:themeColor="background1" w:themeShade="80"/>
        </w:rPr>
      </w:pPr>
      <w:r w:rsidRPr="00D556DB">
        <w:t>Size of Social/Affordable Rented Housing – Housing Register Information</w:t>
      </w:r>
    </w:p>
    <w:tbl>
      <w:tblPr>
        <w:tblStyle w:val="TableGrid1"/>
        <w:tblW w:w="5000" w:type="pct"/>
        <w:tblInd w:w="0" w:type="dxa"/>
        <w:tblLook w:val="04A0" w:firstRow="1" w:lastRow="0" w:firstColumn="1" w:lastColumn="0" w:noHBand="0" w:noVBand="1"/>
      </w:tblPr>
      <w:tblGrid>
        <w:gridCol w:w="2925"/>
        <w:gridCol w:w="2926"/>
        <w:gridCol w:w="2926"/>
      </w:tblGrid>
      <w:tr w:rsidR="00360825" w:rsidRPr="00DE1AA1" w14:paraId="2F35FAB7" w14:textId="77777777" w:rsidTr="00C04569">
        <w:tc>
          <w:tcPr>
            <w:tcW w:w="1666" w:type="pct"/>
            <w:tcBorders>
              <w:top w:val="single" w:sz="4" w:space="0" w:color="auto"/>
              <w:left w:val="single" w:sz="4" w:space="0" w:color="auto"/>
              <w:bottom w:val="single" w:sz="4" w:space="0" w:color="auto"/>
              <w:right w:val="single" w:sz="4" w:space="0" w:color="auto"/>
            </w:tcBorders>
            <w:shd w:val="clear" w:color="auto" w:fill="002060"/>
          </w:tcPr>
          <w:p w14:paraId="74D3FC73" w14:textId="77777777" w:rsidR="00360825" w:rsidRPr="00DE1AA1" w:rsidRDefault="00360825" w:rsidP="00C04569">
            <w:pPr>
              <w:keepNext/>
              <w:spacing w:after="0" w:line="300" w:lineRule="auto"/>
              <w:jc w:val="left"/>
              <w:rPr>
                <w:rFonts w:ascii="Arial" w:hAnsi="Arial" w:cs="Arial"/>
                <w:sz w:val="20"/>
                <w:szCs w:val="20"/>
              </w:rPr>
            </w:pPr>
          </w:p>
        </w:tc>
        <w:tc>
          <w:tcPr>
            <w:tcW w:w="1667" w:type="pct"/>
            <w:tcBorders>
              <w:top w:val="single" w:sz="4" w:space="0" w:color="auto"/>
              <w:left w:val="single" w:sz="4" w:space="0" w:color="auto"/>
              <w:bottom w:val="single" w:sz="4" w:space="0" w:color="auto"/>
              <w:right w:val="single" w:sz="4" w:space="0" w:color="auto"/>
            </w:tcBorders>
            <w:shd w:val="clear" w:color="auto" w:fill="002060"/>
            <w:hideMark/>
          </w:tcPr>
          <w:p w14:paraId="0388C776"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Number of households</w:t>
            </w:r>
          </w:p>
        </w:tc>
        <w:tc>
          <w:tcPr>
            <w:tcW w:w="1667" w:type="pct"/>
            <w:tcBorders>
              <w:top w:val="single" w:sz="4" w:space="0" w:color="auto"/>
              <w:left w:val="single" w:sz="4" w:space="0" w:color="auto"/>
              <w:bottom w:val="single" w:sz="4" w:space="0" w:color="auto"/>
              <w:right w:val="single" w:sz="4" w:space="0" w:color="auto"/>
            </w:tcBorders>
            <w:shd w:val="clear" w:color="auto" w:fill="002060"/>
            <w:hideMark/>
          </w:tcPr>
          <w:p w14:paraId="31589AC3"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 of households</w:t>
            </w:r>
          </w:p>
        </w:tc>
      </w:tr>
      <w:tr w:rsidR="00360825" w:rsidRPr="00DE1AA1" w14:paraId="32803EAD"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44E00A15" w14:textId="77777777" w:rsidR="00360825" w:rsidRPr="00DE1AA1" w:rsidRDefault="00360825" w:rsidP="00C04569">
            <w:pPr>
              <w:keepNext/>
              <w:widowControl w:val="0"/>
              <w:spacing w:after="0" w:line="300" w:lineRule="auto"/>
              <w:rPr>
                <w:rFonts w:ascii="Arial" w:hAnsi="Arial" w:cs="Arial"/>
                <w:sz w:val="20"/>
                <w:szCs w:val="20"/>
              </w:rPr>
            </w:pPr>
            <w:r w:rsidRPr="00DE1AA1">
              <w:rPr>
                <w:rFonts w:ascii="Arial" w:hAnsi="Arial" w:cs="Arial"/>
                <w:sz w:val="20"/>
                <w:szCs w:val="20"/>
              </w:rPr>
              <w:t>1-bedroom</w:t>
            </w:r>
          </w:p>
        </w:tc>
        <w:tc>
          <w:tcPr>
            <w:tcW w:w="1667" w:type="pct"/>
            <w:tcBorders>
              <w:top w:val="single" w:sz="4" w:space="0" w:color="auto"/>
              <w:left w:val="single" w:sz="4" w:space="0" w:color="auto"/>
              <w:bottom w:val="single" w:sz="4" w:space="0" w:color="auto"/>
              <w:right w:val="single" w:sz="4" w:space="0" w:color="auto"/>
            </w:tcBorders>
            <w:vAlign w:val="bottom"/>
            <w:hideMark/>
          </w:tcPr>
          <w:p w14:paraId="61EFAC08"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665</w:t>
            </w:r>
          </w:p>
        </w:tc>
        <w:tc>
          <w:tcPr>
            <w:tcW w:w="1667" w:type="pct"/>
            <w:tcBorders>
              <w:top w:val="single" w:sz="4" w:space="0" w:color="auto"/>
              <w:left w:val="single" w:sz="4" w:space="0" w:color="auto"/>
              <w:bottom w:val="single" w:sz="4" w:space="0" w:color="auto"/>
              <w:right w:val="single" w:sz="4" w:space="0" w:color="auto"/>
            </w:tcBorders>
            <w:vAlign w:val="bottom"/>
            <w:hideMark/>
          </w:tcPr>
          <w:p w14:paraId="42A79808"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54.2%</w:t>
            </w:r>
          </w:p>
        </w:tc>
      </w:tr>
      <w:tr w:rsidR="00360825" w:rsidRPr="00DE1AA1" w14:paraId="3D3122BE"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7CF14F88" w14:textId="77777777" w:rsidR="00360825" w:rsidRPr="00DE1AA1" w:rsidRDefault="00360825" w:rsidP="00C04569">
            <w:pPr>
              <w:keepNext/>
              <w:widowControl w:val="0"/>
              <w:spacing w:after="0" w:line="300" w:lineRule="auto"/>
              <w:rPr>
                <w:rFonts w:ascii="Arial" w:hAnsi="Arial" w:cs="Arial"/>
                <w:sz w:val="20"/>
                <w:szCs w:val="20"/>
              </w:rPr>
            </w:pPr>
            <w:r w:rsidRPr="00DE1AA1">
              <w:rPr>
                <w:rFonts w:ascii="Arial" w:hAnsi="Arial" w:cs="Arial"/>
                <w:sz w:val="20"/>
                <w:szCs w:val="20"/>
              </w:rPr>
              <w:t>2-bedrooms</w:t>
            </w:r>
          </w:p>
        </w:tc>
        <w:tc>
          <w:tcPr>
            <w:tcW w:w="1667" w:type="pct"/>
            <w:tcBorders>
              <w:top w:val="single" w:sz="4" w:space="0" w:color="auto"/>
              <w:left w:val="single" w:sz="4" w:space="0" w:color="auto"/>
              <w:bottom w:val="single" w:sz="4" w:space="0" w:color="auto"/>
              <w:right w:val="single" w:sz="4" w:space="0" w:color="auto"/>
            </w:tcBorders>
            <w:vAlign w:val="bottom"/>
            <w:hideMark/>
          </w:tcPr>
          <w:p w14:paraId="508508B2"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296</w:t>
            </w:r>
          </w:p>
        </w:tc>
        <w:tc>
          <w:tcPr>
            <w:tcW w:w="1667" w:type="pct"/>
            <w:tcBorders>
              <w:top w:val="single" w:sz="4" w:space="0" w:color="auto"/>
              <w:left w:val="single" w:sz="4" w:space="0" w:color="auto"/>
              <w:bottom w:val="single" w:sz="4" w:space="0" w:color="auto"/>
              <w:right w:val="single" w:sz="4" w:space="0" w:color="auto"/>
            </w:tcBorders>
            <w:vAlign w:val="bottom"/>
            <w:hideMark/>
          </w:tcPr>
          <w:p w14:paraId="1AAB6AE9"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24.1%</w:t>
            </w:r>
          </w:p>
        </w:tc>
      </w:tr>
      <w:tr w:rsidR="00360825" w:rsidRPr="00DE1AA1" w14:paraId="3CB972EC"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210EB269" w14:textId="77777777" w:rsidR="00360825" w:rsidRPr="00DE1AA1" w:rsidRDefault="00360825" w:rsidP="00C04569">
            <w:pPr>
              <w:keepNext/>
              <w:widowControl w:val="0"/>
              <w:spacing w:after="0" w:line="300" w:lineRule="auto"/>
              <w:rPr>
                <w:rFonts w:ascii="Arial" w:hAnsi="Arial" w:cs="Arial"/>
                <w:sz w:val="20"/>
                <w:szCs w:val="20"/>
              </w:rPr>
            </w:pPr>
            <w:r w:rsidRPr="00DE1AA1">
              <w:rPr>
                <w:rFonts w:ascii="Arial" w:hAnsi="Arial" w:cs="Arial"/>
                <w:sz w:val="20"/>
                <w:szCs w:val="20"/>
              </w:rPr>
              <w:t>3-bedrooms</w:t>
            </w:r>
          </w:p>
        </w:tc>
        <w:tc>
          <w:tcPr>
            <w:tcW w:w="1667" w:type="pct"/>
            <w:tcBorders>
              <w:top w:val="single" w:sz="4" w:space="0" w:color="auto"/>
              <w:left w:val="single" w:sz="4" w:space="0" w:color="auto"/>
              <w:bottom w:val="single" w:sz="4" w:space="0" w:color="auto"/>
              <w:right w:val="single" w:sz="4" w:space="0" w:color="auto"/>
            </w:tcBorders>
            <w:vAlign w:val="bottom"/>
            <w:hideMark/>
          </w:tcPr>
          <w:p w14:paraId="4BDF2263"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185</w:t>
            </w:r>
          </w:p>
        </w:tc>
        <w:tc>
          <w:tcPr>
            <w:tcW w:w="1667" w:type="pct"/>
            <w:tcBorders>
              <w:top w:val="single" w:sz="4" w:space="0" w:color="auto"/>
              <w:left w:val="single" w:sz="4" w:space="0" w:color="auto"/>
              <w:bottom w:val="single" w:sz="4" w:space="0" w:color="auto"/>
              <w:right w:val="single" w:sz="4" w:space="0" w:color="auto"/>
            </w:tcBorders>
            <w:vAlign w:val="bottom"/>
            <w:hideMark/>
          </w:tcPr>
          <w:p w14:paraId="4A370B4D"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15.1%</w:t>
            </w:r>
          </w:p>
        </w:tc>
      </w:tr>
      <w:tr w:rsidR="00360825" w:rsidRPr="00DE1AA1" w14:paraId="1D848AD9"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317A9B6E" w14:textId="77777777" w:rsidR="00360825" w:rsidRPr="00DE1AA1" w:rsidRDefault="00360825" w:rsidP="00C04569">
            <w:pPr>
              <w:keepNext/>
              <w:widowControl w:val="0"/>
              <w:spacing w:after="0" w:line="300" w:lineRule="auto"/>
              <w:rPr>
                <w:rFonts w:ascii="Arial" w:hAnsi="Arial" w:cs="Arial"/>
                <w:sz w:val="20"/>
                <w:szCs w:val="20"/>
              </w:rPr>
            </w:pPr>
            <w:r w:rsidRPr="00DE1AA1">
              <w:rPr>
                <w:rFonts w:ascii="Arial" w:hAnsi="Arial" w:cs="Arial"/>
                <w:spacing w:val="-6"/>
                <w:sz w:val="20"/>
                <w:szCs w:val="20"/>
              </w:rPr>
              <w:t>4+-bedrooms</w:t>
            </w:r>
          </w:p>
        </w:tc>
        <w:tc>
          <w:tcPr>
            <w:tcW w:w="1667" w:type="pct"/>
            <w:tcBorders>
              <w:top w:val="single" w:sz="4" w:space="0" w:color="auto"/>
              <w:left w:val="single" w:sz="4" w:space="0" w:color="auto"/>
              <w:bottom w:val="single" w:sz="4" w:space="0" w:color="auto"/>
              <w:right w:val="single" w:sz="4" w:space="0" w:color="auto"/>
            </w:tcBorders>
            <w:vAlign w:val="bottom"/>
            <w:hideMark/>
          </w:tcPr>
          <w:p w14:paraId="47A9A0AE"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80</w:t>
            </w:r>
          </w:p>
        </w:tc>
        <w:tc>
          <w:tcPr>
            <w:tcW w:w="1667" w:type="pct"/>
            <w:tcBorders>
              <w:top w:val="single" w:sz="4" w:space="0" w:color="auto"/>
              <w:left w:val="single" w:sz="4" w:space="0" w:color="auto"/>
              <w:bottom w:val="single" w:sz="4" w:space="0" w:color="auto"/>
              <w:right w:val="single" w:sz="4" w:space="0" w:color="auto"/>
            </w:tcBorders>
            <w:vAlign w:val="bottom"/>
            <w:hideMark/>
          </w:tcPr>
          <w:p w14:paraId="51860542"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6.5%</w:t>
            </w:r>
          </w:p>
        </w:tc>
      </w:tr>
      <w:tr w:rsidR="00360825" w:rsidRPr="00DE1AA1" w14:paraId="0A567346"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00CF6075" w14:textId="77777777" w:rsidR="00360825" w:rsidRPr="00DE1AA1" w:rsidRDefault="00360825" w:rsidP="00C04569">
            <w:pPr>
              <w:keepNext/>
              <w:widowControl w:val="0"/>
              <w:spacing w:after="0" w:line="300" w:lineRule="auto"/>
              <w:rPr>
                <w:rFonts w:ascii="Arial" w:hAnsi="Arial" w:cs="Arial"/>
                <w:spacing w:val="-6"/>
                <w:sz w:val="20"/>
                <w:szCs w:val="20"/>
              </w:rPr>
            </w:pPr>
            <w:r w:rsidRPr="00DE1AA1">
              <w:rPr>
                <w:rFonts w:ascii="Arial" w:hAnsi="Arial" w:cs="Arial"/>
                <w:spacing w:val="-6"/>
                <w:sz w:val="20"/>
                <w:szCs w:val="20"/>
              </w:rPr>
              <w:t>TOTAL</w:t>
            </w:r>
          </w:p>
        </w:tc>
        <w:tc>
          <w:tcPr>
            <w:tcW w:w="1667" w:type="pct"/>
            <w:tcBorders>
              <w:top w:val="single" w:sz="4" w:space="0" w:color="auto"/>
              <w:left w:val="single" w:sz="4" w:space="0" w:color="auto"/>
              <w:bottom w:val="single" w:sz="4" w:space="0" w:color="auto"/>
              <w:right w:val="single" w:sz="4" w:space="0" w:color="auto"/>
            </w:tcBorders>
            <w:vAlign w:val="bottom"/>
            <w:hideMark/>
          </w:tcPr>
          <w:p w14:paraId="2EB40FC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1,226</w:t>
            </w:r>
          </w:p>
        </w:tc>
        <w:tc>
          <w:tcPr>
            <w:tcW w:w="1667" w:type="pct"/>
            <w:tcBorders>
              <w:top w:val="single" w:sz="4" w:space="0" w:color="auto"/>
              <w:left w:val="single" w:sz="4" w:space="0" w:color="auto"/>
              <w:bottom w:val="single" w:sz="4" w:space="0" w:color="auto"/>
              <w:right w:val="single" w:sz="4" w:space="0" w:color="auto"/>
            </w:tcBorders>
            <w:vAlign w:val="bottom"/>
            <w:hideMark/>
          </w:tcPr>
          <w:p w14:paraId="4CCDB2F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100.0%</w:t>
            </w:r>
          </w:p>
        </w:tc>
      </w:tr>
    </w:tbl>
    <w:p w14:paraId="31910A90"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Local Authority Housing Statistics, 2020</w:t>
      </w:r>
    </w:p>
    <w:p w14:paraId="244F10C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tables below show the modelled outputs of need by dwelling size in the three broad tenures. Tables are providing by linking to local and regional occupancy patterns with a further table combining the outputs from the two models.</w:t>
      </w:r>
    </w:p>
    <w:p w14:paraId="084278CF" w14:textId="77777777" w:rsidR="00360825" w:rsidRPr="00D556DB" w:rsidRDefault="00360825" w:rsidP="001A7584">
      <w:pPr>
        <w:pStyle w:val="Heading4"/>
        <w:ind w:firstLine="0"/>
      </w:pPr>
      <w:r w:rsidRPr="00D556DB">
        <w:t>Modelled Mix of Housing by Size and Tenure in Chichester (linked to local occupancy patterns)</w:t>
      </w:r>
    </w:p>
    <w:tbl>
      <w:tblPr>
        <w:tblW w:w="5000" w:type="pct"/>
        <w:tblLook w:val="04A0" w:firstRow="1" w:lastRow="0" w:firstColumn="1" w:lastColumn="0" w:noHBand="0" w:noVBand="1"/>
      </w:tblPr>
      <w:tblGrid>
        <w:gridCol w:w="3009"/>
        <w:gridCol w:w="1443"/>
        <w:gridCol w:w="1443"/>
        <w:gridCol w:w="1443"/>
        <w:gridCol w:w="1439"/>
      </w:tblGrid>
      <w:tr w:rsidR="00360825" w:rsidRPr="00DE1AA1" w14:paraId="6565F0FD" w14:textId="77777777" w:rsidTr="00C04569">
        <w:tc>
          <w:tcPr>
            <w:tcW w:w="1714" w:type="pct"/>
            <w:tcBorders>
              <w:top w:val="single" w:sz="4" w:space="0" w:color="auto"/>
              <w:left w:val="single" w:sz="4" w:space="0" w:color="auto"/>
              <w:bottom w:val="single" w:sz="4" w:space="0" w:color="auto"/>
              <w:right w:val="single" w:sz="4" w:space="0" w:color="auto"/>
            </w:tcBorders>
            <w:shd w:val="clear" w:color="auto" w:fill="002060"/>
          </w:tcPr>
          <w:p w14:paraId="7921559E" w14:textId="77777777" w:rsidR="00360825" w:rsidRPr="00DE1AA1" w:rsidRDefault="00360825" w:rsidP="00C04569">
            <w:pPr>
              <w:keepNext/>
              <w:spacing w:before="60" w:after="60" w:line="300" w:lineRule="auto"/>
              <w:jc w:val="left"/>
              <w:rPr>
                <w:rFonts w:ascii="Arial" w:hAnsi="Arial" w:cs="Arial"/>
                <w:bCs/>
              </w:rPr>
            </w:pP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0EDE85FD"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1-bedroom</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09C6EA7E"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2-bedrooms</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2F1EA45D"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3-bedrooms</w:t>
            </w:r>
          </w:p>
        </w:tc>
        <w:tc>
          <w:tcPr>
            <w:tcW w:w="820" w:type="pct"/>
            <w:tcBorders>
              <w:top w:val="single" w:sz="4" w:space="0" w:color="auto"/>
              <w:left w:val="single" w:sz="4" w:space="0" w:color="auto"/>
              <w:bottom w:val="single" w:sz="4" w:space="0" w:color="auto"/>
              <w:right w:val="single" w:sz="4" w:space="0" w:color="auto"/>
            </w:tcBorders>
            <w:shd w:val="clear" w:color="auto" w:fill="002060"/>
            <w:hideMark/>
          </w:tcPr>
          <w:p w14:paraId="45944D4A" w14:textId="77777777" w:rsidR="00360825" w:rsidRPr="00DE1AA1" w:rsidRDefault="00360825" w:rsidP="00C04569">
            <w:pPr>
              <w:keepNext/>
              <w:widowControl w:val="0"/>
              <w:spacing w:before="60" w:after="60" w:line="300" w:lineRule="auto"/>
              <w:jc w:val="center"/>
              <w:rPr>
                <w:rFonts w:ascii="Arial" w:hAnsi="Arial" w:cs="Arial"/>
                <w:bCs/>
                <w:spacing w:val="-6"/>
              </w:rPr>
            </w:pPr>
            <w:r w:rsidRPr="00DE1AA1">
              <w:rPr>
                <w:rFonts w:ascii="Arial" w:hAnsi="Arial" w:cs="Arial"/>
                <w:bCs/>
                <w:spacing w:val="-6"/>
              </w:rPr>
              <w:t>4+-bedrooms</w:t>
            </w:r>
          </w:p>
        </w:tc>
      </w:tr>
      <w:tr w:rsidR="00360825" w:rsidRPr="00DE1AA1" w14:paraId="4AF0440E"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12DB0356"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Market</w:t>
            </w:r>
          </w:p>
        </w:tc>
        <w:tc>
          <w:tcPr>
            <w:tcW w:w="822" w:type="pct"/>
            <w:tcBorders>
              <w:top w:val="single" w:sz="4" w:space="0" w:color="auto"/>
              <w:left w:val="single" w:sz="4" w:space="0" w:color="auto"/>
              <w:bottom w:val="single" w:sz="4" w:space="0" w:color="auto"/>
              <w:right w:val="single" w:sz="4" w:space="0" w:color="auto"/>
            </w:tcBorders>
            <w:vAlign w:val="bottom"/>
            <w:hideMark/>
          </w:tcPr>
          <w:p w14:paraId="771BC385"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5%</w:t>
            </w:r>
          </w:p>
        </w:tc>
        <w:tc>
          <w:tcPr>
            <w:tcW w:w="822" w:type="pct"/>
            <w:tcBorders>
              <w:top w:val="single" w:sz="4" w:space="0" w:color="auto"/>
              <w:left w:val="single" w:sz="4" w:space="0" w:color="auto"/>
              <w:bottom w:val="single" w:sz="4" w:space="0" w:color="auto"/>
              <w:right w:val="single" w:sz="4" w:space="0" w:color="auto"/>
            </w:tcBorders>
            <w:vAlign w:val="bottom"/>
            <w:hideMark/>
          </w:tcPr>
          <w:p w14:paraId="7F28B7E1"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30%</w:t>
            </w:r>
          </w:p>
        </w:tc>
        <w:tc>
          <w:tcPr>
            <w:tcW w:w="822" w:type="pct"/>
            <w:tcBorders>
              <w:top w:val="single" w:sz="4" w:space="0" w:color="auto"/>
              <w:left w:val="single" w:sz="4" w:space="0" w:color="auto"/>
              <w:bottom w:val="single" w:sz="4" w:space="0" w:color="auto"/>
              <w:right w:val="single" w:sz="4" w:space="0" w:color="auto"/>
            </w:tcBorders>
            <w:vAlign w:val="bottom"/>
            <w:hideMark/>
          </w:tcPr>
          <w:p w14:paraId="58232899"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42%</w:t>
            </w:r>
          </w:p>
        </w:tc>
        <w:tc>
          <w:tcPr>
            <w:tcW w:w="820" w:type="pct"/>
            <w:tcBorders>
              <w:top w:val="single" w:sz="4" w:space="0" w:color="auto"/>
              <w:left w:val="single" w:sz="4" w:space="0" w:color="auto"/>
              <w:bottom w:val="single" w:sz="4" w:space="0" w:color="auto"/>
              <w:right w:val="single" w:sz="4" w:space="0" w:color="auto"/>
            </w:tcBorders>
            <w:vAlign w:val="bottom"/>
            <w:hideMark/>
          </w:tcPr>
          <w:p w14:paraId="57D96B25"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23%</w:t>
            </w:r>
          </w:p>
        </w:tc>
      </w:tr>
      <w:tr w:rsidR="00360825" w:rsidRPr="00DE1AA1" w14:paraId="23869339"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7E6FB036"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home ownership</w:t>
            </w:r>
          </w:p>
        </w:tc>
        <w:tc>
          <w:tcPr>
            <w:tcW w:w="822" w:type="pct"/>
            <w:tcBorders>
              <w:top w:val="single" w:sz="4" w:space="0" w:color="auto"/>
              <w:left w:val="single" w:sz="4" w:space="0" w:color="auto"/>
              <w:bottom w:val="single" w:sz="4" w:space="0" w:color="auto"/>
              <w:right w:val="single" w:sz="4" w:space="0" w:color="auto"/>
            </w:tcBorders>
            <w:vAlign w:val="bottom"/>
            <w:hideMark/>
          </w:tcPr>
          <w:p w14:paraId="1DC813BC"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19%</w:t>
            </w:r>
          </w:p>
        </w:tc>
        <w:tc>
          <w:tcPr>
            <w:tcW w:w="822" w:type="pct"/>
            <w:tcBorders>
              <w:top w:val="single" w:sz="4" w:space="0" w:color="auto"/>
              <w:left w:val="single" w:sz="4" w:space="0" w:color="auto"/>
              <w:bottom w:val="single" w:sz="4" w:space="0" w:color="auto"/>
              <w:right w:val="single" w:sz="4" w:space="0" w:color="auto"/>
            </w:tcBorders>
            <w:vAlign w:val="bottom"/>
            <w:hideMark/>
          </w:tcPr>
          <w:p w14:paraId="1FA9E08D"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39%</w:t>
            </w:r>
          </w:p>
        </w:tc>
        <w:tc>
          <w:tcPr>
            <w:tcW w:w="822" w:type="pct"/>
            <w:tcBorders>
              <w:top w:val="single" w:sz="4" w:space="0" w:color="auto"/>
              <w:left w:val="single" w:sz="4" w:space="0" w:color="auto"/>
              <w:bottom w:val="single" w:sz="4" w:space="0" w:color="auto"/>
              <w:right w:val="single" w:sz="4" w:space="0" w:color="auto"/>
            </w:tcBorders>
            <w:vAlign w:val="bottom"/>
            <w:hideMark/>
          </w:tcPr>
          <w:p w14:paraId="53183F1D"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30%</w:t>
            </w:r>
          </w:p>
        </w:tc>
        <w:tc>
          <w:tcPr>
            <w:tcW w:w="820" w:type="pct"/>
            <w:tcBorders>
              <w:top w:val="single" w:sz="4" w:space="0" w:color="auto"/>
              <w:left w:val="single" w:sz="4" w:space="0" w:color="auto"/>
              <w:bottom w:val="single" w:sz="4" w:space="0" w:color="auto"/>
              <w:right w:val="single" w:sz="4" w:space="0" w:color="auto"/>
            </w:tcBorders>
            <w:vAlign w:val="bottom"/>
            <w:hideMark/>
          </w:tcPr>
          <w:p w14:paraId="643A16B9"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12%</w:t>
            </w:r>
          </w:p>
        </w:tc>
      </w:tr>
      <w:tr w:rsidR="00360825" w:rsidRPr="00DE1AA1" w14:paraId="5CFF574D"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7CCAA747"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housing (rented)</w:t>
            </w:r>
          </w:p>
        </w:tc>
        <w:tc>
          <w:tcPr>
            <w:tcW w:w="822" w:type="pct"/>
            <w:tcBorders>
              <w:top w:val="single" w:sz="4" w:space="0" w:color="auto"/>
              <w:left w:val="single" w:sz="4" w:space="0" w:color="auto"/>
              <w:bottom w:val="single" w:sz="4" w:space="0" w:color="auto"/>
              <w:right w:val="single" w:sz="4" w:space="0" w:color="auto"/>
            </w:tcBorders>
            <w:vAlign w:val="bottom"/>
            <w:hideMark/>
          </w:tcPr>
          <w:p w14:paraId="05804A21"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32%</w:t>
            </w:r>
          </w:p>
        </w:tc>
        <w:tc>
          <w:tcPr>
            <w:tcW w:w="822" w:type="pct"/>
            <w:tcBorders>
              <w:top w:val="single" w:sz="4" w:space="0" w:color="auto"/>
              <w:left w:val="single" w:sz="4" w:space="0" w:color="auto"/>
              <w:bottom w:val="single" w:sz="4" w:space="0" w:color="auto"/>
              <w:right w:val="single" w:sz="4" w:space="0" w:color="auto"/>
            </w:tcBorders>
            <w:vAlign w:val="bottom"/>
            <w:hideMark/>
          </w:tcPr>
          <w:p w14:paraId="25A886DE"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43%</w:t>
            </w:r>
          </w:p>
        </w:tc>
        <w:tc>
          <w:tcPr>
            <w:tcW w:w="822" w:type="pct"/>
            <w:tcBorders>
              <w:top w:val="single" w:sz="4" w:space="0" w:color="auto"/>
              <w:left w:val="single" w:sz="4" w:space="0" w:color="auto"/>
              <w:bottom w:val="single" w:sz="4" w:space="0" w:color="auto"/>
              <w:right w:val="single" w:sz="4" w:space="0" w:color="auto"/>
            </w:tcBorders>
            <w:vAlign w:val="bottom"/>
            <w:hideMark/>
          </w:tcPr>
          <w:p w14:paraId="4D4AB2F0"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23%</w:t>
            </w:r>
          </w:p>
        </w:tc>
        <w:tc>
          <w:tcPr>
            <w:tcW w:w="820" w:type="pct"/>
            <w:tcBorders>
              <w:top w:val="single" w:sz="4" w:space="0" w:color="auto"/>
              <w:left w:val="single" w:sz="4" w:space="0" w:color="auto"/>
              <w:bottom w:val="single" w:sz="4" w:space="0" w:color="auto"/>
              <w:right w:val="single" w:sz="4" w:space="0" w:color="auto"/>
            </w:tcBorders>
            <w:vAlign w:val="bottom"/>
            <w:hideMark/>
          </w:tcPr>
          <w:p w14:paraId="45BF752F"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w:t>
            </w:r>
          </w:p>
        </w:tc>
      </w:tr>
    </w:tbl>
    <w:p w14:paraId="4AC50CE6"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Housing Market Model</w:t>
      </w:r>
    </w:p>
    <w:p w14:paraId="048CAAED" w14:textId="77777777" w:rsidR="00360825" w:rsidRPr="00DE1AA1" w:rsidRDefault="00360825" w:rsidP="001A7584">
      <w:pPr>
        <w:pStyle w:val="Heading4"/>
        <w:ind w:firstLine="0"/>
        <w:rPr>
          <w:color w:val="808080" w:themeColor="background1" w:themeShade="80"/>
        </w:rPr>
      </w:pPr>
      <w:r w:rsidRPr="00D556DB">
        <w:t>Modelled</w:t>
      </w:r>
      <w:r w:rsidRPr="00DE1AA1">
        <w:t xml:space="preserve"> Mix of Housing by Size and Tenure in Chichester (linked to regional occupancy patterns)</w:t>
      </w:r>
    </w:p>
    <w:tbl>
      <w:tblPr>
        <w:tblW w:w="5000" w:type="pct"/>
        <w:tblLook w:val="04A0" w:firstRow="1" w:lastRow="0" w:firstColumn="1" w:lastColumn="0" w:noHBand="0" w:noVBand="1"/>
      </w:tblPr>
      <w:tblGrid>
        <w:gridCol w:w="3009"/>
        <w:gridCol w:w="1443"/>
        <w:gridCol w:w="1443"/>
        <w:gridCol w:w="1443"/>
        <w:gridCol w:w="1439"/>
      </w:tblGrid>
      <w:tr w:rsidR="00360825" w:rsidRPr="00DE1AA1" w14:paraId="1E3E4217" w14:textId="77777777" w:rsidTr="00C04569">
        <w:tc>
          <w:tcPr>
            <w:tcW w:w="1714" w:type="pct"/>
            <w:tcBorders>
              <w:top w:val="single" w:sz="4" w:space="0" w:color="auto"/>
              <w:left w:val="single" w:sz="4" w:space="0" w:color="auto"/>
              <w:bottom w:val="single" w:sz="4" w:space="0" w:color="auto"/>
              <w:right w:val="single" w:sz="4" w:space="0" w:color="auto"/>
            </w:tcBorders>
            <w:shd w:val="clear" w:color="auto" w:fill="002060"/>
          </w:tcPr>
          <w:p w14:paraId="2385F1A2" w14:textId="77777777" w:rsidR="00360825" w:rsidRPr="00DE1AA1" w:rsidRDefault="00360825" w:rsidP="00C04569">
            <w:pPr>
              <w:keepNext/>
              <w:spacing w:before="60" w:after="60" w:line="300" w:lineRule="auto"/>
              <w:jc w:val="left"/>
              <w:rPr>
                <w:rFonts w:ascii="Arial" w:hAnsi="Arial" w:cs="Arial"/>
                <w:bCs/>
              </w:rPr>
            </w:pP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64939BC8"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1-bedroom</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0DCC2FE3"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2-bedrooms</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6D55BDFA"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3-bedrooms</w:t>
            </w:r>
          </w:p>
        </w:tc>
        <w:tc>
          <w:tcPr>
            <w:tcW w:w="820" w:type="pct"/>
            <w:tcBorders>
              <w:top w:val="single" w:sz="4" w:space="0" w:color="auto"/>
              <w:left w:val="single" w:sz="4" w:space="0" w:color="auto"/>
              <w:bottom w:val="single" w:sz="4" w:space="0" w:color="auto"/>
              <w:right w:val="single" w:sz="4" w:space="0" w:color="auto"/>
            </w:tcBorders>
            <w:shd w:val="clear" w:color="auto" w:fill="002060"/>
            <w:hideMark/>
          </w:tcPr>
          <w:p w14:paraId="0D660799" w14:textId="77777777" w:rsidR="00360825" w:rsidRPr="00DE1AA1" w:rsidRDefault="00360825" w:rsidP="00C04569">
            <w:pPr>
              <w:keepNext/>
              <w:widowControl w:val="0"/>
              <w:spacing w:before="60" w:after="60" w:line="300" w:lineRule="auto"/>
              <w:jc w:val="center"/>
              <w:rPr>
                <w:rFonts w:ascii="Arial" w:hAnsi="Arial" w:cs="Arial"/>
                <w:bCs/>
                <w:spacing w:val="-6"/>
              </w:rPr>
            </w:pPr>
            <w:r w:rsidRPr="00DE1AA1">
              <w:rPr>
                <w:rFonts w:ascii="Arial" w:hAnsi="Arial" w:cs="Arial"/>
                <w:bCs/>
                <w:spacing w:val="-6"/>
              </w:rPr>
              <w:t>4+-bedrooms</w:t>
            </w:r>
          </w:p>
        </w:tc>
      </w:tr>
      <w:tr w:rsidR="00360825" w:rsidRPr="00DE1AA1" w14:paraId="5551331F"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557A2719"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Market</w:t>
            </w:r>
          </w:p>
        </w:tc>
        <w:tc>
          <w:tcPr>
            <w:tcW w:w="822" w:type="pct"/>
            <w:tcBorders>
              <w:top w:val="single" w:sz="4" w:space="0" w:color="auto"/>
              <w:left w:val="single" w:sz="4" w:space="0" w:color="auto"/>
              <w:bottom w:val="single" w:sz="4" w:space="0" w:color="auto"/>
              <w:right w:val="single" w:sz="4" w:space="0" w:color="auto"/>
            </w:tcBorders>
            <w:vAlign w:val="bottom"/>
            <w:hideMark/>
          </w:tcPr>
          <w:p w14:paraId="4A3AD381"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6%</w:t>
            </w:r>
          </w:p>
        </w:tc>
        <w:tc>
          <w:tcPr>
            <w:tcW w:w="822" w:type="pct"/>
            <w:tcBorders>
              <w:top w:val="single" w:sz="4" w:space="0" w:color="auto"/>
              <w:left w:val="single" w:sz="4" w:space="0" w:color="auto"/>
              <w:bottom w:val="single" w:sz="4" w:space="0" w:color="auto"/>
              <w:right w:val="single" w:sz="4" w:space="0" w:color="auto"/>
            </w:tcBorders>
            <w:vAlign w:val="bottom"/>
            <w:hideMark/>
          </w:tcPr>
          <w:p w14:paraId="4DD0EB82"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30%</w:t>
            </w:r>
          </w:p>
        </w:tc>
        <w:tc>
          <w:tcPr>
            <w:tcW w:w="822" w:type="pct"/>
            <w:tcBorders>
              <w:top w:val="single" w:sz="4" w:space="0" w:color="auto"/>
              <w:left w:val="single" w:sz="4" w:space="0" w:color="auto"/>
              <w:bottom w:val="single" w:sz="4" w:space="0" w:color="auto"/>
              <w:right w:val="single" w:sz="4" w:space="0" w:color="auto"/>
            </w:tcBorders>
            <w:vAlign w:val="bottom"/>
            <w:hideMark/>
          </w:tcPr>
          <w:p w14:paraId="62E7A66D"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44%</w:t>
            </w:r>
          </w:p>
        </w:tc>
        <w:tc>
          <w:tcPr>
            <w:tcW w:w="820" w:type="pct"/>
            <w:tcBorders>
              <w:top w:val="single" w:sz="4" w:space="0" w:color="auto"/>
              <w:left w:val="single" w:sz="4" w:space="0" w:color="auto"/>
              <w:bottom w:val="single" w:sz="4" w:space="0" w:color="auto"/>
              <w:right w:val="single" w:sz="4" w:space="0" w:color="auto"/>
            </w:tcBorders>
            <w:vAlign w:val="bottom"/>
            <w:hideMark/>
          </w:tcPr>
          <w:p w14:paraId="6BE89962"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20%</w:t>
            </w:r>
          </w:p>
        </w:tc>
      </w:tr>
      <w:tr w:rsidR="00360825" w:rsidRPr="00DE1AA1" w14:paraId="40F53ED1"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2723031B"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home ownership</w:t>
            </w:r>
          </w:p>
        </w:tc>
        <w:tc>
          <w:tcPr>
            <w:tcW w:w="822" w:type="pct"/>
            <w:tcBorders>
              <w:top w:val="single" w:sz="4" w:space="0" w:color="auto"/>
              <w:left w:val="single" w:sz="4" w:space="0" w:color="auto"/>
              <w:bottom w:val="single" w:sz="4" w:space="0" w:color="auto"/>
              <w:right w:val="single" w:sz="4" w:space="0" w:color="auto"/>
            </w:tcBorders>
            <w:vAlign w:val="bottom"/>
            <w:hideMark/>
          </w:tcPr>
          <w:p w14:paraId="053AEA4B"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26%</w:t>
            </w:r>
          </w:p>
        </w:tc>
        <w:tc>
          <w:tcPr>
            <w:tcW w:w="822" w:type="pct"/>
            <w:tcBorders>
              <w:top w:val="single" w:sz="4" w:space="0" w:color="auto"/>
              <w:left w:val="single" w:sz="4" w:space="0" w:color="auto"/>
              <w:bottom w:val="single" w:sz="4" w:space="0" w:color="auto"/>
              <w:right w:val="single" w:sz="4" w:space="0" w:color="auto"/>
            </w:tcBorders>
            <w:vAlign w:val="bottom"/>
            <w:hideMark/>
          </w:tcPr>
          <w:p w14:paraId="403AFDA9"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38%</w:t>
            </w:r>
          </w:p>
        </w:tc>
        <w:tc>
          <w:tcPr>
            <w:tcW w:w="822" w:type="pct"/>
            <w:tcBorders>
              <w:top w:val="single" w:sz="4" w:space="0" w:color="auto"/>
              <w:left w:val="single" w:sz="4" w:space="0" w:color="auto"/>
              <w:bottom w:val="single" w:sz="4" w:space="0" w:color="auto"/>
              <w:right w:val="single" w:sz="4" w:space="0" w:color="auto"/>
            </w:tcBorders>
            <w:vAlign w:val="bottom"/>
            <w:hideMark/>
          </w:tcPr>
          <w:p w14:paraId="32222200"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25%</w:t>
            </w:r>
          </w:p>
        </w:tc>
        <w:tc>
          <w:tcPr>
            <w:tcW w:w="820" w:type="pct"/>
            <w:tcBorders>
              <w:top w:val="single" w:sz="4" w:space="0" w:color="auto"/>
              <w:left w:val="single" w:sz="4" w:space="0" w:color="auto"/>
              <w:bottom w:val="single" w:sz="4" w:space="0" w:color="auto"/>
              <w:right w:val="single" w:sz="4" w:space="0" w:color="auto"/>
            </w:tcBorders>
            <w:vAlign w:val="bottom"/>
            <w:hideMark/>
          </w:tcPr>
          <w:p w14:paraId="627F192A"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11%</w:t>
            </w:r>
          </w:p>
        </w:tc>
      </w:tr>
      <w:tr w:rsidR="00360825" w:rsidRPr="00DE1AA1" w14:paraId="28124E6B"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1B77BA9C"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housing (rented)</w:t>
            </w:r>
          </w:p>
        </w:tc>
        <w:tc>
          <w:tcPr>
            <w:tcW w:w="822" w:type="pct"/>
            <w:tcBorders>
              <w:top w:val="single" w:sz="4" w:space="0" w:color="auto"/>
              <w:left w:val="single" w:sz="4" w:space="0" w:color="auto"/>
              <w:bottom w:val="single" w:sz="4" w:space="0" w:color="auto"/>
              <w:right w:val="single" w:sz="4" w:space="0" w:color="auto"/>
            </w:tcBorders>
            <w:vAlign w:val="bottom"/>
            <w:hideMark/>
          </w:tcPr>
          <w:p w14:paraId="5B3EAE9D"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42%</w:t>
            </w:r>
          </w:p>
        </w:tc>
        <w:tc>
          <w:tcPr>
            <w:tcW w:w="822" w:type="pct"/>
            <w:tcBorders>
              <w:top w:val="single" w:sz="4" w:space="0" w:color="auto"/>
              <w:left w:val="single" w:sz="4" w:space="0" w:color="auto"/>
              <w:bottom w:val="single" w:sz="4" w:space="0" w:color="auto"/>
              <w:right w:val="single" w:sz="4" w:space="0" w:color="auto"/>
            </w:tcBorders>
            <w:vAlign w:val="bottom"/>
            <w:hideMark/>
          </w:tcPr>
          <w:p w14:paraId="0EBDA2DE"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31%</w:t>
            </w:r>
          </w:p>
        </w:tc>
        <w:tc>
          <w:tcPr>
            <w:tcW w:w="822" w:type="pct"/>
            <w:tcBorders>
              <w:top w:val="single" w:sz="4" w:space="0" w:color="auto"/>
              <w:left w:val="single" w:sz="4" w:space="0" w:color="auto"/>
              <w:bottom w:val="single" w:sz="4" w:space="0" w:color="auto"/>
              <w:right w:val="single" w:sz="4" w:space="0" w:color="auto"/>
            </w:tcBorders>
            <w:vAlign w:val="bottom"/>
            <w:hideMark/>
          </w:tcPr>
          <w:p w14:paraId="1C1DCC5B"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24%</w:t>
            </w:r>
          </w:p>
        </w:tc>
        <w:tc>
          <w:tcPr>
            <w:tcW w:w="820" w:type="pct"/>
            <w:tcBorders>
              <w:top w:val="single" w:sz="4" w:space="0" w:color="auto"/>
              <w:left w:val="single" w:sz="4" w:space="0" w:color="auto"/>
              <w:bottom w:val="single" w:sz="4" w:space="0" w:color="auto"/>
              <w:right w:val="single" w:sz="4" w:space="0" w:color="auto"/>
            </w:tcBorders>
            <w:vAlign w:val="bottom"/>
            <w:hideMark/>
          </w:tcPr>
          <w:p w14:paraId="3E359141"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w:t>
            </w:r>
          </w:p>
        </w:tc>
      </w:tr>
    </w:tbl>
    <w:p w14:paraId="6157369C"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Housing Market Model</w:t>
      </w:r>
    </w:p>
    <w:p w14:paraId="69D6F368" w14:textId="77777777" w:rsidR="00360825" w:rsidRPr="00DE1AA1" w:rsidRDefault="00360825" w:rsidP="001A7584">
      <w:pPr>
        <w:pStyle w:val="Heading4"/>
        <w:ind w:firstLine="0"/>
        <w:rPr>
          <w:color w:val="808080" w:themeColor="background1" w:themeShade="80"/>
        </w:rPr>
      </w:pPr>
      <w:r w:rsidRPr="00DE1AA1">
        <w:lastRenderedPageBreak/>
        <w:t>Modelled Mix of Housing by Size and Tenure in Chichester (combining methodologies)</w:t>
      </w:r>
    </w:p>
    <w:tbl>
      <w:tblPr>
        <w:tblW w:w="5000" w:type="pct"/>
        <w:tblLook w:val="04A0" w:firstRow="1" w:lastRow="0" w:firstColumn="1" w:lastColumn="0" w:noHBand="0" w:noVBand="1"/>
      </w:tblPr>
      <w:tblGrid>
        <w:gridCol w:w="3009"/>
        <w:gridCol w:w="1443"/>
        <w:gridCol w:w="1443"/>
        <w:gridCol w:w="1443"/>
        <w:gridCol w:w="1439"/>
      </w:tblGrid>
      <w:tr w:rsidR="00360825" w:rsidRPr="00DE1AA1" w14:paraId="0BE6D43C" w14:textId="77777777" w:rsidTr="00C04569">
        <w:tc>
          <w:tcPr>
            <w:tcW w:w="1714" w:type="pct"/>
            <w:tcBorders>
              <w:top w:val="single" w:sz="4" w:space="0" w:color="auto"/>
              <w:left w:val="single" w:sz="4" w:space="0" w:color="auto"/>
              <w:bottom w:val="single" w:sz="4" w:space="0" w:color="auto"/>
              <w:right w:val="single" w:sz="4" w:space="0" w:color="auto"/>
            </w:tcBorders>
            <w:shd w:val="clear" w:color="auto" w:fill="002060"/>
          </w:tcPr>
          <w:p w14:paraId="7644DCD5" w14:textId="77777777" w:rsidR="00360825" w:rsidRPr="00DE1AA1" w:rsidRDefault="00360825" w:rsidP="00C04569">
            <w:pPr>
              <w:keepNext/>
              <w:spacing w:before="60" w:after="60" w:line="300" w:lineRule="auto"/>
              <w:jc w:val="left"/>
              <w:rPr>
                <w:rFonts w:ascii="Arial" w:hAnsi="Arial" w:cs="Arial"/>
                <w:bCs/>
              </w:rPr>
            </w:pP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4AD8C17A"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1-bedroom</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788346F3"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2-bedrooms</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5F45CC1D"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3-bedrooms</w:t>
            </w:r>
          </w:p>
        </w:tc>
        <w:tc>
          <w:tcPr>
            <w:tcW w:w="820" w:type="pct"/>
            <w:tcBorders>
              <w:top w:val="single" w:sz="4" w:space="0" w:color="auto"/>
              <w:left w:val="single" w:sz="4" w:space="0" w:color="auto"/>
              <w:bottom w:val="single" w:sz="4" w:space="0" w:color="auto"/>
              <w:right w:val="single" w:sz="4" w:space="0" w:color="auto"/>
            </w:tcBorders>
            <w:shd w:val="clear" w:color="auto" w:fill="002060"/>
            <w:hideMark/>
          </w:tcPr>
          <w:p w14:paraId="13B46DD9" w14:textId="77777777" w:rsidR="00360825" w:rsidRPr="00DE1AA1" w:rsidRDefault="00360825" w:rsidP="00C04569">
            <w:pPr>
              <w:keepNext/>
              <w:widowControl w:val="0"/>
              <w:spacing w:before="60" w:after="60" w:line="300" w:lineRule="auto"/>
              <w:jc w:val="center"/>
              <w:rPr>
                <w:rFonts w:ascii="Arial" w:hAnsi="Arial" w:cs="Arial"/>
                <w:bCs/>
                <w:spacing w:val="-6"/>
              </w:rPr>
            </w:pPr>
            <w:r w:rsidRPr="00DE1AA1">
              <w:rPr>
                <w:rFonts w:ascii="Arial" w:hAnsi="Arial" w:cs="Arial"/>
                <w:bCs/>
                <w:spacing w:val="-6"/>
              </w:rPr>
              <w:t>4+-bedrooms</w:t>
            </w:r>
          </w:p>
        </w:tc>
      </w:tr>
      <w:tr w:rsidR="00360825" w:rsidRPr="00DE1AA1" w14:paraId="51A1EF0F"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3168B054"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Market</w:t>
            </w:r>
          </w:p>
        </w:tc>
        <w:tc>
          <w:tcPr>
            <w:tcW w:w="822" w:type="pct"/>
            <w:tcBorders>
              <w:top w:val="single" w:sz="4" w:space="0" w:color="auto"/>
              <w:left w:val="single" w:sz="4" w:space="0" w:color="auto"/>
              <w:bottom w:val="single" w:sz="4" w:space="0" w:color="auto"/>
              <w:right w:val="single" w:sz="4" w:space="0" w:color="auto"/>
            </w:tcBorders>
            <w:vAlign w:val="bottom"/>
            <w:hideMark/>
          </w:tcPr>
          <w:p w14:paraId="184158A4"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6%</w:t>
            </w:r>
          </w:p>
        </w:tc>
        <w:tc>
          <w:tcPr>
            <w:tcW w:w="822" w:type="pct"/>
            <w:tcBorders>
              <w:top w:val="single" w:sz="4" w:space="0" w:color="auto"/>
              <w:left w:val="single" w:sz="4" w:space="0" w:color="auto"/>
              <w:bottom w:val="single" w:sz="4" w:space="0" w:color="auto"/>
              <w:right w:val="single" w:sz="4" w:space="0" w:color="auto"/>
            </w:tcBorders>
            <w:vAlign w:val="bottom"/>
            <w:hideMark/>
          </w:tcPr>
          <w:p w14:paraId="1DF2420E"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30%</w:t>
            </w:r>
          </w:p>
        </w:tc>
        <w:tc>
          <w:tcPr>
            <w:tcW w:w="822" w:type="pct"/>
            <w:tcBorders>
              <w:top w:val="single" w:sz="4" w:space="0" w:color="auto"/>
              <w:left w:val="single" w:sz="4" w:space="0" w:color="auto"/>
              <w:bottom w:val="single" w:sz="4" w:space="0" w:color="auto"/>
              <w:right w:val="single" w:sz="4" w:space="0" w:color="auto"/>
            </w:tcBorders>
            <w:vAlign w:val="bottom"/>
            <w:hideMark/>
          </w:tcPr>
          <w:p w14:paraId="71DCC895"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43%</w:t>
            </w:r>
          </w:p>
        </w:tc>
        <w:tc>
          <w:tcPr>
            <w:tcW w:w="820" w:type="pct"/>
            <w:tcBorders>
              <w:top w:val="single" w:sz="4" w:space="0" w:color="auto"/>
              <w:left w:val="single" w:sz="4" w:space="0" w:color="auto"/>
              <w:bottom w:val="single" w:sz="4" w:space="0" w:color="auto"/>
              <w:right w:val="single" w:sz="4" w:space="0" w:color="auto"/>
            </w:tcBorders>
            <w:vAlign w:val="bottom"/>
            <w:hideMark/>
          </w:tcPr>
          <w:p w14:paraId="3E07F07E"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21%</w:t>
            </w:r>
          </w:p>
        </w:tc>
      </w:tr>
      <w:tr w:rsidR="00360825" w:rsidRPr="00DE1AA1" w14:paraId="565E21AE"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4C5CF1C2"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home ownership</w:t>
            </w:r>
          </w:p>
        </w:tc>
        <w:tc>
          <w:tcPr>
            <w:tcW w:w="822" w:type="pct"/>
            <w:tcBorders>
              <w:top w:val="single" w:sz="4" w:space="0" w:color="auto"/>
              <w:left w:val="single" w:sz="4" w:space="0" w:color="auto"/>
              <w:bottom w:val="single" w:sz="4" w:space="0" w:color="auto"/>
              <w:right w:val="single" w:sz="4" w:space="0" w:color="auto"/>
            </w:tcBorders>
            <w:vAlign w:val="bottom"/>
            <w:hideMark/>
          </w:tcPr>
          <w:p w14:paraId="24B37B1E"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22%</w:t>
            </w:r>
          </w:p>
        </w:tc>
        <w:tc>
          <w:tcPr>
            <w:tcW w:w="822" w:type="pct"/>
            <w:tcBorders>
              <w:top w:val="single" w:sz="4" w:space="0" w:color="auto"/>
              <w:left w:val="single" w:sz="4" w:space="0" w:color="auto"/>
              <w:bottom w:val="single" w:sz="4" w:space="0" w:color="auto"/>
              <w:right w:val="single" w:sz="4" w:space="0" w:color="auto"/>
            </w:tcBorders>
            <w:vAlign w:val="bottom"/>
            <w:hideMark/>
          </w:tcPr>
          <w:p w14:paraId="1486E6FF"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39%</w:t>
            </w:r>
          </w:p>
        </w:tc>
        <w:tc>
          <w:tcPr>
            <w:tcW w:w="822" w:type="pct"/>
            <w:tcBorders>
              <w:top w:val="single" w:sz="4" w:space="0" w:color="auto"/>
              <w:left w:val="single" w:sz="4" w:space="0" w:color="auto"/>
              <w:bottom w:val="single" w:sz="4" w:space="0" w:color="auto"/>
              <w:right w:val="single" w:sz="4" w:space="0" w:color="auto"/>
            </w:tcBorders>
            <w:vAlign w:val="bottom"/>
            <w:hideMark/>
          </w:tcPr>
          <w:p w14:paraId="165887DA"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28%</w:t>
            </w:r>
          </w:p>
        </w:tc>
        <w:tc>
          <w:tcPr>
            <w:tcW w:w="820" w:type="pct"/>
            <w:tcBorders>
              <w:top w:val="single" w:sz="4" w:space="0" w:color="auto"/>
              <w:left w:val="single" w:sz="4" w:space="0" w:color="auto"/>
              <w:bottom w:val="single" w:sz="4" w:space="0" w:color="auto"/>
              <w:right w:val="single" w:sz="4" w:space="0" w:color="auto"/>
            </w:tcBorders>
            <w:vAlign w:val="bottom"/>
            <w:hideMark/>
          </w:tcPr>
          <w:p w14:paraId="5D60670C"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11%</w:t>
            </w:r>
          </w:p>
        </w:tc>
      </w:tr>
      <w:tr w:rsidR="00360825" w:rsidRPr="00DE1AA1" w14:paraId="659C9868"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743F06BF"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housing (rented)</w:t>
            </w:r>
          </w:p>
        </w:tc>
        <w:tc>
          <w:tcPr>
            <w:tcW w:w="822" w:type="pct"/>
            <w:tcBorders>
              <w:top w:val="single" w:sz="4" w:space="0" w:color="auto"/>
              <w:left w:val="single" w:sz="4" w:space="0" w:color="auto"/>
              <w:bottom w:val="single" w:sz="4" w:space="0" w:color="auto"/>
              <w:right w:val="single" w:sz="4" w:space="0" w:color="auto"/>
            </w:tcBorders>
            <w:vAlign w:val="bottom"/>
            <w:hideMark/>
          </w:tcPr>
          <w:p w14:paraId="30F2B4DD"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37%</w:t>
            </w:r>
          </w:p>
        </w:tc>
        <w:tc>
          <w:tcPr>
            <w:tcW w:w="822" w:type="pct"/>
            <w:tcBorders>
              <w:top w:val="single" w:sz="4" w:space="0" w:color="auto"/>
              <w:left w:val="single" w:sz="4" w:space="0" w:color="auto"/>
              <w:bottom w:val="single" w:sz="4" w:space="0" w:color="auto"/>
              <w:right w:val="single" w:sz="4" w:space="0" w:color="auto"/>
            </w:tcBorders>
            <w:vAlign w:val="bottom"/>
            <w:hideMark/>
          </w:tcPr>
          <w:p w14:paraId="6A115647"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37%</w:t>
            </w:r>
          </w:p>
        </w:tc>
        <w:tc>
          <w:tcPr>
            <w:tcW w:w="822" w:type="pct"/>
            <w:tcBorders>
              <w:top w:val="single" w:sz="4" w:space="0" w:color="auto"/>
              <w:left w:val="single" w:sz="4" w:space="0" w:color="auto"/>
              <w:bottom w:val="single" w:sz="4" w:space="0" w:color="auto"/>
              <w:right w:val="single" w:sz="4" w:space="0" w:color="auto"/>
            </w:tcBorders>
            <w:vAlign w:val="bottom"/>
            <w:hideMark/>
          </w:tcPr>
          <w:p w14:paraId="3627D363"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23%</w:t>
            </w:r>
          </w:p>
        </w:tc>
        <w:tc>
          <w:tcPr>
            <w:tcW w:w="820" w:type="pct"/>
            <w:tcBorders>
              <w:top w:val="single" w:sz="4" w:space="0" w:color="auto"/>
              <w:left w:val="single" w:sz="4" w:space="0" w:color="auto"/>
              <w:bottom w:val="single" w:sz="4" w:space="0" w:color="auto"/>
              <w:right w:val="single" w:sz="4" w:space="0" w:color="auto"/>
            </w:tcBorders>
            <w:vAlign w:val="bottom"/>
            <w:hideMark/>
          </w:tcPr>
          <w:p w14:paraId="30E53E87"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2%</w:t>
            </w:r>
          </w:p>
        </w:tc>
      </w:tr>
    </w:tbl>
    <w:p w14:paraId="438FC60B" w14:textId="77777777" w:rsidR="00360825"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Housing Market Model</w:t>
      </w:r>
    </w:p>
    <w:p w14:paraId="7DAD5BEC" w14:textId="77777777" w:rsidR="00360825" w:rsidRPr="00D556DB" w:rsidRDefault="00360825" w:rsidP="00360825">
      <w:pPr>
        <w:pStyle w:val="Heading2"/>
        <w:rPr>
          <w:rFonts w:ascii="Arial" w:eastAsiaTheme="majorEastAsia" w:hAnsi="Arial" w:cs="Arial"/>
        </w:rPr>
      </w:pPr>
      <w:r w:rsidRPr="00D556DB">
        <w:rPr>
          <w:rFonts w:ascii="Arial" w:hAnsi="Arial" w:cs="Arial"/>
          <w:bCs/>
        </w:rPr>
        <w:t xml:space="preserve">Adjustments for Under-Occupation and </w:t>
      </w:r>
      <w:r w:rsidRPr="00D556DB">
        <w:rPr>
          <w:rFonts w:ascii="Arial" w:eastAsiaTheme="majorEastAsia" w:hAnsi="Arial" w:cs="Arial"/>
        </w:rPr>
        <w:t>Overcrowding</w:t>
      </w:r>
    </w:p>
    <w:p w14:paraId="7EAC7B5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analysis above sets out the potential need for housing if occupancy patterns remained the same as they were in 2011 (with differences from the current stock profile being driven by demographic change). It is however worth also considering that the 2011 profile will have included households who are overcrowded (and therefore need a larger home than they actually live in) and also those who under-occupy (have more bedrooms than they need).</w:t>
      </w:r>
    </w:p>
    <w:p w14:paraId="3A03EC1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Whilst it would not be reasonable to expect to remove all under-occupancy (particularly in the market sector) it is the case that in seeking to make the most efficient use of land it would be prudent to look to reduce this over time. Indeed, in the future there may be a move away from current (2011) occupancy patterns due to affordability issues (or eligibility in social rented housing) as well as the type of stock likely to be provided (potentially a higher proportion of flats). Further adjustments to the modelled figures above have therefore been made to take account of overcrowding and under-occupancy (by tenure).</w:t>
      </w:r>
    </w:p>
    <w:p w14:paraId="4385904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 below shows a cross-tabulation of a household’s occupancy rating and the number of bedrooms in their home (for owner-occupiers). This shows a high number of households with at least 2 spare bedrooms who are living in homes with 3 or more bedrooms. There are also a small number of overcrowded households. Overall, in the owner-occupied sector in 2011, there were 29,800 households with some degree of under-occupation and just 330 overcrowded households.</w:t>
      </w:r>
    </w:p>
    <w:p w14:paraId="75FC4CFA" w14:textId="77777777" w:rsidR="00360825" w:rsidRPr="00DE1AA1" w:rsidRDefault="00360825" w:rsidP="001A7584">
      <w:pPr>
        <w:pStyle w:val="Heading4"/>
        <w:ind w:firstLine="0"/>
      </w:pPr>
      <w:r w:rsidRPr="00DE1AA1">
        <w:t xml:space="preserve">Cross-tabulation of occupancy rating and number of bedrooms (owner-occupied sector) – </w:t>
      </w:r>
      <w:r w:rsidRPr="00D556DB">
        <w:t>Chichester District</w:t>
      </w:r>
    </w:p>
    <w:tbl>
      <w:tblPr>
        <w:tblStyle w:val="TableGrid1"/>
        <w:tblW w:w="5000" w:type="pct"/>
        <w:tblInd w:w="0" w:type="dxa"/>
        <w:tblLayout w:type="fixed"/>
        <w:tblLook w:val="04A0" w:firstRow="1" w:lastRow="0" w:firstColumn="1" w:lastColumn="0" w:noHBand="0" w:noVBand="1"/>
      </w:tblPr>
      <w:tblGrid>
        <w:gridCol w:w="1463"/>
        <w:gridCol w:w="1464"/>
        <w:gridCol w:w="1462"/>
        <w:gridCol w:w="1463"/>
        <w:gridCol w:w="1462"/>
        <w:gridCol w:w="1463"/>
      </w:tblGrid>
      <w:tr w:rsidR="00360825" w:rsidRPr="00DE1AA1" w14:paraId="1A76C390" w14:textId="77777777" w:rsidTr="00C04569">
        <w:tc>
          <w:tcPr>
            <w:tcW w:w="1463" w:type="dxa"/>
            <w:vMerge w:val="restart"/>
            <w:tcBorders>
              <w:top w:val="single" w:sz="4" w:space="0" w:color="auto"/>
              <w:left w:val="single" w:sz="4" w:space="0" w:color="auto"/>
              <w:bottom w:val="single" w:sz="4" w:space="0" w:color="auto"/>
              <w:right w:val="single" w:sz="4" w:space="0" w:color="auto"/>
            </w:tcBorders>
            <w:shd w:val="clear" w:color="auto" w:fill="002060"/>
            <w:noWrap/>
            <w:hideMark/>
          </w:tcPr>
          <w:p w14:paraId="6B220F93" w14:textId="77777777" w:rsidR="00360825" w:rsidRPr="00DE1AA1" w:rsidRDefault="00360825" w:rsidP="00C04569">
            <w:pPr>
              <w:keepNext/>
              <w:spacing w:after="0" w:line="300" w:lineRule="auto"/>
              <w:rPr>
                <w:rFonts w:ascii="Arial" w:hAnsi="Arial" w:cs="Arial"/>
                <w:color w:val="FFFFFF" w:themeColor="background1"/>
                <w:sz w:val="20"/>
                <w:szCs w:val="20"/>
              </w:rPr>
            </w:pPr>
            <w:r w:rsidRPr="00DE1AA1">
              <w:rPr>
                <w:rFonts w:ascii="Arial" w:hAnsi="Arial" w:cs="Arial"/>
                <w:color w:val="FFFFFF" w:themeColor="background1"/>
                <w:sz w:val="20"/>
                <w:szCs w:val="20"/>
              </w:rPr>
              <w:t>Occupancy rating</w:t>
            </w:r>
          </w:p>
        </w:tc>
        <w:tc>
          <w:tcPr>
            <w:tcW w:w="7314" w:type="dxa"/>
            <w:gridSpan w:val="5"/>
            <w:tcBorders>
              <w:top w:val="single" w:sz="4" w:space="0" w:color="auto"/>
              <w:left w:val="single" w:sz="4" w:space="0" w:color="auto"/>
              <w:bottom w:val="single" w:sz="4" w:space="0" w:color="auto"/>
              <w:right w:val="single" w:sz="4" w:space="0" w:color="auto"/>
            </w:tcBorders>
            <w:shd w:val="clear" w:color="auto" w:fill="002060"/>
            <w:noWrap/>
            <w:hideMark/>
          </w:tcPr>
          <w:p w14:paraId="14BC64E1"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Number of bedrooms</w:t>
            </w:r>
          </w:p>
        </w:tc>
      </w:tr>
      <w:tr w:rsidR="00360825" w:rsidRPr="00DE1AA1" w14:paraId="35F581B6" w14:textId="77777777" w:rsidTr="00C04569">
        <w:tc>
          <w:tcPr>
            <w:tcW w:w="1463" w:type="dxa"/>
            <w:vMerge/>
            <w:tcBorders>
              <w:top w:val="single" w:sz="4" w:space="0" w:color="auto"/>
              <w:left w:val="single" w:sz="4" w:space="0" w:color="auto"/>
              <w:bottom w:val="single" w:sz="4" w:space="0" w:color="auto"/>
              <w:right w:val="single" w:sz="4" w:space="0" w:color="auto"/>
            </w:tcBorders>
            <w:vAlign w:val="center"/>
            <w:hideMark/>
          </w:tcPr>
          <w:p w14:paraId="59392B26" w14:textId="77777777" w:rsidR="00360825" w:rsidRPr="00DE1AA1" w:rsidRDefault="00360825" w:rsidP="00C04569">
            <w:pPr>
              <w:spacing w:after="0" w:line="240" w:lineRule="auto"/>
              <w:jc w:val="left"/>
              <w:rPr>
                <w:rFonts w:ascii="Arial" w:hAnsi="Arial" w:cs="Arial"/>
                <w:color w:val="FFFFFF" w:themeColor="background1"/>
                <w:sz w:val="20"/>
                <w:szCs w:val="20"/>
              </w:rPr>
            </w:pPr>
          </w:p>
        </w:tc>
        <w:tc>
          <w:tcPr>
            <w:tcW w:w="1464" w:type="dxa"/>
            <w:tcBorders>
              <w:top w:val="single" w:sz="4" w:space="0" w:color="auto"/>
              <w:left w:val="single" w:sz="4" w:space="0" w:color="auto"/>
              <w:bottom w:val="single" w:sz="4" w:space="0" w:color="auto"/>
              <w:right w:val="single" w:sz="4" w:space="0" w:color="auto"/>
            </w:tcBorders>
            <w:shd w:val="clear" w:color="auto" w:fill="002060"/>
            <w:noWrap/>
            <w:hideMark/>
          </w:tcPr>
          <w:p w14:paraId="013947B8"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1-bed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0D811B70"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2-bed</w:t>
            </w: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2D065701"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3-bed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674492FF"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4+-bed</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4CC829B9"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Total</w:t>
            </w:r>
          </w:p>
        </w:tc>
      </w:tr>
      <w:tr w:rsidR="00360825" w:rsidRPr="00DE1AA1" w14:paraId="4C07BD57"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267E055A"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BA0063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51A5DF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6F94AB1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9,394</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35749F0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9,226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606556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18,620</w:t>
            </w:r>
          </w:p>
        </w:tc>
      </w:tr>
      <w:tr w:rsidR="00360825" w:rsidRPr="00DE1AA1" w14:paraId="10C40660"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5FF799C8"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8D36C1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1E59CE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6,440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00C1CDE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3,449</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605957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1,324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F4337E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11,213</w:t>
            </w:r>
          </w:p>
        </w:tc>
      </w:tr>
      <w:tr w:rsidR="00360825" w:rsidRPr="00DE1AA1" w14:paraId="29EF4021"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4B355941"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0 (right sized)</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58ADFE4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1,197</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601110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1,160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11F749E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1,182</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56DC0A2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238</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27D3F3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3,777</w:t>
            </w:r>
          </w:p>
        </w:tc>
      </w:tr>
      <w:tr w:rsidR="00360825" w:rsidRPr="00DE1AA1" w14:paraId="4C956081"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5A7C0455"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62BF229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57</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599FFD4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94</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69C3C27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108</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160821E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31</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10875A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290</w:t>
            </w:r>
          </w:p>
        </w:tc>
      </w:tr>
      <w:tr w:rsidR="00360825" w:rsidRPr="00DE1AA1" w14:paraId="695664E6"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19A4057D"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447350F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16F61BA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7A8F9C2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7267414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E3F9C2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36</w:t>
            </w:r>
          </w:p>
        </w:tc>
      </w:tr>
      <w:tr w:rsidR="00360825" w:rsidRPr="00DE1AA1" w14:paraId="6CBF66A6"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3269B894"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Total</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1CDAC44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1,264</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0FA7DE3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7,705</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3603927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14,143</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4217579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10,824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1489278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33,936</w:t>
            </w:r>
          </w:p>
        </w:tc>
      </w:tr>
    </w:tbl>
    <w:p w14:paraId="05D1D602"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Census (2011)</w:t>
      </w:r>
    </w:p>
    <w:p w14:paraId="5E0BCD30" w14:textId="77777777" w:rsidR="00360825" w:rsidRPr="00D556DB" w:rsidRDefault="00360825" w:rsidP="001A7584">
      <w:pPr>
        <w:pStyle w:val="BodyText"/>
        <w:numPr>
          <w:ilvl w:val="1"/>
          <w:numId w:val="6"/>
        </w:numPr>
        <w:tabs>
          <w:tab w:val="num" w:pos="0"/>
        </w:tabs>
        <w:ind w:left="0" w:hanging="709"/>
        <w:rPr>
          <w:rFonts w:ascii="Arial" w:hAnsi="Arial" w:cs="Arial"/>
          <w:b/>
          <w:bCs/>
          <w:color w:val="646464" w:themeColor="background2"/>
        </w:rPr>
      </w:pPr>
      <w:r w:rsidRPr="00D556DB">
        <w:rPr>
          <w:rFonts w:ascii="Arial" w:hAnsi="Arial" w:cs="Arial"/>
        </w:rPr>
        <w:lastRenderedPageBreak/>
        <w:t>For completeness the tables below show the same information for the social and private rented sectors. In both cases there are more under-occupying households than overcrowded, but differences are less marked than seen for owner-occupied housing.</w:t>
      </w:r>
    </w:p>
    <w:p w14:paraId="05CB88B3" w14:textId="77777777" w:rsidR="00360825" w:rsidRPr="00DE1AA1" w:rsidRDefault="00360825" w:rsidP="001A7584">
      <w:pPr>
        <w:pStyle w:val="Heading4"/>
        <w:ind w:firstLine="0"/>
      </w:pPr>
      <w:r w:rsidRPr="00DE1AA1">
        <w:t>Cross-</w:t>
      </w:r>
      <w:r w:rsidRPr="00D556DB">
        <w:t>tabulation</w:t>
      </w:r>
      <w:r w:rsidRPr="00DE1AA1">
        <w:t xml:space="preserve"> of occupancy rating and number of bedrooms (social rented sector) – Chichester District</w:t>
      </w:r>
    </w:p>
    <w:tbl>
      <w:tblPr>
        <w:tblStyle w:val="TableGrid1"/>
        <w:tblW w:w="5000" w:type="pct"/>
        <w:tblInd w:w="0" w:type="dxa"/>
        <w:tblLayout w:type="fixed"/>
        <w:tblLook w:val="04A0" w:firstRow="1" w:lastRow="0" w:firstColumn="1" w:lastColumn="0" w:noHBand="0" w:noVBand="1"/>
      </w:tblPr>
      <w:tblGrid>
        <w:gridCol w:w="1463"/>
        <w:gridCol w:w="1464"/>
        <w:gridCol w:w="1462"/>
        <w:gridCol w:w="1463"/>
        <w:gridCol w:w="1462"/>
        <w:gridCol w:w="1463"/>
      </w:tblGrid>
      <w:tr w:rsidR="00360825" w:rsidRPr="00DE1AA1" w14:paraId="0F99C4F4" w14:textId="77777777" w:rsidTr="00C04569">
        <w:tc>
          <w:tcPr>
            <w:tcW w:w="1463" w:type="dxa"/>
            <w:vMerge w:val="restart"/>
            <w:tcBorders>
              <w:top w:val="single" w:sz="4" w:space="0" w:color="auto"/>
              <w:left w:val="single" w:sz="4" w:space="0" w:color="auto"/>
              <w:bottom w:val="single" w:sz="4" w:space="0" w:color="auto"/>
              <w:right w:val="single" w:sz="4" w:space="0" w:color="auto"/>
            </w:tcBorders>
            <w:shd w:val="clear" w:color="auto" w:fill="002060"/>
            <w:noWrap/>
            <w:hideMark/>
          </w:tcPr>
          <w:p w14:paraId="6C4801D5" w14:textId="77777777" w:rsidR="00360825" w:rsidRPr="00DE1AA1" w:rsidRDefault="00360825" w:rsidP="00C04569">
            <w:pPr>
              <w:keepNext/>
              <w:spacing w:after="0" w:line="300" w:lineRule="auto"/>
              <w:rPr>
                <w:rFonts w:ascii="Arial" w:hAnsi="Arial" w:cs="Arial"/>
                <w:color w:val="FFFFFF" w:themeColor="background1"/>
                <w:sz w:val="20"/>
                <w:szCs w:val="20"/>
              </w:rPr>
            </w:pPr>
            <w:r w:rsidRPr="00DE1AA1">
              <w:rPr>
                <w:rFonts w:ascii="Arial" w:hAnsi="Arial" w:cs="Arial"/>
                <w:color w:val="FFFFFF" w:themeColor="background1"/>
                <w:sz w:val="20"/>
                <w:szCs w:val="20"/>
              </w:rPr>
              <w:t>Occupancy rating</w:t>
            </w:r>
          </w:p>
        </w:tc>
        <w:tc>
          <w:tcPr>
            <w:tcW w:w="7314" w:type="dxa"/>
            <w:gridSpan w:val="5"/>
            <w:tcBorders>
              <w:top w:val="single" w:sz="4" w:space="0" w:color="auto"/>
              <w:left w:val="single" w:sz="4" w:space="0" w:color="auto"/>
              <w:bottom w:val="single" w:sz="4" w:space="0" w:color="auto"/>
              <w:right w:val="single" w:sz="4" w:space="0" w:color="auto"/>
            </w:tcBorders>
            <w:shd w:val="clear" w:color="auto" w:fill="002060"/>
            <w:noWrap/>
            <w:hideMark/>
          </w:tcPr>
          <w:p w14:paraId="217B3B2C"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Number of bedrooms</w:t>
            </w:r>
          </w:p>
        </w:tc>
      </w:tr>
      <w:tr w:rsidR="00360825" w:rsidRPr="00DE1AA1" w14:paraId="3FAF3423" w14:textId="77777777" w:rsidTr="00C04569">
        <w:tc>
          <w:tcPr>
            <w:tcW w:w="1463" w:type="dxa"/>
            <w:vMerge/>
            <w:tcBorders>
              <w:top w:val="single" w:sz="4" w:space="0" w:color="auto"/>
              <w:left w:val="single" w:sz="4" w:space="0" w:color="auto"/>
              <w:bottom w:val="single" w:sz="4" w:space="0" w:color="auto"/>
              <w:right w:val="single" w:sz="4" w:space="0" w:color="auto"/>
            </w:tcBorders>
            <w:vAlign w:val="center"/>
            <w:hideMark/>
          </w:tcPr>
          <w:p w14:paraId="19258070" w14:textId="77777777" w:rsidR="00360825" w:rsidRPr="00DE1AA1" w:rsidRDefault="00360825" w:rsidP="00C04569">
            <w:pPr>
              <w:keepNext/>
              <w:spacing w:after="0" w:line="240" w:lineRule="auto"/>
              <w:jc w:val="left"/>
              <w:rPr>
                <w:rFonts w:ascii="Arial" w:hAnsi="Arial" w:cs="Arial"/>
                <w:color w:val="FFFFFF" w:themeColor="background1"/>
                <w:sz w:val="20"/>
                <w:szCs w:val="20"/>
              </w:rPr>
            </w:pPr>
          </w:p>
        </w:tc>
        <w:tc>
          <w:tcPr>
            <w:tcW w:w="1464" w:type="dxa"/>
            <w:tcBorders>
              <w:top w:val="single" w:sz="4" w:space="0" w:color="auto"/>
              <w:left w:val="single" w:sz="4" w:space="0" w:color="auto"/>
              <w:bottom w:val="single" w:sz="4" w:space="0" w:color="auto"/>
              <w:right w:val="single" w:sz="4" w:space="0" w:color="auto"/>
            </w:tcBorders>
            <w:shd w:val="clear" w:color="auto" w:fill="002060"/>
            <w:noWrap/>
            <w:hideMark/>
          </w:tcPr>
          <w:p w14:paraId="4EBCFA37"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1-bed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42D7EC4B"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2-bed</w:t>
            </w: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7090CAB1"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3-bed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7DBCD325"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4+-bed</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4FFD338B"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Total</w:t>
            </w:r>
          </w:p>
        </w:tc>
      </w:tr>
      <w:tr w:rsidR="00360825" w:rsidRPr="00DE1AA1" w14:paraId="64CA48B0"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3F6FF7FC"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5894D2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F61730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1886FE0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665</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0DCB4F1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BA71B2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731</w:t>
            </w:r>
          </w:p>
        </w:tc>
      </w:tr>
      <w:tr w:rsidR="00360825" w:rsidRPr="00DE1AA1" w14:paraId="332DEEF7"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3F5382BF"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1CBA81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7CFB3D0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1,646</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4D6075B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607</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0890749A"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85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28D5F53D"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2,338</w:t>
            </w:r>
          </w:p>
        </w:tc>
      </w:tr>
      <w:tr w:rsidR="00360825" w:rsidRPr="00DE1AA1" w14:paraId="7F4C8ADC"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0435505A"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0 (right sized)</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0C583F4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1,906</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30802B3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1,246</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400674B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648</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52B91A0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62</w:t>
            </w:r>
          </w:p>
        </w:tc>
        <w:tc>
          <w:tcPr>
            <w:tcW w:w="1463" w:type="dxa"/>
            <w:tcBorders>
              <w:top w:val="single" w:sz="4" w:space="0" w:color="auto"/>
              <w:left w:val="single" w:sz="4" w:space="0" w:color="auto"/>
              <w:bottom w:val="single" w:sz="4" w:space="0" w:color="auto"/>
              <w:right w:val="single" w:sz="4" w:space="0" w:color="auto"/>
            </w:tcBorders>
            <w:vAlign w:val="bottom"/>
            <w:hideMark/>
          </w:tcPr>
          <w:p w14:paraId="22284E3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3,862</w:t>
            </w:r>
          </w:p>
        </w:tc>
      </w:tr>
      <w:tr w:rsidR="00360825" w:rsidRPr="00DE1AA1" w14:paraId="631B3888"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36780AB1"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363EEA0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106</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6A45A6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212</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0A2C9E5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109</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6CC3850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w:t>
            </w:r>
          </w:p>
        </w:tc>
        <w:tc>
          <w:tcPr>
            <w:tcW w:w="1463" w:type="dxa"/>
            <w:tcBorders>
              <w:top w:val="single" w:sz="4" w:space="0" w:color="auto"/>
              <w:left w:val="single" w:sz="4" w:space="0" w:color="auto"/>
              <w:bottom w:val="single" w:sz="4" w:space="0" w:color="auto"/>
              <w:right w:val="single" w:sz="4" w:space="0" w:color="auto"/>
            </w:tcBorders>
            <w:vAlign w:val="bottom"/>
            <w:hideMark/>
          </w:tcPr>
          <w:p w14:paraId="23D2A54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434</w:t>
            </w:r>
          </w:p>
        </w:tc>
      </w:tr>
      <w:tr w:rsidR="00360825" w:rsidRPr="00DE1AA1" w14:paraId="031E8C38"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2654ABE6"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19535F0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16</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E70C25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12</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36DD668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66B3A68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w:t>
            </w:r>
          </w:p>
        </w:tc>
        <w:tc>
          <w:tcPr>
            <w:tcW w:w="1463" w:type="dxa"/>
            <w:tcBorders>
              <w:top w:val="single" w:sz="4" w:space="0" w:color="auto"/>
              <w:left w:val="single" w:sz="4" w:space="0" w:color="auto"/>
              <w:bottom w:val="single" w:sz="4" w:space="0" w:color="auto"/>
              <w:right w:val="single" w:sz="4" w:space="0" w:color="auto"/>
            </w:tcBorders>
            <w:vAlign w:val="bottom"/>
            <w:hideMark/>
          </w:tcPr>
          <w:p w14:paraId="1508868D"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42</w:t>
            </w:r>
          </w:p>
        </w:tc>
      </w:tr>
      <w:tr w:rsidR="00360825" w:rsidRPr="00DE1AA1" w14:paraId="28359C7F"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45F5EE46"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Total</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06C2DA8A"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2,028</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7C4681D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3,116</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37F057F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2,042</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1A6C965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221</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2D09D7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7,407</w:t>
            </w:r>
          </w:p>
        </w:tc>
      </w:tr>
    </w:tbl>
    <w:p w14:paraId="2BC18BCE"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Census (2011)</w:t>
      </w:r>
    </w:p>
    <w:p w14:paraId="3B1D253E" w14:textId="77777777" w:rsidR="00360825" w:rsidRPr="00DE1AA1" w:rsidRDefault="00360825" w:rsidP="001A7584">
      <w:pPr>
        <w:pStyle w:val="Heading4"/>
        <w:ind w:firstLine="0"/>
      </w:pPr>
      <w:r w:rsidRPr="00DE1AA1">
        <w:t xml:space="preserve">Cross-tabulation of occupancy rating and number of bedrooms (private rented sector) – </w:t>
      </w:r>
      <w:r w:rsidRPr="00D556DB">
        <w:t>Chichester District</w:t>
      </w:r>
    </w:p>
    <w:tbl>
      <w:tblPr>
        <w:tblStyle w:val="TableGrid1"/>
        <w:tblW w:w="5000" w:type="pct"/>
        <w:tblInd w:w="0" w:type="dxa"/>
        <w:tblLayout w:type="fixed"/>
        <w:tblLook w:val="04A0" w:firstRow="1" w:lastRow="0" w:firstColumn="1" w:lastColumn="0" w:noHBand="0" w:noVBand="1"/>
      </w:tblPr>
      <w:tblGrid>
        <w:gridCol w:w="1463"/>
        <w:gridCol w:w="1464"/>
        <w:gridCol w:w="1462"/>
        <w:gridCol w:w="1463"/>
        <w:gridCol w:w="1462"/>
        <w:gridCol w:w="1463"/>
      </w:tblGrid>
      <w:tr w:rsidR="00360825" w:rsidRPr="00DE1AA1" w14:paraId="2580681A" w14:textId="77777777" w:rsidTr="00C04569">
        <w:tc>
          <w:tcPr>
            <w:tcW w:w="1463" w:type="dxa"/>
            <w:vMerge w:val="restart"/>
            <w:tcBorders>
              <w:top w:val="single" w:sz="4" w:space="0" w:color="auto"/>
              <w:left w:val="single" w:sz="4" w:space="0" w:color="auto"/>
              <w:bottom w:val="single" w:sz="4" w:space="0" w:color="auto"/>
              <w:right w:val="single" w:sz="4" w:space="0" w:color="auto"/>
            </w:tcBorders>
            <w:shd w:val="clear" w:color="auto" w:fill="002060"/>
            <w:noWrap/>
            <w:hideMark/>
          </w:tcPr>
          <w:p w14:paraId="682A9955" w14:textId="77777777" w:rsidR="00360825" w:rsidRPr="00DE1AA1" w:rsidRDefault="00360825" w:rsidP="00C04569">
            <w:pPr>
              <w:keepNext/>
              <w:spacing w:after="0" w:line="300" w:lineRule="auto"/>
              <w:rPr>
                <w:rFonts w:ascii="Arial" w:hAnsi="Arial" w:cs="Arial"/>
                <w:color w:val="FFFFFF" w:themeColor="background1"/>
                <w:sz w:val="20"/>
                <w:szCs w:val="20"/>
              </w:rPr>
            </w:pPr>
            <w:r w:rsidRPr="00DE1AA1">
              <w:rPr>
                <w:rFonts w:ascii="Arial" w:hAnsi="Arial" w:cs="Arial"/>
                <w:color w:val="FFFFFF" w:themeColor="background1"/>
                <w:sz w:val="20"/>
                <w:szCs w:val="20"/>
              </w:rPr>
              <w:t>Occupancy rating</w:t>
            </w:r>
          </w:p>
        </w:tc>
        <w:tc>
          <w:tcPr>
            <w:tcW w:w="7314" w:type="dxa"/>
            <w:gridSpan w:val="5"/>
            <w:tcBorders>
              <w:top w:val="single" w:sz="4" w:space="0" w:color="auto"/>
              <w:left w:val="single" w:sz="4" w:space="0" w:color="auto"/>
              <w:bottom w:val="single" w:sz="4" w:space="0" w:color="auto"/>
              <w:right w:val="single" w:sz="4" w:space="0" w:color="auto"/>
            </w:tcBorders>
            <w:shd w:val="clear" w:color="auto" w:fill="002060"/>
            <w:noWrap/>
            <w:hideMark/>
          </w:tcPr>
          <w:p w14:paraId="45493B9A"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Number of bedrooms</w:t>
            </w:r>
          </w:p>
        </w:tc>
      </w:tr>
      <w:tr w:rsidR="00360825" w:rsidRPr="00DE1AA1" w14:paraId="65D8D048" w14:textId="77777777" w:rsidTr="00C04569">
        <w:tc>
          <w:tcPr>
            <w:tcW w:w="1463" w:type="dxa"/>
            <w:vMerge/>
            <w:tcBorders>
              <w:top w:val="single" w:sz="4" w:space="0" w:color="auto"/>
              <w:left w:val="single" w:sz="4" w:space="0" w:color="auto"/>
              <w:bottom w:val="single" w:sz="4" w:space="0" w:color="auto"/>
              <w:right w:val="single" w:sz="4" w:space="0" w:color="auto"/>
            </w:tcBorders>
            <w:vAlign w:val="center"/>
            <w:hideMark/>
          </w:tcPr>
          <w:p w14:paraId="4A26692A" w14:textId="77777777" w:rsidR="00360825" w:rsidRPr="00DE1AA1" w:rsidRDefault="00360825" w:rsidP="00C04569">
            <w:pPr>
              <w:keepNext/>
              <w:spacing w:after="0" w:line="240" w:lineRule="auto"/>
              <w:jc w:val="left"/>
              <w:rPr>
                <w:rFonts w:ascii="Arial" w:hAnsi="Arial" w:cs="Arial"/>
                <w:color w:val="FFFFFF" w:themeColor="background1"/>
                <w:sz w:val="20"/>
                <w:szCs w:val="20"/>
              </w:rPr>
            </w:pPr>
          </w:p>
        </w:tc>
        <w:tc>
          <w:tcPr>
            <w:tcW w:w="1464" w:type="dxa"/>
            <w:tcBorders>
              <w:top w:val="single" w:sz="4" w:space="0" w:color="auto"/>
              <w:left w:val="single" w:sz="4" w:space="0" w:color="auto"/>
              <w:bottom w:val="single" w:sz="4" w:space="0" w:color="auto"/>
              <w:right w:val="single" w:sz="4" w:space="0" w:color="auto"/>
            </w:tcBorders>
            <w:shd w:val="clear" w:color="auto" w:fill="002060"/>
            <w:noWrap/>
            <w:hideMark/>
          </w:tcPr>
          <w:p w14:paraId="3E9D412E"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1-bed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31DA6225"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2-bed</w:t>
            </w: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21F3F684"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3-bed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2744EDF6"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4+-bed</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1A69BF33"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Total</w:t>
            </w:r>
          </w:p>
        </w:tc>
      </w:tr>
      <w:tr w:rsidR="00360825" w:rsidRPr="00DE1AA1" w14:paraId="739713B0"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49BB424E"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FEB969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BFDA43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4C914E4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1,363</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7D760A6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506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47B271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1,869</w:t>
            </w:r>
          </w:p>
        </w:tc>
      </w:tr>
      <w:tr w:rsidR="00360825" w:rsidRPr="00DE1AA1" w14:paraId="5DA0DE70"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05DB3696"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5C9BE7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679D520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2,040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1961564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768</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463792F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463</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D0D2DB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3,271</w:t>
            </w:r>
          </w:p>
        </w:tc>
      </w:tr>
      <w:tr w:rsidR="00360825" w:rsidRPr="00DE1AA1" w14:paraId="5AFC6CA1"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7F8257A9"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0 (right sized)</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4669DA9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1,382</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65F3B7C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962</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51DE673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551</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5C29C67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139</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9AF091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3,034</w:t>
            </w:r>
          </w:p>
        </w:tc>
      </w:tr>
      <w:tr w:rsidR="00360825" w:rsidRPr="00DE1AA1" w14:paraId="4694E21C"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20E03BF3"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55689C7D"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92</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9483EA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109</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53976A7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74</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72DB8DF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19</w:t>
            </w:r>
          </w:p>
        </w:tc>
        <w:tc>
          <w:tcPr>
            <w:tcW w:w="1463" w:type="dxa"/>
            <w:tcBorders>
              <w:top w:val="single" w:sz="4" w:space="0" w:color="auto"/>
              <w:left w:val="single" w:sz="4" w:space="0" w:color="auto"/>
              <w:bottom w:val="single" w:sz="4" w:space="0" w:color="auto"/>
              <w:right w:val="single" w:sz="4" w:space="0" w:color="auto"/>
            </w:tcBorders>
            <w:vAlign w:val="bottom"/>
            <w:hideMark/>
          </w:tcPr>
          <w:p w14:paraId="6BE18AC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294</w:t>
            </w:r>
          </w:p>
        </w:tc>
      </w:tr>
      <w:tr w:rsidR="00360825" w:rsidRPr="00DE1AA1" w14:paraId="42099E66"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58B31779"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69986BD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176E5D7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22</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00038A5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2DE569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6ABA5E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37</w:t>
            </w:r>
          </w:p>
        </w:tc>
      </w:tr>
      <w:tr w:rsidR="00360825" w:rsidRPr="00DE1AA1" w14:paraId="078DD060"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060E85AD"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Total</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762AF06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1,484</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6856506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3,133</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5256578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2,760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5567C78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1,128</w:t>
            </w:r>
          </w:p>
        </w:tc>
        <w:tc>
          <w:tcPr>
            <w:tcW w:w="1463" w:type="dxa"/>
            <w:tcBorders>
              <w:top w:val="single" w:sz="4" w:space="0" w:color="auto"/>
              <w:left w:val="single" w:sz="4" w:space="0" w:color="auto"/>
              <w:bottom w:val="single" w:sz="4" w:space="0" w:color="auto"/>
              <w:right w:val="single" w:sz="4" w:space="0" w:color="auto"/>
            </w:tcBorders>
            <w:vAlign w:val="bottom"/>
            <w:hideMark/>
          </w:tcPr>
          <w:p w14:paraId="095E73D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8,505</w:t>
            </w:r>
          </w:p>
        </w:tc>
      </w:tr>
    </w:tbl>
    <w:p w14:paraId="667FB63C"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Census (2011)</w:t>
      </w:r>
    </w:p>
    <w:p w14:paraId="4C7F00F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using this data in the modelling an adjustment is made to move some of those who would have been picked up in the modelling as under-occupying into smaller accommodation. Where there is under-occupation by 2 or more bedrooms, the adjustment takes 25% of this group and assigns to a ‘+1’ occupancy rating and a further 12.5% (i.e. an eighth) to a ‘0’ rating. For households with one spare bedroom, 12.5% are assigned to a ‘0’ rating (with the others remaining as ‘+1’). These do need to be recognised as assumptions but can be seen to be reasonable as they do retain some degree of under-occupation (which is likely) but does also seek to model a better match between household needs and the size of their home. For overcrowded households a move in the other direction is made, in this case households are moved up as many bedrooms as is needed to resolve the problems.</w:t>
      </w:r>
    </w:p>
    <w:p w14:paraId="3F544C5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adjustments for under-occupation and overcrowding lead to the suggested mix as set out in the following tables. It can be seen that this tends to suggest a smaller profile of homes as being needed (compared to the initial modelling) with the biggest change being in the market sector – which was the sector where under-occupation is currently most notable.</w:t>
      </w:r>
      <w:r>
        <w:rPr>
          <w:rFonts w:ascii="Arial" w:hAnsi="Arial" w:cs="Arial"/>
        </w:rPr>
        <w:t xml:space="preserve"> It should be noted that the figures below seek to reduce under-occupancy, but it is still modelled for there to continue to be a considerable </w:t>
      </w:r>
      <w:r>
        <w:rPr>
          <w:rFonts w:ascii="Arial" w:hAnsi="Arial" w:cs="Arial"/>
        </w:rPr>
        <w:lastRenderedPageBreak/>
        <w:t>proportion of homes with at least one spare bedroom (particularly in the market) – this is important to note given th</w:t>
      </w:r>
      <w:r>
        <w:t>e increase in working from home in the recent past, which is likely to continue, at least in the short-term.</w:t>
      </w:r>
    </w:p>
    <w:p w14:paraId="20023659" w14:textId="77777777" w:rsidR="00360825" w:rsidRPr="00D556DB" w:rsidRDefault="00360825" w:rsidP="001A7584">
      <w:pPr>
        <w:pStyle w:val="Heading4"/>
        <w:ind w:firstLine="0"/>
      </w:pPr>
      <w:r w:rsidRPr="001B2C52">
        <w:t>Adjusted</w:t>
      </w:r>
      <w:r w:rsidRPr="00D556DB">
        <w:t xml:space="preserve"> Modelled Mix of Housing by Size and Tenure – Chichester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1443"/>
        <w:gridCol w:w="1443"/>
        <w:gridCol w:w="1443"/>
        <w:gridCol w:w="1443"/>
      </w:tblGrid>
      <w:tr w:rsidR="00360825" w:rsidRPr="008C6CDD" w14:paraId="2A9B5369" w14:textId="77777777" w:rsidTr="00C04569">
        <w:tc>
          <w:tcPr>
            <w:tcW w:w="3005" w:type="dxa"/>
            <w:tcBorders>
              <w:top w:val="single" w:sz="4" w:space="0" w:color="auto"/>
              <w:left w:val="single" w:sz="4" w:space="0" w:color="auto"/>
              <w:bottom w:val="single" w:sz="4" w:space="0" w:color="auto"/>
              <w:right w:val="single" w:sz="4" w:space="0" w:color="auto"/>
            </w:tcBorders>
            <w:shd w:val="clear" w:color="auto" w:fill="002060"/>
            <w:vAlign w:val="center"/>
          </w:tcPr>
          <w:p w14:paraId="0FEBAE68" w14:textId="77777777" w:rsidR="00360825" w:rsidRPr="00D556DB" w:rsidRDefault="00360825" w:rsidP="00C04569">
            <w:pPr>
              <w:spacing w:after="0" w:line="300" w:lineRule="auto"/>
              <w:jc w:val="left"/>
              <w:rPr>
                <w:rFonts w:ascii="Arial" w:hAnsi="Arial" w:cs="Arial"/>
              </w:rPr>
            </w:pPr>
            <w:bookmarkStart w:id="34" w:name="_Hlk77085247"/>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F8E767D"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1-bedroom</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76487C7"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2-bedrooms</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6B9CC7C"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3-bedrooms</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E6A02B" w14:textId="77777777" w:rsidR="00360825" w:rsidRPr="00D556DB" w:rsidRDefault="00360825" w:rsidP="00C04569">
            <w:pPr>
              <w:keepNext/>
              <w:widowControl w:val="0"/>
              <w:spacing w:after="0" w:line="300" w:lineRule="auto"/>
              <w:jc w:val="center"/>
              <w:rPr>
                <w:rFonts w:ascii="Arial" w:hAnsi="Arial" w:cs="Arial"/>
                <w:spacing w:val="-6"/>
              </w:rPr>
            </w:pPr>
            <w:r w:rsidRPr="00D556DB">
              <w:rPr>
                <w:rFonts w:ascii="Arial" w:hAnsi="Arial" w:cs="Arial"/>
                <w:spacing w:val="-6"/>
              </w:rPr>
              <w:t>4+-bedrooms</w:t>
            </w:r>
          </w:p>
        </w:tc>
      </w:tr>
      <w:tr w:rsidR="00360825" w:rsidRPr="008C6CDD" w14:paraId="542DCD59"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23DBA90E"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Market</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CF14F1F"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13%</w:t>
            </w:r>
          </w:p>
        </w:tc>
        <w:tc>
          <w:tcPr>
            <w:tcW w:w="1443" w:type="dxa"/>
            <w:tcBorders>
              <w:top w:val="single" w:sz="4" w:space="0" w:color="auto"/>
              <w:left w:val="single" w:sz="4" w:space="0" w:color="auto"/>
              <w:bottom w:val="single" w:sz="4" w:space="0" w:color="auto"/>
              <w:right w:val="single" w:sz="4" w:space="0" w:color="auto"/>
            </w:tcBorders>
            <w:vAlign w:val="bottom"/>
            <w:hideMark/>
          </w:tcPr>
          <w:p w14:paraId="10752FF8"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40%</w:t>
            </w:r>
          </w:p>
        </w:tc>
        <w:tc>
          <w:tcPr>
            <w:tcW w:w="1443" w:type="dxa"/>
            <w:tcBorders>
              <w:top w:val="single" w:sz="4" w:space="0" w:color="auto"/>
              <w:left w:val="single" w:sz="4" w:space="0" w:color="auto"/>
              <w:bottom w:val="single" w:sz="4" w:space="0" w:color="auto"/>
              <w:right w:val="single" w:sz="4" w:space="0" w:color="auto"/>
            </w:tcBorders>
            <w:vAlign w:val="bottom"/>
            <w:hideMark/>
          </w:tcPr>
          <w:p w14:paraId="7ABDF4D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34%</w:t>
            </w:r>
          </w:p>
        </w:tc>
        <w:tc>
          <w:tcPr>
            <w:tcW w:w="1443" w:type="dxa"/>
            <w:tcBorders>
              <w:top w:val="single" w:sz="4" w:space="0" w:color="auto"/>
              <w:left w:val="single" w:sz="4" w:space="0" w:color="auto"/>
              <w:bottom w:val="single" w:sz="4" w:space="0" w:color="auto"/>
              <w:right w:val="single" w:sz="4" w:space="0" w:color="auto"/>
            </w:tcBorders>
            <w:vAlign w:val="bottom"/>
            <w:hideMark/>
          </w:tcPr>
          <w:p w14:paraId="6466BB5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13%</w:t>
            </w:r>
          </w:p>
        </w:tc>
      </w:tr>
      <w:tr w:rsidR="00360825" w:rsidRPr="008C6CDD" w14:paraId="1E4C7B15"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7C2BB9E0"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Affordable home ownership</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486D1D1"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26%</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32C1A1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41%</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DF2A68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23%</w:t>
            </w:r>
          </w:p>
        </w:tc>
        <w:tc>
          <w:tcPr>
            <w:tcW w:w="1443" w:type="dxa"/>
            <w:tcBorders>
              <w:top w:val="single" w:sz="4" w:space="0" w:color="auto"/>
              <w:left w:val="single" w:sz="4" w:space="0" w:color="auto"/>
              <w:bottom w:val="single" w:sz="4" w:space="0" w:color="auto"/>
              <w:right w:val="single" w:sz="4" w:space="0" w:color="auto"/>
            </w:tcBorders>
            <w:vAlign w:val="bottom"/>
            <w:hideMark/>
          </w:tcPr>
          <w:p w14:paraId="20EC24C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w:t>
            </w:r>
          </w:p>
        </w:tc>
      </w:tr>
      <w:tr w:rsidR="00360825" w:rsidRPr="008C6CDD" w14:paraId="263B2CF0"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771A875A"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Affordable housing (rented)</w:t>
            </w:r>
          </w:p>
        </w:tc>
        <w:tc>
          <w:tcPr>
            <w:tcW w:w="1443" w:type="dxa"/>
            <w:tcBorders>
              <w:top w:val="single" w:sz="4" w:space="0" w:color="auto"/>
              <w:left w:val="single" w:sz="4" w:space="0" w:color="auto"/>
              <w:bottom w:val="single" w:sz="4" w:space="0" w:color="auto"/>
              <w:right w:val="single" w:sz="4" w:space="0" w:color="auto"/>
            </w:tcBorders>
            <w:vAlign w:val="bottom"/>
            <w:hideMark/>
          </w:tcPr>
          <w:p w14:paraId="4FC786C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40%</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48A362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37%</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54CDA1A"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20%</w:t>
            </w:r>
          </w:p>
        </w:tc>
        <w:tc>
          <w:tcPr>
            <w:tcW w:w="1443" w:type="dxa"/>
            <w:tcBorders>
              <w:top w:val="single" w:sz="4" w:space="0" w:color="auto"/>
              <w:left w:val="single" w:sz="4" w:space="0" w:color="auto"/>
              <w:bottom w:val="single" w:sz="4" w:space="0" w:color="auto"/>
              <w:right w:val="single" w:sz="4" w:space="0" w:color="auto"/>
            </w:tcBorders>
            <w:vAlign w:val="bottom"/>
            <w:hideMark/>
          </w:tcPr>
          <w:p w14:paraId="6057E00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w:t>
            </w:r>
          </w:p>
        </w:tc>
      </w:tr>
    </w:tbl>
    <w:p w14:paraId="4737C156" w14:textId="77777777" w:rsidR="00360825" w:rsidRPr="008C6CDD"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Housing Market Model (with adjustments)</w:t>
      </w:r>
    </w:p>
    <w:bookmarkEnd w:id="34"/>
    <w:p w14:paraId="4100EB64" w14:textId="77777777" w:rsidR="00360825" w:rsidRPr="00D556DB" w:rsidRDefault="00360825" w:rsidP="00360825">
      <w:pPr>
        <w:pStyle w:val="Heading2"/>
        <w:rPr>
          <w:rFonts w:ascii="Arial" w:eastAsiaTheme="majorEastAsia" w:hAnsi="Arial" w:cs="Arial"/>
        </w:rPr>
      </w:pPr>
      <w:r w:rsidRPr="00D556DB">
        <w:rPr>
          <w:rFonts w:ascii="Arial" w:hAnsi="Arial" w:cs="Arial"/>
          <w:bCs/>
        </w:rPr>
        <w:t>Indicative Targets for Different Sizes of Properties by Tenure</w:t>
      </w:r>
    </w:p>
    <w:p w14:paraId="5B532B6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analysis below provides some indicative targets for different sizes of home (by tenure). The conclusions take account of a range of factors, including the modelled outputs, the survey data and an understanding of the stock profile in different locations. The analysis (for rented affordable housing) also draws on the Housing Register data as well as taking a broader view of issues such as the flexibility of homes to accommodate changes to households (e.g. the lack of flexibility offered by a 1-bedroom home for a couple looking to start a family).</w:t>
      </w:r>
    </w:p>
    <w:p w14:paraId="20B5D51C"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Social/Affordable Rented Housing</w:t>
      </w:r>
    </w:p>
    <w:p w14:paraId="7ABD44D9"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35" w:name="_Hlk22230095"/>
      <w:r w:rsidRPr="00D556DB">
        <w:rPr>
          <w:rFonts w:ascii="Arial" w:hAnsi="Arial" w:cs="Arial"/>
        </w:rPr>
        <w:t>Bringing together the above, a number of factors are recognised. This includes recognising that it is unlikely that all affordable housing needs will be met and that it is likely that households with a need for larger homes will have greater priority (as they are more likely to contain children). That said, there is also a possible need for 1-bedroom social housing arising due to homelessness (typically homeless households are more likely to by younger single people).</w:t>
      </w:r>
    </w:p>
    <w:p w14:paraId="4A07231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noted, the conclusions also consider the Housing Register, which did show a higher proportion of households as needing 4+-bedroom homes than the modelled data above. The conclusions also take account of the current profile of housing in this sector (although for Chichester the stock profile looks to be fairly average in a regional and national context).</w:t>
      </w:r>
    </w:p>
    <w:p w14:paraId="0ED9A5F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taking account of the modelled outputs, the Housing Register and the discussion above, it is suggested that </w:t>
      </w:r>
      <w:bookmarkStart w:id="36" w:name="_Hlk10625235"/>
      <w:r w:rsidRPr="00D556DB">
        <w:rPr>
          <w:rFonts w:ascii="Arial" w:hAnsi="Arial" w:cs="Arial"/>
        </w:rPr>
        <w:t>the following mix of social/affordable rented housing would be appropriate:</w:t>
      </w:r>
    </w:p>
    <w:p w14:paraId="4EC187B7"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1-bedroom: 35-40%</w:t>
      </w:r>
    </w:p>
    <w:p w14:paraId="71806925"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2-bedroom: 35-40%</w:t>
      </w:r>
    </w:p>
    <w:p w14:paraId="664E9F55"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3-bedroom: 15-20%</w:t>
      </w:r>
    </w:p>
    <w:p w14:paraId="7143797C" w14:textId="77777777" w:rsidR="00360825" w:rsidRPr="00D556DB" w:rsidRDefault="00360825" w:rsidP="001A7584">
      <w:pPr>
        <w:pStyle w:val="BodyText"/>
        <w:numPr>
          <w:ilvl w:val="0"/>
          <w:numId w:val="40"/>
        </w:numPr>
        <w:tabs>
          <w:tab w:val="left" w:pos="720"/>
        </w:tabs>
        <w:ind w:left="714" w:hanging="357"/>
        <w:rPr>
          <w:rFonts w:ascii="Arial" w:hAnsi="Arial" w:cs="Arial"/>
        </w:rPr>
      </w:pPr>
      <w:r w:rsidRPr="00D556DB">
        <w:rPr>
          <w:rFonts w:ascii="Arial" w:hAnsi="Arial" w:cs="Arial"/>
        </w:rPr>
        <w:t>4+-bedroom: 5-10%</w:t>
      </w:r>
    </w:p>
    <w:p w14:paraId="449882AE"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lastRenderedPageBreak/>
        <w:t>Affordable Home Ownership</w:t>
      </w:r>
    </w:p>
    <w:bookmarkEnd w:id="36"/>
    <w:p w14:paraId="29DA382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the affordable home ownership and market sectors a profile of housing that closely matches the outputs of the modelling is suggested. It is considered that the provision of affordable home ownership should be more explicitly focused on delivering smaller family housing for younger households. </w:t>
      </w:r>
      <w:bookmarkStart w:id="37" w:name="_Hlk25231783"/>
      <w:r w:rsidRPr="00D556DB">
        <w:rPr>
          <w:rFonts w:ascii="Arial" w:hAnsi="Arial" w:cs="Arial"/>
        </w:rPr>
        <w:t xml:space="preserve">Based on this analysis, it is suggested that </w:t>
      </w:r>
      <w:bookmarkStart w:id="38" w:name="_Hlk10625255"/>
      <w:r w:rsidRPr="00D556DB">
        <w:rPr>
          <w:rFonts w:ascii="Arial" w:hAnsi="Arial" w:cs="Arial"/>
        </w:rPr>
        <w:t>the following mix of affordable home ownership would be appropriate:</w:t>
      </w:r>
    </w:p>
    <w:p w14:paraId="33A851E9"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1-bedroom: 20-25%</w:t>
      </w:r>
    </w:p>
    <w:p w14:paraId="5B5B1E27"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2-bedroom: 45-50%</w:t>
      </w:r>
    </w:p>
    <w:p w14:paraId="51A09516"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3-bedroom: 20-25%</w:t>
      </w:r>
    </w:p>
    <w:p w14:paraId="18843B72" w14:textId="77777777" w:rsidR="00360825" w:rsidRPr="00D556DB" w:rsidRDefault="00360825" w:rsidP="001A7584">
      <w:pPr>
        <w:pStyle w:val="BodyText"/>
        <w:numPr>
          <w:ilvl w:val="0"/>
          <w:numId w:val="40"/>
        </w:numPr>
        <w:tabs>
          <w:tab w:val="left" w:pos="720"/>
        </w:tabs>
        <w:ind w:left="714" w:hanging="357"/>
        <w:rPr>
          <w:rFonts w:ascii="Arial" w:hAnsi="Arial" w:cs="Arial"/>
        </w:rPr>
      </w:pPr>
      <w:r w:rsidRPr="00D556DB">
        <w:rPr>
          <w:rFonts w:ascii="Arial" w:hAnsi="Arial" w:cs="Arial"/>
        </w:rPr>
        <w:t>4+-bedroom: 5-10%</w:t>
      </w:r>
    </w:p>
    <w:bookmarkEnd w:id="37"/>
    <w:bookmarkEnd w:id="38"/>
    <w:p w14:paraId="23E93EB6"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Market Housing</w:t>
      </w:r>
    </w:p>
    <w:p w14:paraId="46178BB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Finally, in the market sector, a balance of dwellings is suggested that takes account of both the demand for homes and the changing demographic profile (as well as observations about the current mix when compared with other locations and also the potential to slightly reduce levels of under-occupancy). </w:t>
      </w:r>
      <w:r w:rsidRPr="006031C3">
        <w:rPr>
          <w:rFonts w:ascii="Arial" w:hAnsi="Arial" w:cs="Arial"/>
        </w:rPr>
        <w:t>However, the analysis also recognises the recent trend of people working from home. Overall, this tenure</w:t>
      </w:r>
      <w:r w:rsidRPr="00D556DB">
        <w:rPr>
          <w:rFonts w:ascii="Arial" w:hAnsi="Arial" w:cs="Arial"/>
        </w:rPr>
        <w:t xml:space="preserve"> sees a slightly larger recommended profile compared with other tenure groups:</w:t>
      </w:r>
    </w:p>
    <w:bookmarkEnd w:id="35"/>
    <w:p w14:paraId="105866F1"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1-bedroom: 5-10%</w:t>
      </w:r>
    </w:p>
    <w:p w14:paraId="2A71F582"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2-bedroom: 30-40%</w:t>
      </w:r>
    </w:p>
    <w:p w14:paraId="70E43A6A"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3-bedroom: 35-45%</w:t>
      </w:r>
    </w:p>
    <w:p w14:paraId="7EA1EB91" w14:textId="77777777" w:rsidR="00360825" w:rsidRPr="00D556DB" w:rsidRDefault="00360825" w:rsidP="001A7584">
      <w:pPr>
        <w:pStyle w:val="BodyText"/>
        <w:numPr>
          <w:ilvl w:val="0"/>
          <w:numId w:val="40"/>
        </w:numPr>
        <w:tabs>
          <w:tab w:val="left" w:pos="720"/>
        </w:tabs>
        <w:ind w:left="714" w:hanging="357"/>
        <w:rPr>
          <w:rFonts w:ascii="Arial" w:hAnsi="Arial" w:cs="Arial"/>
        </w:rPr>
      </w:pPr>
      <w:r w:rsidRPr="00D556DB">
        <w:rPr>
          <w:rFonts w:ascii="Arial" w:hAnsi="Arial" w:cs="Arial"/>
        </w:rPr>
        <w:t>4+-bedroom: 15-20%</w:t>
      </w:r>
    </w:p>
    <w:p w14:paraId="24D70BA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Although the analysis has quantified this on the basis of the market modelling and an understanding of the current housing market, it does not necessarily follow that such prescriptive figures should be included in the plan making process (although it will be useful to include an indication of the broad mix to be sought across the study area) – demand can change over time linked to macro-economic factors and local supply. Policy aspirations could also influence the mix sought.</w:t>
      </w:r>
    </w:p>
    <w:p w14:paraId="68E6770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suggested figures can be used as a monitoring tool to ensure that future delivery is not unbalanced when compared with the likely requirements as driven by demographic change in the area. The recommendations can also be used as a set of guidelines to consider the appropriate mix on larger development sites, and the Council could expect justification for a housing mix on such sites which significantly differs from that modelled herein. Site location and area character are also however relevant considerations the appropriate mix of market housing on individual development sites.</w:t>
      </w:r>
    </w:p>
    <w:p w14:paraId="6C72442D" w14:textId="77777777" w:rsidR="00360825" w:rsidRPr="00D556DB" w:rsidRDefault="00360825" w:rsidP="00360825">
      <w:pPr>
        <w:pStyle w:val="Heading2"/>
        <w:rPr>
          <w:rFonts w:ascii="Arial" w:eastAsiaTheme="majorEastAsia" w:hAnsi="Arial" w:cs="Arial"/>
          <w:bCs/>
        </w:rPr>
      </w:pPr>
      <w:r w:rsidRPr="00D556DB">
        <w:rPr>
          <w:rFonts w:ascii="Arial" w:hAnsi="Arial" w:cs="Arial"/>
          <w:bCs/>
        </w:rPr>
        <w:lastRenderedPageBreak/>
        <w:t>Smaller-area Housing Mix</w:t>
      </w:r>
    </w:p>
    <w:p w14:paraId="76AE685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analysis above has focussed on overall District-wide needs; given differences between locations it is however worth considering the potential mix at a smaller-area level. The table below shows the profile of housing by tenure for the sub-areas. The analysis shows a few features, including the high proportion of 4-+bedroom market homes in Plan Area north and a smaller stock in Chichester. There are also variations shown in the profile of the social rented and private rented sectors with Chichester showing some of the smallest dwelling sizes across all tenures.</w:t>
      </w:r>
    </w:p>
    <w:p w14:paraId="1BE66E8F" w14:textId="77777777" w:rsidR="00360825" w:rsidRPr="00D556DB" w:rsidRDefault="00360825" w:rsidP="001A7584">
      <w:pPr>
        <w:pStyle w:val="Heading4"/>
        <w:ind w:firstLine="0"/>
      </w:pPr>
      <w:r w:rsidRPr="00D556DB">
        <w:t>Number of Bedrooms by Tenure, 2011 – sub-areas</w:t>
      </w:r>
    </w:p>
    <w:tbl>
      <w:tblPr>
        <w:tblStyle w:val="TableTheme"/>
        <w:tblW w:w="5000" w:type="pct"/>
        <w:tblInd w:w="0" w:type="dxa"/>
        <w:tblLook w:val="04A0" w:firstRow="1" w:lastRow="0" w:firstColumn="1" w:lastColumn="0" w:noHBand="0" w:noVBand="1"/>
      </w:tblPr>
      <w:tblGrid>
        <w:gridCol w:w="1074"/>
        <w:gridCol w:w="1477"/>
        <w:gridCol w:w="1037"/>
        <w:gridCol w:w="1039"/>
        <w:gridCol w:w="1037"/>
        <w:gridCol w:w="1039"/>
        <w:gridCol w:w="1037"/>
        <w:gridCol w:w="1037"/>
      </w:tblGrid>
      <w:tr w:rsidR="00360825" w:rsidRPr="00DE1AA1" w14:paraId="5C00B627" w14:textId="77777777" w:rsidTr="00C04569">
        <w:tc>
          <w:tcPr>
            <w:tcW w:w="611" w:type="pct"/>
            <w:tcBorders>
              <w:top w:val="single" w:sz="4" w:space="0" w:color="auto"/>
              <w:left w:val="single" w:sz="4" w:space="0" w:color="auto"/>
              <w:bottom w:val="single" w:sz="4" w:space="0" w:color="auto"/>
              <w:right w:val="single" w:sz="4" w:space="0" w:color="auto"/>
            </w:tcBorders>
            <w:shd w:val="clear" w:color="auto" w:fill="002060"/>
          </w:tcPr>
          <w:p w14:paraId="722C3565" w14:textId="77777777" w:rsidR="00360825" w:rsidRPr="00DE1AA1" w:rsidRDefault="00360825" w:rsidP="00C04569">
            <w:pPr>
              <w:keepNext/>
              <w:spacing w:after="0" w:line="300" w:lineRule="auto"/>
              <w:jc w:val="left"/>
              <w:rPr>
                <w:rFonts w:ascii="Arial" w:hAnsi="Arial" w:cs="Arial"/>
                <w:color w:val="FFFFFF" w:themeColor="background1"/>
              </w:rPr>
            </w:pPr>
          </w:p>
        </w:tc>
        <w:tc>
          <w:tcPr>
            <w:tcW w:w="841" w:type="pct"/>
            <w:tcBorders>
              <w:top w:val="single" w:sz="4" w:space="0" w:color="auto"/>
              <w:left w:val="single" w:sz="4" w:space="0" w:color="auto"/>
              <w:bottom w:val="single" w:sz="4" w:space="0" w:color="auto"/>
              <w:right w:val="single" w:sz="4" w:space="0" w:color="auto"/>
            </w:tcBorders>
            <w:shd w:val="clear" w:color="auto" w:fill="002060"/>
          </w:tcPr>
          <w:p w14:paraId="25094E8B"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p>
        </w:tc>
        <w:tc>
          <w:tcPr>
            <w:tcW w:w="591"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7116DEDE"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proofErr w:type="spellStart"/>
            <w:r w:rsidRPr="00DE1AA1">
              <w:rPr>
                <w:rFonts w:cs="Arial"/>
                <w:color w:val="FFFFFF" w:themeColor="background1"/>
              </w:rPr>
              <w:t>Chich</w:t>
            </w:r>
            <w:proofErr w:type="spellEnd"/>
            <w:r w:rsidRPr="00DE1AA1">
              <w:rPr>
                <w:rFonts w:cs="Arial"/>
                <w:color w:val="FFFFFF" w:themeColor="background1"/>
              </w:rPr>
              <w:t>-ester City</w:t>
            </w:r>
          </w:p>
        </w:tc>
        <w:tc>
          <w:tcPr>
            <w:tcW w:w="592"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1570E994"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r w:rsidRPr="00DE1AA1">
              <w:rPr>
                <w:rFonts w:cs="Arial"/>
                <w:color w:val="FFFFFF" w:themeColor="background1"/>
              </w:rPr>
              <w:t>EW Corridor</w:t>
            </w:r>
          </w:p>
        </w:tc>
        <w:tc>
          <w:tcPr>
            <w:tcW w:w="591"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27BDA138"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r w:rsidRPr="00DE1AA1">
              <w:rPr>
                <w:rFonts w:cs="Arial"/>
                <w:color w:val="FFFFFF" w:themeColor="background1"/>
              </w:rPr>
              <w:t>Man-hood</w:t>
            </w:r>
          </w:p>
        </w:tc>
        <w:tc>
          <w:tcPr>
            <w:tcW w:w="592"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30DE9BA4"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r w:rsidRPr="00DE1AA1">
              <w:rPr>
                <w:rFonts w:cs="Arial"/>
                <w:color w:val="FFFFFF" w:themeColor="background1"/>
              </w:rPr>
              <w:t>Plan Area North</w:t>
            </w:r>
          </w:p>
        </w:tc>
        <w:tc>
          <w:tcPr>
            <w:tcW w:w="591"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6705A231"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r w:rsidRPr="00DE1AA1">
              <w:rPr>
                <w:rFonts w:cs="Arial"/>
                <w:color w:val="FFFFFF" w:themeColor="background1"/>
              </w:rPr>
              <w:t>SDNP</w:t>
            </w:r>
          </w:p>
        </w:tc>
        <w:tc>
          <w:tcPr>
            <w:tcW w:w="592"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5E2C13CE"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r w:rsidRPr="00DE1AA1">
              <w:rPr>
                <w:rFonts w:cs="Arial"/>
                <w:color w:val="FFFFFF" w:themeColor="background1"/>
              </w:rPr>
              <w:t>TOTAL</w:t>
            </w:r>
          </w:p>
        </w:tc>
      </w:tr>
      <w:tr w:rsidR="00360825" w:rsidRPr="00DE1AA1" w14:paraId="21FDA2C6" w14:textId="77777777" w:rsidTr="00C04569">
        <w:tc>
          <w:tcPr>
            <w:tcW w:w="611" w:type="pct"/>
            <w:vMerge w:val="restart"/>
            <w:tcBorders>
              <w:top w:val="single" w:sz="4" w:space="0" w:color="auto"/>
              <w:left w:val="single" w:sz="4" w:space="0" w:color="auto"/>
              <w:bottom w:val="single" w:sz="4" w:space="0" w:color="auto"/>
              <w:right w:val="single" w:sz="4" w:space="0" w:color="auto"/>
            </w:tcBorders>
            <w:hideMark/>
          </w:tcPr>
          <w:p w14:paraId="2258DAB9" w14:textId="77777777" w:rsidR="00360825" w:rsidRPr="00DE1AA1" w:rsidRDefault="00360825" w:rsidP="00C04569">
            <w:pPr>
              <w:pStyle w:val="11Body"/>
              <w:keepNext/>
              <w:tabs>
                <w:tab w:val="clear" w:pos="1305"/>
                <w:tab w:val="left" w:pos="720"/>
              </w:tabs>
              <w:spacing w:before="0" w:line="300" w:lineRule="auto"/>
              <w:ind w:left="0" w:firstLine="0"/>
              <w:rPr>
                <w:rFonts w:cs="Arial"/>
                <w:color w:val="auto"/>
                <w:lang w:val="en-GB"/>
              </w:rPr>
            </w:pPr>
            <w:r w:rsidRPr="00DE1AA1">
              <w:rPr>
                <w:rFonts w:cs="Arial"/>
                <w:color w:val="auto"/>
                <w:lang w:val="en-GB"/>
              </w:rPr>
              <w:t>Owner-occupied</w:t>
            </w:r>
          </w:p>
        </w:tc>
        <w:tc>
          <w:tcPr>
            <w:tcW w:w="841" w:type="pct"/>
            <w:tcBorders>
              <w:top w:val="single" w:sz="4" w:space="0" w:color="auto"/>
              <w:left w:val="single" w:sz="4" w:space="0" w:color="auto"/>
              <w:bottom w:val="single" w:sz="4" w:space="0" w:color="auto"/>
              <w:right w:val="single" w:sz="4" w:space="0" w:color="auto"/>
            </w:tcBorders>
            <w:hideMark/>
          </w:tcPr>
          <w:p w14:paraId="45CBBBE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591" w:type="pct"/>
            <w:tcBorders>
              <w:top w:val="single" w:sz="4" w:space="0" w:color="auto"/>
              <w:left w:val="single" w:sz="4" w:space="0" w:color="auto"/>
              <w:bottom w:val="single" w:sz="4" w:space="0" w:color="auto"/>
              <w:right w:val="single" w:sz="4" w:space="0" w:color="auto"/>
            </w:tcBorders>
            <w:vAlign w:val="bottom"/>
            <w:hideMark/>
          </w:tcPr>
          <w:p w14:paraId="33F47EC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w:t>
            </w:r>
          </w:p>
        </w:tc>
        <w:tc>
          <w:tcPr>
            <w:tcW w:w="592" w:type="pct"/>
            <w:tcBorders>
              <w:top w:val="single" w:sz="4" w:space="0" w:color="auto"/>
              <w:left w:val="single" w:sz="4" w:space="0" w:color="auto"/>
              <w:bottom w:val="single" w:sz="4" w:space="0" w:color="auto"/>
              <w:right w:val="single" w:sz="4" w:space="0" w:color="auto"/>
            </w:tcBorders>
            <w:vAlign w:val="bottom"/>
            <w:hideMark/>
          </w:tcPr>
          <w:p w14:paraId="45B1A8A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w:t>
            </w:r>
          </w:p>
        </w:tc>
        <w:tc>
          <w:tcPr>
            <w:tcW w:w="591" w:type="pct"/>
            <w:tcBorders>
              <w:top w:val="single" w:sz="4" w:space="0" w:color="auto"/>
              <w:left w:val="single" w:sz="4" w:space="0" w:color="auto"/>
              <w:bottom w:val="single" w:sz="4" w:space="0" w:color="auto"/>
              <w:right w:val="single" w:sz="4" w:space="0" w:color="auto"/>
            </w:tcBorders>
            <w:vAlign w:val="bottom"/>
            <w:hideMark/>
          </w:tcPr>
          <w:p w14:paraId="4B9F3C1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w:t>
            </w:r>
          </w:p>
        </w:tc>
        <w:tc>
          <w:tcPr>
            <w:tcW w:w="592" w:type="pct"/>
            <w:tcBorders>
              <w:top w:val="single" w:sz="4" w:space="0" w:color="auto"/>
              <w:left w:val="single" w:sz="4" w:space="0" w:color="auto"/>
              <w:bottom w:val="single" w:sz="4" w:space="0" w:color="auto"/>
              <w:right w:val="single" w:sz="4" w:space="0" w:color="auto"/>
            </w:tcBorders>
            <w:vAlign w:val="bottom"/>
            <w:hideMark/>
          </w:tcPr>
          <w:p w14:paraId="36D15E7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w:t>
            </w:r>
          </w:p>
        </w:tc>
        <w:tc>
          <w:tcPr>
            <w:tcW w:w="591" w:type="pct"/>
            <w:tcBorders>
              <w:top w:val="single" w:sz="4" w:space="0" w:color="auto"/>
              <w:left w:val="single" w:sz="4" w:space="0" w:color="auto"/>
              <w:bottom w:val="single" w:sz="4" w:space="0" w:color="auto"/>
              <w:right w:val="single" w:sz="4" w:space="0" w:color="auto"/>
            </w:tcBorders>
            <w:vAlign w:val="bottom"/>
            <w:hideMark/>
          </w:tcPr>
          <w:p w14:paraId="19224E8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w:t>
            </w:r>
          </w:p>
        </w:tc>
        <w:tc>
          <w:tcPr>
            <w:tcW w:w="592" w:type="pct"/>
            <w:tcBorders>
              <w:top w:val="single" w:sz="4" w:space="0" w:color="auto"/>
              <w:left w:val="single" w:sz="4" w:space="0" w:color="auto"/>
              <w:bottom w:val="single" w:sz="4" w:space="0" w:color="auto"/>
              <w:right w:val="single" w:sz="4" w:space="0" w:color="auto"/>
            </w:tcBorders>
            <w:vAlign w:val="bottom"/>
            <w:hideMark/>
          </w:tcPr>
          <w:p w14:paraId="542B739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w:t>
            </w:r>
          </w:p>
        </w:tc>
      </w:tr>
      <w:tr w:rsidR="00360825" w:rsidRPr="00DE1AA1" w14:paraId="1ECBF8AE"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1A5A4DA4"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1561398A"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4DE9160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27%</w:t>
            </w:r>
          </w:p>
        </w:tc>
        <w:tc>
          <w:tcPr>
            <w:tcW w:w="592" w:type="pct"/>
            <w:tcBorders>
              <w:top w:val="single" w:sz="4" w:space="0" w:color="auto"/>
              <w:left w:val="single" w:sz="4" w:space="0" w:color="auto"/>
              <w:bottom w:val="single" w:sz="4" w:space="0" w:color="auto"/>
              <w:right w:val="single" w:sz="4" w:space="0" w:color="auto"/>
            </w:tcBorders>
            <w:vAlign w:val="bottom"/>
            <w:hideMark/>
          </w:tcPr>
          <w:p w14:paraId="01FE316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24%</w:t>
            </w:r>
          </w:p>
        </w:tc>
        <w:tc>
          <w:tcPr>
            <w:tcW w:w="591" w:type="pct"/>
            <w:tcBorders>
              <w:top w:val="single" w:sz="4" w:space="0" w:color="auto"/>
              <w:left w:val="single" w:sz="4" w:space="0" w:color="auto"/>
              <w:bottom w:val="single" w:sz="4" w:space="0" w:color="auto"/>
              <w:right w:val="single" w:sz="4" w:space="0" w:color="auto"/>
            </w:tcBorders>
            <w:vAlign w:val="bottom"/>
            <w:hideMark/>
          </w:tcPr>
          <w:p w14:paraId="0FB92A3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w:t>
            </w:r>
          </w:p>
        </w:tc>
        <w:tc>
          <w:tcPr>
            <w:tcW w:w="592" w:type="pct"/>
            <w:tcBorders>
              <w:top w:val="single" w:sz="4" w:space="0" w:color="auto"/>
              <w:left w:val="single" w:sz="4" w:space="0" w:color="auto"/>
              <w:bottom w:val="single" w:sz="4" w:space="0" w:color="auto"/>
              <w:right w:val="single" w:sz="4" w:space="0" w:color="auto"/>
            </w:tcBorders>
            <w:vAlign w:val="bottom"/>
            <w:hideMark/>
          </w:tcPr>
          <w:p w14:paraId="4D960B0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14%</w:t>
            </w:r>
          </w:p>
        </w:tc>
        <w:tc>
          <w:tcPr>
            <w:tcW w:w="591" w:type="pct"/>
            <w:tcBorders>
              <w:top w:val="single" w:sz="4" w:space="0" w:color="auto"/>
              <w:left w:val="single" w:sz="4" w:space="0" w:color="auto"/>
              <w:bottom w:val="single" w:sz="4" w:space="0" w:color="auto"/>
              <w:right w:val="single" w:sz="4" w:space="0" w:color="auto"/>
            </w:tcBorders>
            <w:vAlign w:val="bottom"/>
            <w:hideMark/>
          </w:tcPr>
          <w:p w14:paraId="1031E41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w:t>
            </w:r>
          </w:p>
        </w:tc>
        <w:tc>
          <w:tcPr>
            <w:tcW w:w="592" w:type="pct"/>
            <w:tcBorders>
              <w:top w:val="single" w:sz="4" w:space="0" w:color="auto"/>
              <w:left w:val="single" w:sz="4" w:space="0" w:color="auto"/>
              <w:bottom w:val="single" w:sz="4" w:space="0" w:color="auto"/>
              <w:right w:val="single" w:sz="4" w:space="0" w:color="auto"/>
            </w:tcBorders>
            <w:vAlign w:val="bottom"/>
            <w:hideMark/>
          </w:tcPr>
          <w:p w14:paraId="6508D47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w:t>
            </w:r>
          </w:p>
        </w:tc>
      </w:tr>
      <w:tr w:rsidR="00360825" w:rsidRPr="00DE1AA1" w14:paraId="285B4DE7"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120FF312"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08ECB47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7BD2D75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43%</w:t>
            </w:r>
          </w:p>
        </w:tc>
        <w:tc>
          <w:tcPr>
            <w:tcW w:w="592" w:type="pct"/>
            <w:tcBorders>
              <w:top w:val="single" w:sz="4" w:space="0" w:color="auto"/>
              <w:left w:val="single" w:sz="4" w:space="0" w:color="auto"/>
              <w:bottom w:val="single" w:sz="4" w:space="0" w:color="auto"/>
              <w:right w:val="single" w:sz="4" w:space="0" w:color="auto"/>
            </w:tcBorders>
            <w:vAlign w:val="bottom"/>
            <w:hideMark/>
          </w:tcPr>
          <w:p w14:paraId="629B4C3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43%</w:t>
            </w:r>
          </w:p>
        </w:tc>
        <w:tc>
          <w:tcPr>
            <w:tcW w:w="591" w:type="pct"/>
            <w:tcBorders>
              <w:top w:val="single" w:sz="4" w:space="0" w:color="auto"/>
              <w:left w:val="single" w:sz="4" w:space="0" w:color="auto"/>
              <w:bottom w:val="single" w:sz="4" w:space="0" w:color="auto"/>
              <w:right w:val="single" w:sz="4" w:space="0" w:color="auto"/>
            </w:tcBorders>
            <w:vAlign w:val="bottom"/>
            <w:hideMark/>
          </w:tcPr>
          <w:p w14:paraId="7AC6C0C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43%</w:t>
            </w:r>
          </w:p>
        </w:tc>
        <w:tc>
          <w:tcPr>
            <w:tcW w:w="592" w:type="pct"/>
            <w:tcBorders>
              <w:top w:val="single" w:sz="4" w:space="0" w:color="auto"/>
              <w:left w:val="single" w:sz="4" w:space="0" w:color="auto"/>
              <w:bottom w:val="single" w:sz="4" w:space="0" w:color="auto"/>
              <w:right w:val="single" w:sz="4" w:space="0" w:color="auto"/>
            </w:tcBorders>
            <w:vAlign w:val="bottom"/>
            <w:hideMark/>
          </w:tcPr>
          <w:p w14:paraId="35DD747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35%</w:t>
            </w:r>
          </w:p>
        </w:tc>
        <w:tc>
          <w:tcPr>
            <w:tcW w:w="591" w:type="pct"/>
            <w:tcBorders>
              <w:top w:val="single" w:sz="4" w:space="0" w:color="auto"/>
              <w:left w:val="single" w:sz="4" w:space="0" w:color="auto"/>
              <w:bottom w:val="single" w:sz="4" w:space="0" w:color="auto"/>
              <w:right w:val="single" w:sz="4" w:space="0" w:color="auto"/>
            </w:tcBorders>
            <w:vAlign w:val="bottom"/>
            <w:hideMark/>
          </w:tcPr>
          <w:p w14:paraId="0BCAF19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40%</w:t>
            </w:r>
          </w:p>
        </w:tc>
        <w:tc>
          <w:tcPr>
            <w:tcW w:w="592" w:type="pct"/>
            <w:tcBorders>
              <w:top w:val="single" w:sz="4" w:space="0" w:color="auto"/>
              <w:left w:val="single" w:sz="4" w:space="0" w:color="auto"/>
              <w:bottom w:val="single" w:sz="4" w:space="0" w:color="auto"/>
              <w:right w:val="single" w:sz="4" w:space="0" w:color="auto"/>
            </w:tcBorders>
            <w:vAlign w:val="bottom"/>
            <w:hideMark/>
          </w:tcPr>
          <w:p w14:paraId="03A33CA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42%</w:t>
            </w:r>
          </w:p>
        </w:tc>
      </w:tr>
      <w:tr w:rsidR="00360825" w:rsidRPr="00DE1AA1" w14:paraId="33EF0F8E"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51C87254"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11D6F17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7DF8FEE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w:t>
            </w:r>
          </w:p>
        </w:tc>
        <w:tc>
          <w:tcPr>
            <w:tcW w:w="592" w:type="pct"/>
            <w:tcBorders>
              <w:top w:val="single" w:sz="4" w:space="0" w:color="auto"/>
              <w:left w:val="single" w:sz="4" w:space="0" w:color="auto"/>
              <w:bottom w:val="single" w:sz="4" w:space="0" w:color="auto"/>
              <w:right w:val="single" w:sz="4" w:space="0" w:color="auto"/>
            </w:tcBorders>
            <w:vAlign w:val="bottom"/>
            <w:hideMark/>
          </w:tcPr>
          <w:p w14:paraId="545793A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w:t>
            </w:r>
          </w:p>
        </w:tc>
        <w:tc>
          <w:tcPr>
            <w:tcW w:w="591" w:type="pct"/>
            <w:tcBorders>
              <w:top w:val="single" w:sz="4" w:space="0" w:color="auto"/>
              <w:left w:val="single" w:sz="4" w:space="0" w:color="auto"/>
              <w:bottom w:val="single" w:sz="4" w:space="0" w:color="auto"/>
              <w:right w:val="single" w:sz="4" w:space="0" w:color="auto"/>
            </w:tcBorders>
            <w:vAlign w:val="bottom"/>
            <w:hideMark/>
          </w:tcPr>
          <w:p w14:paraId="3EC815E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28%</w:t>
            </w:r>
          </w:p>
        </w:tc>
        <w:tc>
          <w:tcPr>
            <w:tcW w:w="592" w:type="pct"/>
            <w:tcBorders>
              <w:top w:val="single" w:sz="4" w:space="0" w:color="auto"/>
              <w:left w:val="single" w:sz="4" w:space="0" w:color="auto"/>
              <w:bottom w:val="single" w:sz="4" w:space="0" w:color="auto"/>
              <w:right w:val="single" w:sz="4" w:space="0" w:color="auto"/>
            </w:tcBorders>
            <w:vAlign w:val="bottom"/>
            <w:hideMark/>
          </w:tcPr>
          <w:p w14:paraId="1CFD2D8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49%</w:t>
            </w:r>
          </w:p>
        </w:tc>
        <w:tc>
          <w:tcPr>
            <w:tcW w:w="591" w:type="pct"/>
            <w:tcBorders>
              <w:top w:val="single" w:sz="4" w:space="0" w:color="auto"/>
              <w:left w:val="single" w:sz="4" w:space="0" w:color="auto"/>
              <w:bottom w:val="single" w:sz="4" w:space="0" w:color="auto"/>
              <w:right w:val="single" w:sz="4" w:space="0" w:color="auto"/>
            </w:tcBorders>
            <w:vAlign w:val="bottom"/>
            <w:hideMark/>
          </w:tcPr>
          <w:p w14:paraId="37C7D85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40%</w:t>
            </w:r>
          </w:p>
        </w:tc>
        <w:tc>
          <w:tcPr>
            <w:tcW w:w="592" w:type="pct"/>
            <w:tcBorders>
              <w:top w:val="single" w:sz="4" w:space="0" w:color="auto"/>
              <w:left w:val="single" w:sz="4" w:space="0" w:color="auto"/>
              <w:bottom w:val="single" w:sz="4" w:space="0" w:color="auto"/>
              <w:right w:val="single" w:sz="4" w:space="0" w:color="auto"/>
            </w:tcBorders>
            <w:vAlign w:val="bottom"/>
            <w:hideMark/>
          </w:tcPr>
          <w:p w14:paraId="08C2CAE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32%</w:t>
            </w:r>
          </w:p>
        </w:tc>
      </w:tr>
      <w:tr w:rsidR="00360825" w:rsidRPr="00DE1AA1" w14:paraId="2910E150"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75349C4A"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7E5CBDB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591" w:type="pct"/>
            <w:tcBorders>
              <w:top w:val="single" w:sz="4" w:space="0" w:color="auto"/>
              <w:left w:val="single" w:sz="4" w:space="0" w:color="auto"/>
              <w:bottom w:val="single" w:sz="4" w:space="0" w:color="auto"/>
              <w:right w:val="single" w:sz="4" w:space="0" w:color="auto"/>
            </w:tcBorders>
            <w:vAlign w:val="bottom"/>
            <w:hideMark/>
          </w:tcPr>
          <w:p w14:paraId="46E5FE0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00500EF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1A5AF63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2EA3953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549F1D0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772A33C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r>
      <w:tr w:rsidR="00360825" w:rsidRPr="00DE1AA1" w14:paraId="35EB7B21" w14:textId="77777777" w:rsidTr="00C04569">
        <w:tc>
          <w:tcPr>
            <w:tcW w:w="611" w:type="pct"/>
            <w:vMerge w:val="restart"/>
            <w:tcBorders>
              <w:top w:val="single" w:sz="4" w:space="0" w:color="auto"/>
              <w:left w:val="single" w:sz="4" w:space="0" w:color="auto"/>
              <w:bottom w:val="single" w:sz="4" w:space="0" w:color="auto"/>
              <w:right w:val="single" w:sz="4" w:space="0" w:color="auto"/>
            </w:tcBorders>
            <w:hideMark/>
          </w:tcPr>
          <w:p w14:paraId="07A07E53" w14:textId="77777777" w:rsidR="00360825" w:rsidRPr="00DE1AA1" w:rsidRDefault="00360825" w:rsidP="00C04569">
            <w:pPr>
              <w:pStyle w:val="11Body"/>
              <w:keepNext/>
              <w:tabs>
                <w:tab w:val="clear" w:pos="1305"/>
                <w:tab w:val="left" w:pos="720"/>
              </w:tabs>
              <w:spacing w:before="0" w:line="300" w:lineRule="auto"/>
              <w:ind w:left="0" w:firstLine="0"/>
              <w:rPr>
                <w:rFonts w:cs="Arial"/>
                <w:color w:val="auto"/>
                <w:lang w:val="en-GB"/>
              </w:rPr>
            </w:pPr>
            <w:r w:rsidRPr="00DE1AA1">
              <w:rPr>
                <w:rFonts w:cs="Arial"/>
                <w:color w:val="auto"/>
                <w:lang w:val="en-GB"/>
              </w:rPr>
              <w:t>Social rented</w:t>
            </w:r>
          </w:p>
        </w:tc>
        <w:tc>
          <w:tcPr>
            <w:tcW w:w="841" w:type="pct"/>
            <w:tcBorders>
              <w:top w:val="single" w:sz="4" w:space="0" w:color="auto"/>
              <w:left w:val="single" w:sz="4" w:space="0" w:color="auto"/>
              <w:bottom w:val="single" w:sz="4" w:space="0" w:color="auto"/>
              <w:right w:val="single" w:sz="4" w:space="0" w:color="auto"/>
            </w:tcBorders>
            <w:hideMark/>
          </w:tcPr>
          <w:p w14:paraId="331AFBD6"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591" w:type="pct"/>
            <w:tcBorders>
              <w:top w:val="single" w:sz="4" w:space="0" w:color="auto"/>
              <w:left w:val="single" w:sz="4" w:space="0" w:color="auto"/>
              <w:bottom w:val="single" w:sz="4" w:space="0" w:color="auto"/>
              <w:right w:val="single" w:sz="4" w:space="0" w:color="auto"/>
            </w:tcBorders>
            <w:vAlign w:val="bottom"/>
            <w:hideMark/>
          </w:tcPr>
          <w:p w14:paraId="2D3C17B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33%</w:t>
            </w:r>
          </w:p>
        </w:tc>
        <w:tc>
          <w:tcPr>
            <w:tcW w:w="592" w:type="pct"/>
            <w:tcBorders>
              <w:top w:val="single" w:sz="4" w:space="0" w:color="auto"/>
              <w:left w:val="single" w:sz="4" w:space="0" w:color="auto"/>
              <w:bottom w:val="single" w:sz="4" w:space="0" w:color="auto"/>
              <w:right w:val="single" w:sz="4" w:space="0" w:color="auto"/>
            </w:tcBorders>
            <w:vAlign w:val="bottom"/>
            <w:hideMark/>
          </w:tcPr>
          <w:p w14:paraId="75675CB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20%</w:t>
            </w:r>
          </w:p>
        </w:tc>
        <w:tc>
          <w:tcPr>
            <w:tcW w:w="591" w:type="pct"/>
            <w:tcBorders>
              <w:top w:val="single" w:sz="4" w:space="0" w:color="auto"/>
              <w:left w:val="single" w:sz="4" w:space="0" w:color="auto"/>
              <w:bottom w:val="single" w:sz="4" w:space="0" w:color="auto"/>
              <w:right w:val="single" w:sz="4" w:space="0" w:color="auto"/>
            </w:tcBorders>
            <w:vAlign w:val="bottom"/>
            <w:hideMark/>
          </w:tcPr>
          <w:p w14:paraId="195CB50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w:t>
            </w:r>
          </w:p>
        </w:tc>
        <w:tc>
          <w:tcPr>
            <w:tcW w:w="592" w:type="pct"/>
            <w:tcBorders>
              <w:top w:val="single" w:sz="4" w:space="0" w:color="auto"/>
              <w:left w:val="single" w:sz="4" w:space="0" w:color="auto"/>
              <w:bottom w:val="single" w:sz="4" w:space="0" w:color="auto"/>
              <w:right w:val="single" w:sz="4" w:space="0" w:color="auto"/>
            </w:tcBorders>
            <w:vAlign w:val="bottom"/>
            <w:hideMark/>
          </w:tcPr>
          <w:p w14:paraId="149940E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29%</w:t>
            </w:r>
          </w:p>
        </w:tc>
        <w:tc>
          <w:tcPr>
            <w:tcW w:w="591" w:type="pct"/>
            <w:tcBorders>
              <w:top w:val="single" w:sz="4" w:space="0" w:color="auto"/>
              <w:left w:val="single" w:sz="4" w:space="0" w:color="auto"/>
              <w:bottom w:val="single" w:sz="4" w:space="0" w:color="auto"/>
              <w:right w:val="single" w:sz="4" w:space="0" w:color="auto"/>
            </w:tcBorders>
            <w:vAlign w:val="bottom"/>
            <w:hideMark/>
          </w:tcPr>
          <w:p w14:paraId="565ADD3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w:t>
            </w:r>
          </w:p>
        </w:tc>
        <w:tc>
          <w:tcPr>
            <w:tcW w:w="592" w:type="pct"/>
            <w:tcBorders>
              <w:top w:val="single" w:sz="4" w:space="0" w:color="auto"/>
              <w:left w:val="single" w:sz="4" w:space="0" w:color="auto"/>
              <w:bottom w:val="single" w:sz="4" w:space="0" w:color="auto"/>
              <w:right w:val="single" w:sz="4" w:space="0" w:color="auto"/>
            </w:tcBorders>
            <w:vAlign w:val="bottom"/>
            <w:hideMark/>
          </w:tcPr>
          <w:p w14:paraId="76E4786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r>
      <w:tr w:rsidR="00360825" w:rsidRPr="00DE1AA1" w14:paraId="761ED5EA"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25DF82EC"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0AAE5AB9"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5DDB2D8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41%</w:t>
            </w:r>
          </w:p>
        </w:tc>
        <w:tc>
          <w:tcPr>
            <w:tcW w:w="592" w:type="pct"/>
            <w:tcBorders>
              <w:top w:val="single" w:sz="4" w:space="0" w:color="auto"/>
              <w:left w:val="single" w:sz="4" w:space="0" w:color="auto"/>
              <w:bottom w:val="single" w:sz="4" w:space="0" w:color="auto"/>
              <w:right w:val="single" w:sz="4" w:space="0" w:color="auto"/>
            </w:tcBorders>
            <w:vAlign w:val="bottom"/>
            <w:hideMark/>
          </w:tcPr>
          <w:p w14:paraId="3C6E17A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47%</w:t>
            </w:r>
          </w:p>
        </w:tc>
        <w:tc>
          <w:tcPr>
            <w:tcW w:w="591" w:type="pct"/>
            <w:tcBorders>
              <w:top w:val="single" w:sz="4" w:space="0" w:color="auto"/>
              <w:left w:val="single" w:sz="4" w:space="0" w:color="auto"/>
              <w:bottom w:val="single" w:sz="4" w:space="0" w:color="auto"/>
              <w:right w:val="single" w:sz="4" w:space="0" w:color="auto"/>
            </w:tcBorders>
            <w:vAlign w:val="bottom"/>
            <w:hideMark/>
          </w:tcPr>
          <w:p w14:paraId="668DBDA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41%</w:t>
            </w:r>
          </w:p>
        </w:tc>
        <w:tc>
          <w:tcPr>
            <w:tcW w:w="592" w:type="pct"/>
            <w:tcBorders>
              <w:top w:val="single" w:sz="4" w:space="0" w:color="auto"/>
              <w:left w:val="single" w:sz="4" w:space="0" w:color="auto"/>
              <w:bottom w:val="single" w:sz="4" w:space="0" w:color="auto"/>
              <w:right w:val="single" w:sz="4" w:space="0" w:color="auto"/>
            </w:tcBorders>
            <w:vAlign w:val="bottom"/>
            <w:hideMark/>
          </w:tcPr>
          <w:p w14:paraId="66B0952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43%</w:t>
            </w:r>
          </w:p>
        </w:tc>
        <w:tc>
          <w:tcPr>
            <w:tcW w:w="591" w:type="pct"/>
            <w:tcBorders>
              <w:top w:val="single" w:sz="4" w:space="0" w:color="auto"/>
              <w:left w:val="single" w:sz="4" w:space="0" w:color="auto"/>
              <w:bottom w:val="single" w:sz="4" w:space="0" w:color="auto"/>
              <w:right w:val="single" w:sz="4" w:space="0" w:color="auto"/>
            </w:tcBorders>
            <w:vAlign w:val="bottom"/>
            <w:hideMark/>
          </w:tcPr>
          <w:p w14:paraId="1F5757A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41%</w:t>
            </w:r>
          </w:p>
        </w:tc>
        <w:tc>
          <w:tcPr>
            <w:tcW w:w="592" w:type="pct"/>
            <w:tcBorders>
              <w:top w:val="single" w:sz="4" w:space="0" w:color="auto"/>
              <w:left w:val="single" w:sz="4" w:space="0" w:color="auto"/>
              <w:bottom w:val="single" w:sz="4" w:space="0" w:color="auto"/>
              <w:right w:val="single" w:sz="4" w:space="0" w:color="auto"/>
            </w:tcBorders>
            <w:vAlign w:val="bottom"/>
            <w:hideMark/>
          </w:tcPr>
          <w:p w14:paraId="74C9A07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42%</w:t>
            </w:r>
          </w:p>
        </w:tc>
      </w:tr>
      <w:tr w:rsidR="00360825" w:rsidRPr="00DE1AA1" w14:paraId="063FA701"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1801719D"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0A705467"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1262A80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23%</w:t>
            </w:r>
          </w:p>
        </w:tc>
        <w:tc>
          <w:tcPr>
            <w:tcW w:w="592" w:type="pct"/>
            <w:tcBorders>
              <w:top w:val="single" w:sz="4" w:space="0" w:color="auto"/>
              <w:left w:val="single" w:sz="4" w:space="0" w:color="auto"/>
              <w:bottom w:val="single" w:sz="4" w:space="0" w:color="auto"/>
              <w:right w:val="single" w:sz="4" w:space="0" w:color="auto"/>
            </w:tcBorders>
            <w:vAlign w:val="bottom"/>
            <w:hideMark/>
          </w:tcPr>
          <w:p w14:paraId="6DD48EE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w:t>
            </w:r>
          </w:p>
        </w:tc>
        <w:tc>
          <w:tcPr>
            <w:tcW w:w="591" w:type="pct"/>
            <w:tcBorders>
              <w:top w:val="single" w:sz="4" w:space="0" w:color="auto"/>
              <w:left w:val="single" w:sz="4" w:space="0" w:color="auto"/>
              <w:bottom w:val="single" w:sz="4" w:space="0" w:color="auto"/>
              <w:right w:val="single" w:sz="4" w:space="0" w:color="auto"/>
            </w:tcBorders>
            <w:vAlign w:val="bottom"/>
            <w:hideMark/>
          </w:tcPr>
          <w:p w14:paraId="0E7BDC0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c>
          <w:tcPr>
            <w:tcW w:w="592" w:type="pct"/>
            <w:tcBorders>
              <w:top w:val="single" w:sz="4" w:space="0" w:color="auto"/>
              <w:left w:val="single" w:sz="4" w:space="0" w:color="auto"/>
              <w:bottom w:val="single" w:sz="4" w:space="0" w:color="auto"/>
              <w:right w:val="single" w:sz="4" w:space="0" w:color="auto"/>
            </w:tcBorders>
            <w:vAlign w:val="bottom"/>
            <w:hideMark/>
          </w:tcPr>
          <w:p w14:paraId="40B5191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26%</w:t>
            </w:r>
          </w:p>
        </w:tc>
        <w:tc>
          <w:tcPr>
            <w:tcW w:w="591" w:type="pct"/>
            <w:tcBorders>
              <w:top w:val="single" w:sz="4" w:space="0" w:color="auto"/>
              <w:left w:val="single" w:sz="4" w:space="0" w:color="auto"/>
              <w:bottom w:val="single" w:sz="4" w:space="0" w:color="auto"/>
              <w:right w:val="single" w:sz="4" w:space="0" w:color="auto"/>
            </w:tcBorders>
            <w:vAlign w:val="bottom"/>
            <w:hideMark/>
          </w:tcPr>
          <w:p w14:paraId="7E91513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32%</w:t>
            </w:r>
          </w:p>
        </w:tc>
        <w:tc>
          <w:tcPr>
            <w:tcW w:w="592" w:type="pct"/>
            <w:tcBorders>
              <w:top w:val="single" w:sz="4" w:space="0" w:color="auto"/>
              <w:left w:val="single" w:sz="4" w:space="0" w:color="auto"/>
              <w:bottom w:val="single" w:sz="4" w:space="0" w:color="auto"/>
              <w:right w:val="single" w:sz="4" w:space="0" w:color="auto"/>
            </w:tcBorders>
            <w:vAlign w:val="bottom"/>
            <w:hideMark/>
          </w:tcPr>
          <w:p w14:paraId="27E48E9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28%</w:t>
            </w:r>
          </w:p>
        </w:tc>
      </w:tr>
      <w:tr w:rsidR="00360825" w:rsidRPr="00DE1AA1" w14:paraId="08532D02"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52F68AE8"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573BD34D"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2D2615D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w:t>
            </w:r>
          </w:p>
        </w:tc>
        <w:tc>
          <w:tcPr>
            <w:tcW w:w="592" w:type="pct"/>
            <w:tcBorders>
              <w:top w:val="single" w:sz="4" w:space="0" w:color="auto"/>
              <w:left w:val="single" w:sz="4" w:space="0" w:color="auto"/>
              <w:bottom w:val="single" w:sz="4" w:space="0" w:color="auto"/>
              <w:right w:val="single" w:sz="4" w:space="0" w:color="auto"/>
            </w:tcBorders>
            <w:vAlign w:val="bottom"/>
            <w:hideMark/>
          </w:tcPr>
          <w:p w14:paraId="29202C3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w:t>
            </w:r>
          </w:p>
        </w:tc>
        <w:tc>
          <w:tcPr>
            <w:tcW w:w="591" w:type="pct"/>
            <w:tcBorders>
              <w:top w:val="single" w:sz="4" w:space="0" w:color="auto"/>
              <w:left w:val="single" w:sz="4" w:space="0" w:color="auto"/>
              <w:bottom w:val="single" w:sz="4" w:space="0" w:color="auto"/>
              <w:right w:val="single" w:sz="4" w:space="0" w:color="auto"/>
            </w:tcBorders>
            <w:vAlign w:val="bottom"/>
            <w:hideMark/>
          </w:tcPr>
          <w:p w14:paraId="524D681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w:t>
            </w:r>
          </w:p>
        </w:tc>
        <w:tc>
          <w:tcPr>
            <w:tcW w:w="592" w:type="pct"/>
            <w:tcBorders>
              <w:top w:val="single" w:sz="4" w:space="0" w:color="auto"/>
              <w:left w:val="single" w:sz="4" w:space="0" w:color="auto"/>
              <w:bottom w:val="single" w:sz="4" w:space="0" w:color="auto"/>
              <w:right w:val="single" w:sz="4" w:space="0" w:color="auto"/>
            </w:tcBorders>
            <w:vAlign w:val="bottom"/>
            <w:hideMark/>
          </w:tcPr>
          <w:p w14:paraId="7E9FFF7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w:t>
            </w:r>
          </w:p>
        </w:tc>
        <w:tc>
          <w:tcPr>
            <w:tcW w:w="591" w:type="pct"/>
            <w:tcBorders>
              <w:top w:val="single" w:sz="4" w:space="0" w:color="auto"/>
              <w:left w:val="single" w:sz="4" w:space="0" w:color="auto"/>
              <w:bottom w:val="single" w:sz="4" w:space="0" w:color="auto"/>
              <w:right w:val="single" w:sz="4" w:space="0" w:color="auto"/>
            </w:tcBorders>
            <w:vAlign w:val="bottom"/>
            <w:hideMark/>
          </w:tcPr>
          <w:p w14:paraId="5B187DC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w:t>
            </w:r>
          </w:p>
        </w:tc>
        <w:tc>
          <w:tcPr>
            <w:tcW w:w="592" w:type="pct"/>
            <w:tcBorders>
              <w:top w:val="single" w:sz="4" w:space="0" w:color="auto"/>
              <w:left w:val="single" w:sz="4" w:space="0" w:color="auto"/>
              <w:bottom w:val="single" w:sz="4" w:space="0" w:color="auto"/>
              <w:right w:val="single" w:sz="4" w:space="0" w:color="auto"/>
            </w:tcBorders>
            <w:vAlign w:val="bottom"/>
            <w:hideMark/>
          </w:tcPr>
          <w:p w14:paraId="559D22F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w:t>
            </w:r>
          </w:p>
        </w:tc>
      </w:tr>
      <w:tr w:rsidR="00360825" w:rsidRPr="00DE1AA1" w14:paraId="7A7587EE"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79F25FF1"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6257A5E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591" w:type="pct"/>
            <w:tcBorders>
              <w:top w:val="single" w:sz="4" w:space="0" w:color="auto"/>
              <w:left w:val="single" w:sz="4" w:space="0" w:color="auto"/>
              <w:bottom w:val="single" w:sz="4" w:space="0" w:color="auto"/>
              <w:right w:val="single" w:sz="4" w:space="0" w:color="auto"/>
            </w:tcBorders>
            <w:vAlign w:val="bottom"/>
            <w:hideMark/>
          </w:tcPr>
          <w:p w14:paraId="578534D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2C49CBD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261EC55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05863FB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0A478C3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75DB55B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r>
      <w:tr w:rsidR="00360825" w:rsidRPr="00DE1AA1" w14:paraId="72259FB7" w14:textId="77777777" w:rsidTr="00C04569">
        <w:tc>
          <w:tcPr>
            <w:tcW w:w="611" w:type="pct"/>
            <w:vMerge w:val="restart"/>
            <w:tcBorders>
              <w:top w:val="single" w:sz="4" w:space="0" w:color="auto"/>
              <w:left w:val="single" w:sz="4" w:space="0" w:color="auto"/>
              <w:bottom w:val="single" w:sz="4" w:space="0" w:color="auto"/>
              <w:right w:val="single" w:sz="4" w:space="0" w:color="auto"/>
            </w:tcBorders>
            <w:hideMark/>
          </w:tcPr>
          <w:p w14:paraId="09ECA5EF" w14:textId="77777777" w:rsidR="00360825" w:rsidRPr="00DE1AA1" w:rsidRDefault="00360825" w:rsidP="00C04569">
            <w:pPr>
              <w:pStyle w:val="11Body"/>
              <w:keepNext/>
              <w:tabs>
                <w:tab w:val="clear" w:pos="1305"/>
                <w:tab w:val="left" w:pos="720"/>
              </w:tabs>
              <w:spacing w:before="0" w:line="300" w:lineRule="auto"/>
              <w:ind w:left="0" w:firstLine="0"/>
              <w:rPr>
                <w:rFonts w:cs="Arial"/>
                <w:color w:val="auto"/>
                <w:lang w:val="en-GB"/>
              </w:rPr>
            </w:pPr>
            <w:r w:rsidRPr="00DE1AA1">
              <w:rPr>
                <w:rFonts w:cs="Arial"/>
                <w:color w:val="auto"/>
                <w:lang w:val="en-GB"/>
              </w:rPr>
              <w:t>Private rented</w:t>
            </w:r>
          </w:p>
        </w:tc>
        <w:tc>
          <w:tcPr>
            <w:tcW w:w="841" w:type="pct"/>
            <w:tcBorders>
              <w:top w:val="single" w:sz="4" w:space="0" w:color="auto"/>
              <w:left w:val="single" w:sz="4" w:space="0" w:color="auto"/>
              <w:bottom w:val="single" w:sz="4" w:space="0" w:color="auto"/>
              <w:right w:val="single" w:sz="4" w:space="0" w:color="auto"/>
            </w:tcBorders>
            <w:hideMark/>
          </w:tcPr>
          <w:p w14:paraId="56A667A9"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591" w:type="pct"/>
            <w:tcBorders>
              <w:top w:val="single" w:sz="4" w:space="0" w:color="auto"/>
              <w:left w:val="single" w:sz="4" w:space="0" w:color="auto"/>
              <w:bottom w:val="single" w:sz="4" w:space="0" w:color="auto"/>
              <w:right w:val="single" w:sz="4" w:space="0" w:color="auto"/>
            </w:tcBorders>
            <w:vAlign w:val="bottom"/>
            <w:hideMark/>
          </w:tcPr>
          <w:p w14:paraId="48E3B42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24%</w:t>
            </w:r>
          </w:p>
        </w:tc>
        <w:tc>
          <w:tcPr>
            <w:tcW w:w="592" w:type="pct"/>
            <w:tcBorders>
              <w:top w:val="single" w:sz="4" w:space="0" w:color="auto"/>
              <w:left w:val="single" w:sz="4" w:space="0" w:color="auto"/>
              <w:bottom w:val="single" w:sz="4" w:space="0" w:color="auto"/>
              <w:right w:val="single" w:sz="4" w:space="0" w:color="auto"/>
            </w:tcBorders>
            <w:vAlign w:val="bottom"/>
            <w:hideMark/>
          </w:tcPr>
          <w:p w14:paraId="6284373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15%</w:t>
            </w:r>
          </w:p>
        </w:tc>
        <w:tc>
          <w:tcPr>
            <w:tcW w:w="591" w:type="pct"/>
            <w:tcBorders>
              <w:top w:val="single" w:sz="4" w:space="0" w:color="auto"/>
              <w:left w:val="single" w:sz="4" w:space="0" w:color="auto"/>
              <w:bottom w:val="single" w:sz="4" w:space="0" w:color="auto"/>
              <w:right w:val="single" w:sz="4" w:space="0" w:color="auto"/>
            </w:tcBorders>
            <w:vAlign w:val="bottom"/>
            <w:hideMark/>
          </w:tcPr>
          <w:p w14:paraId="0547A93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w:t>
            </w:r>
          </w:p>
        </w:tc>
        <w:tc>
          <w:tcPr>
            <w:tcW w:w="592" w:type="pct"/>
            <w:tcBorders>
              <w:top w:val="single" w:sz="4" w:space="0" w:color="auto"/>
              <w:left w:val="single" w:sz="4" w:space="0" w:color="auto"/>
              <w:bottom w:val="single" w:sz="4" w:space="0" w:color="auto"/>
              <w:right w:val="single" w:sz="4" w:space="0" w:color="auto"/>
            </w:tcBorders>
            <w:vAlign w:val="bottom"/>
            <w:hideMark/>
          </w:tcPr>
          <w:p w14:paraId="2932F06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16%</w:t>
            </w:r>
          </w:p>
        </w:tc>
        <w:tc>
          <w:tcPr>
            <w:tcW w:w="591" w:type="pct"/>
            <w:tcBorders>
              <w:top w:val="single" w:sz="4" w:space="0" w:color="auto"/>
              <w:left w:val="single" w:sz="4" w:space="0" w:color="auto"/>
              <w:bottom w:val="single" w:sz="4" w:space="0" w:color="auto"/>
              <w:right w:val="single" w:sz="4" w:space="0" w:color="auto"/>
            </w:tcBorders>
            <w:vAlign w:val="bottom"/>
            <w:hideMark/>
          </w:tcPr>
          <w:p w14:paraId="223D885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w:t>
            </w:r>
          </w:p>
        </w:tc>
        <w:tc>
          <w:tcPr>
            <w:tcW w:w="592" w:type="pct"/>
            <w:tcBorders>
              <w:top w:val="single" w:sz="4" w:space="0" w:color="auto"/>
              <w:left w:val="single" w:sz="4" w:space="0" w:color="auto"/>
              <w:bottom w:val="single" w:sz="4" w:space="0" w:color="auto"/>
              <w:right w:val="single" w:sz="4" w:space="0" w:color="auto"/>
            </w:tcBorders>
            <w:vAlign w:val="bottom"/>
            <w:hideMark/>
          </w:tcPr>
          <w:p w14:paraId="2DA370A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w:t>
            </w:r>
          </w:p>
        </w:tc>
      </w:tr>
      <w:tr w:rsidR="00360825" w:rsidRPr="00DE1AA1" w14:paraId="7BB3E595"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286D22A6"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7DD6F4D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3A7B172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38%</w:t>
            </w:r>
          </w:p>
        </w:tc>
        <w:tc>
          <w:tcPr>
            <w:tcW w:w="592" w:type="pct"/>
            <w:tcBorders>
              <w:top w:val="single" w:sz="4" w:space="0" w:color="auto"/>
              <w:left w:val="single" w:sz="4" w:space="0" w:color="auto"/>
              <w:bottom w:val="single" w:sz="4" w:space="0" w:color="auto"/>
              <w:right w:val="single" w:sz="4" w:space="0" w:color="auto"/>
            </w:tcBorders>
            <w:vAlign w:val="bottom"/>
            <w:hideMark/>
          </w:tcPr>
          <w:p w14:paraId="1F34C8A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36%</w:t>
            </w:r>
          </w:p>
        </w:tc>
        <w:tc>
          <w:tcPr>
            <w:tcW w:w="591" w:type="pct"/>
            <w:tcBorders>
              <w:top w:val="single" w:sz="4" w:space="0" w:color="auto"/>
              <w:left w:val="single" w:sz="4" w:space="0" w:color="auto"/>
              <w:bottom w:val="single" w:sz="4" w:space="0" w:color="auto"/>
              <w:right w:val="single" w:sz="4" w:space="0" w:color="auto"/>
            </w:tcBorders>
            <w:vAlign w:val="bottom"/>
            <w:hideMark/>
          </w:tcPr>
          <w:p w14:paraId="4701939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43%</w:t>
            </w:r>
          </w:p>
        </w:tc>
        <w:tc>
          <w:tcPr>
            <w:tcW w:w="592" w:type="pct"/>
            <w:tcBorders>
              <w:top w:val="single" w:sz="4" w:space="0" w:color="auto"/>
              <w:left w:val="single" w:sz="4" w:space="0" w:color="auto"/>
              <w:bottom w:val="single" w:sz="4" w:space="0" w:color="auto"/>
              <w:right w:val="single" w:sz="4" w:space="0" w:color="auto"/>
            </w:tcBorders>
            <w:vAlign w:val="bottom"/>
            <w:hideMark/>
          </w:tcPr>
          <w:p w14:paraId="2286FBA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29%</w:t>
            </w:r>
          </w:p>
        </w:tc>
        <w:tc>
          <w:tcPr>
            <w:tcW w:w="591" w:type="pct"/>
            <w:tcBorders>
              <w:top w:val="single" w:sz="4" w:space="0" w:color="auto"/>
              <w:left w:val="single" w:sz="4" w:space="0" w:color="auto"/>
              <w:bottom w:val="single" w:sz="4" w:space="0" w:color="auto"/>
              <w:right w:val="single" w:sz="4" w:space="0" w:color="auto"/>
            </w:tcBorders>
            <w:vAlign w:val="bottom"/>
            <w:hideMark/>
          </w:tcPr>
          <w:p w14:paraId="2F71885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34%</w:t>
            </w:r>
          </w:p>
        </w:tc>
        <w:tc>
          <w:tcPr>
            <w:tcW w:w="592" w:type="pct"/>
            <w:tcBorders>
              <w:top w:val="single" w:sz="4" w:space="0" w:color="auto"/>
              <w:left w:val="single" w:sz="4" w:space="0" w:color="auto"/>
              <w:bottom w:val="single" w:sz="4" w:space="0" w:color="auto"/>
              <w:right w:val="single" w:sz="4" w:space="0" w:color="auto"/>
            </w:tcBorders>
            <w:vAlign w:val="bottom"/>
            <w:hideMark/>
          </w:tcPr>
          <w:p w14:paraId="31894F4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37%</w:t>
            </w:r>
          </w:p>
        </w:tc>
      </w:tr>
      <w:tr w:rsidR="00360825" w:rsidRPr="00DE1AA1" w14:paraId="2D80E0E5"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3F7B7034"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7D8C441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091D385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w:t>
            </w:r>
          </w:p>
        </w:tc>
        <w:tc>
          <w:tcPr>
            <w:tcW w:w="592" w:type="pct"/>
            <w:tcBorders>
              <w:top w:val="single" w:sz="4" w:space="0" w:color="auto"/>
              <w:left w:val="single" w:sz="4" w:space="0" w:color="auto"/>
              <w:bottom w:val="single" w:sz="4" w:space="0" w:color="auto"/>
              <w:right w:val="single" w:sz="4" w:space="0" w:color="auto"/>
            </w:tcBorders>
            <w:vAlign w:val="bottom"/>
            <w:hideMark/>
          </w:tcPr>
          <w:p w14:paraId="41064EF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37%</w:t>
            </w:r>
          </w:p>
        </w:tc>
        <w:tc>
          <w:tcPr>
            <w:tcW w:w="591" w:type="pct"/>
            <w:tcBorders>
              <w:top w:val="single" w:sz="4" w:space="0" w:color="auto"/>
              <w:left w:val="single" w:sz="4" w:space="0" w:color="auto"/>
              <w:bottom w:val="single" w:sz="4" w:space="0" w:color="auto"/>
              <w:right w:val="single" w:sz="4" w:space="0" w:color="auto"/>
            </w:tcBorders>
            <w:vAlign w:val="bottom"/>
            <w:hideMark/>
          </w:tcPr>
          <w:p w14:paraId="2A106E3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30%</w:t>
            </w:r>
          </w:p>
        </w:tc>
        <w:tc>
          <w:tcPr>
            <w:tcW w:w="592" w:type="pct"/>
            <w:tcBorders>
              <w:top w:val="single" w:sz="4" w:space="0" w:color="auto"/>
              <w:left w:val="single" w:sz="4" w:space="0" w:color="auto"/>
              <w:bottom w:val="single" w:sz="4" w:space="0" w:color="auto"/>
              <w:right w:val="single" w:sz="4" w:space="0" w:color="auto"/>
            </w:tcBorders>
            <w:vAlign w:val="bottom"/>
            <w:hideMark/>
          </w:tcPr>
          <w:p w14:paraId="5361F47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37%</w:t>
            </w:r>
          </w:p>
        </w:tc>
        <w:tc>
          <w:tcPr>
            <w:tcW w:w="591" w:type="pct"/>
            <w:tcBorders>
              <w:top w:val="single" w:sz="4" w:space="0" w:color="auto"/>
              <w:left w:val="single" w:sz="4" w:space="0" w:color="auto"/>
              <w:bottom w:val="single" w:sz="4" w:space="0" w:color="auto"/>
              <w:right w:val="single" w:sz="4" w:space="0" w:color="auto"/>
            </w:tcBorders>
            <w:vAlign w:val="bottom"/>
            <w:hideMark/>
          </w:tcPr>
          <w:p w14:paraId="6FEBB4E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41%</w:t>
            </w:r>
          </w:p>
        </w:tc>
        <w:tc>
          <w:tcPr>
            <w:tcW w:w="592" w:type="pct"/>
            <w:tcBorders>
              <w:top w:val="single" w:sz="4" w:space="0" w:color="auto"/>
              <w:left w:val="single" w:sz="4" w:space="0" w:color="auto"/>
              <w:bottom w:val="single" w:sz="4" w:space="0" w:color="auto"/>
              <w:right w:val="single" w:sz="4" w:space="0" w:color="auto"/>
            </w:tcBorders>
            <w:vAlign w:val="bottom"/>
            <w:hideMark/>
          </w:tcPr>
          <w:p w14:paraId="40879C3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32%</w:t>
            </w:r>
          </w:p>
        </w:tc>
      </w:tr>
      <w:tr w:rsidR="00360825" w:rsidRPr="00DE1AA1" w14:paraId="3CEA8AAD"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44406EC8"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76E6D455"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106CAD6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16%</w:t>
            </w:r>
          </w:p>
        </w:tc>
        <w:tc>
          <w:tcPr>
            <w:tcW w:w="592" w:type="pct"/>
            <w:tcBorders>
              <w:top w:val="single" w:sz="4" w:space="0" w:color="auto"/>
              <w:left w:val="single" w:sz="4" w:space="0" w:color="auto"/>
              <w:bottom w:val="single" w:sz="4" w:space="0" w:color="auto"/>
              <w:right w:val="single" w:sz="4" w:space="0" w:color="auto"/>
            </w:tcBorders>
            <w:vAlign w:val="bottom"/>
            <w:hideMark/>
          </w:tcPr>
          <w:p w14:paraId="3444165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w:t>
            </w:r>
          </w:p>
        </w:tc>
        <w:tc>
          <w:tcPr>
            <w:tcW w:w="591" w:type="pct"/>
            <w:tcBorders>
              <w:top w:val="single" w:sz="4" w:space="0" w:color="auto"/>
              <w:left w:val="single" w:sz="4" w:space="0" w:color="auto"/>
              <w:bottom w:val="single" w:sz="4" w:space="0" w:color="auto"/>
              <w:right w:val="single" w:sz="4" w:space="0" w:color="auto"/>
            </w:tcBorders>
            <w:vAlign w:val="bottom"/>
            <w:hideMark/>
          </w:tcPr>
          <w:p w14:paraId="3318DE1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w:t>
            </w:r>
          </w:p>
        </w:tc>
        <w:tc>
          <w:tcPr>
            <w:tcW w:w="592" w:type="pct"/>
            <w:tcBorders>
              <w:top w:val="single" w:sz="4" w:space="0" w:color="auto"/>
              <w:left w:val="single" w:sz="4" w:space="0" w:color="auto"/>
              <w:bottom w:val="single" w:sz="4" w:space="0" w:color="auto"/>
              <w:right w:val="single" w:sz="4" w:space="0" w:color="auto"/>
            </w:tcBorders>
            <w:vAlign w:val="bottom"/>
            <w:hideMark/>
          </w:tcPr>
          <w:p w14:paraId="5C0E03A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18%</w:t>
            </w:r>
          </w:p>
        </w:tc>
        <w:tc>
          <w:tcPr>
            <w:tcW w:w="591" w:type="pct"/>
            <w:tcBorders>
              <w:top w:val="single" w:sz="4" w:space="0" w:color="auto"/>
              <w:left w:val="single" w:sz="4" w:space="0" w:color="auto"/>
              <w:bottom w:val="single" w:sz="4" w:space="0" w:color="auto"/>
              <w:right w:val="single" w:sz="4" w:space="0" w:color="auto"/>
            </w:tcBorders>
            <w:vAlign w:val="bottom"/>
            <w:hideMark/>
          </w:tcPr>
          <w:p w14:paraId="20B021C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13%</w:t>
            </w:r>
          </w:p>
        </w:tc>
        <w:tc>
          <w:tcPr>
            <w:tcW w:w="592" w:type="pct"/>
            <w:tcBorders>
              <w:top w:val="single" w:sz="4" w:space="0" w:color="auto"/>
              <w:left w:val="single" w:sz="4" w:space="0" w:color="auto"/>
              <w:bottom w:val="single" w:sz="4" w:space="0" w:color="auto"/>
              <w:right w:val="single" w:sz="4" w:space="0" w:color="auto"/>
            </w:tcBorders>
            <w:vAlign w:val="bottom"/>
            <w:hideMark/>
          </w:tcPr>
          <w:p w14:paraId="200D650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13%</w:t>
            </w:r>
          </w:p>
        </w:tc>
      </w:tr>
      <w:tr w:rsidR="00360825" w:rsidRPr="00DE1AA1" w14:paraId="4B9BEB2F"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0CD6D85B"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2936D5CE"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591" w:type="pct"/>
            <w:tcBorders>
              <w:top w:val="single" w:sz="4" w:space="0" w:color="auto"/>
              <w:left w:val="single" w:sz="4" w:space="0" w:color="auto"/>
              <w:bottom w:val="single" w:sz="4" w:space="0" w:color="auto"/>
              <w:right w:val="single" w:sz="4" w:space="0" w:color="auto"/>
            </w:tcBorders>
            <w:vAlign w:val="bottom"/>
            <w:hideMark/>
          </w:tcPr>
          <w:p w14:paraId="37B502E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363CFAD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5C6FAFF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43BDA65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5DA31FC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5606529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r>
    </w:tbl>
    <w:p w14:paraId="379A52FA"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2011 Census</w:t>
      </w:r>
    </w:p>
    <w:p w14:paraId="366DFFB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 modelling exercise has then been carried out using the same methodology as for District-wide data (but with some additional assumptions due to data availability) with the tables below showing the estimated mix of housing by tenure in each location.</w:t>
      </w:r>
    </w:p>
    <w:p w14:paraId="34F6C5A0"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Market Housing</w:t>
      </w:r>
    </w:p>
    <w:p w14:paraId="7A0857E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Focussing on the market sector, and consistent with the analysis of current profiles, the analysis typically shows a need for larger homes in Plan Area North and a mix which includes more smaller homes in other locations (particularly Chichester City). However, it is not considered sufficiently clear-cut to suggest a different mix of housing at a sub-area level within policy. If developments were provided in-line with the suggested mix in this report (District-wide), then over time there would be some degree of balancing the stock across areas, whilst still recognising the general role and function of different locations. That said, any specific developments could take account of the analysis below.</w:t>
      </w:r>
    </w:p>
    <w:p w14:paraId="2D21FFE8" w14:textId="77777777" w:rsidR="00360825" w:rsidRPr="00D556DB" w:rsidRDefault="00360825" w:rsidP="001A7584">
      <w:pPr>
        <w:pStyle w:val="Heading4"/>
        <w:ind w:firstLine="0"/>
        <w:rPr>
          <w:color w:val="808080" w:themeColor="background1" w:themeShade="80"/>
        </w:rPr>
      </w:pPr>
      <w:r w:rsidRPr="00D556DB">
        <w:lastRenderedPageBreak/>
        <w:t>Modelled size requirement by sub-area – market housing</w:t>
      </w:r>
    </w:p>
    <w:tbl>
      <w:tblPr>
        <w:tblStyle w:val="TableTheme"/>
        <w:tblW w:w="5000" w:type="pct"/>
        <w:tblInd w:w="0" w:type="dxa"/>
        <w:tblLayout w:type="fixed"/>
        <w:tblLook w:val="04A0" w:firstRow="1" w:lastRow="0" w:firstColumn="1" w:lastColumn="0" w:noHBand="0" w:noVBand="1"/>
      </w:tblPr>
      <w:tblGrid>
        <w:gridCol w:w="1755"/>
        <w:gridCol w:w="1755"/>
        <w:gridCol w:w="1756"/>
        <w:gridCol w:w="1755"/>
        <w:gridCol w:w="1756"/>
      </w:tblGrid>
      <w:tr w:rsidR="00360825" w:rsidRPr="006031C3" w14:paraId="79A1260B"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vAlign w:val="center"/>
          </w:tcPr>
          <w:p w14:paraId="0C6334D6" w14:textId="77777777" w:rsidR="00360825" w:rsidRPr="00D556DB" w:rsidRDefault="00360825" w:rsidP="00C04569">
            <w:pPr>
              <w:keepNext/>
              <w:spacing w:before="60" w:after="60" w:line="300" w:lineRule="auto"/>
              <w:jc w:val="center"/>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4EEA924"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1-bedroom</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2DBBB25"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2-bedrooms</w:t>
            </w: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2A757F4"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3-bedrooms</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8E5F97F"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4+-bedrooms</w:t>
            </w:r>
          </w:p>
        </w:tc>
      </w:tr>
      <w:tr w:rsidR="00360825" w:rsidRPr="006031C3" w14:paraId="1DD4592C"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363D7AF1"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Chichester City</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FA24EA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17%</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0AF89F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294BF4B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1F8B8B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10%</w:t>
            </w:r>
          </w:p>
        </w:tc>
      </w:tr>
      <w:tr w:rsidR="00360825" w:rsidRPr="006031C3" w14:paraId="7C93F77B"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766DA208"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EW Corridor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6EDFDD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32F574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A35020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35%</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E9BDDA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w:t>
            </w:r>
          </w:p>
        </w:tc>
      </w:tr>
      <w:tr w:rsidR="00360825" w:rsidRPr="006031C3" w14:paraId="2179A991"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538A2E61"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Manhood</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722337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61CB86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6DB9B3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1DF602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w:t>
            </w:r>
          </w:p>
        </w:tc>
      </w:tr>
      <w:tr w:rsidR="00360825" w:rsidRPr="006031C3" w14:paraId="3A7DF089"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536AE608"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 xml:space="preserve">Plan Area North </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707B04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D015DF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87DC67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C33638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20%</w:t>
            </w:r>
          </w:p>
        </w:tc>
      </w:tr>
      <w:tr w:rsidR="00360825" w:rsidRPr="006031C3" w14:paraId="139DD8F1"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0C817DFB"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SDNP</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ECAC13A"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363AD0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1F0DE8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095886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w:t>
            </w:r>
          </w:p>
        </w:tc>
      </w:tr>
      <w:tr w:rsidR="00360825" w:rsidRPr="006031C3" w14:paraId="2E9EF9C6"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29985804"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475495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28BC88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797C94A"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512003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w:t>
            </w:r>
          </w:p>
        </w:tc>
      </w:tr>
    </w:tbl>
    <w:p w14:paraId="23E0F8D3" w14:textId="77777777" w:rsidR="00360825" w:rsidRPr="006031C3" w:rsidRDefault="00360825" w:rsidP="00360825">
      <w:pPr>
        <w:spacing w:line="300" w:lineRule="auto"/>
        <w:rPr>
          <w:rFonts w:ascii="Arial" w:hAnsi="Arial" w:cs="Arial"/>
          <w:i/>
          <w:iCs/>
          <w:sz w:val="16"/>
          <w:szCs w:val="16"/>
        </w:rPr>
      </w:pPr>
      <w:r w:rsidRPr="00D556DB">
        <w:rPr>
          <w:rFonts w:ascii="Arial" w:hAnsi="Arial" w:cs="Arial"/>
          <w:i/>
          <w:iCs/>
          <w:sz w:val="16"/>
          <w:szCs w:val="16"/>
        </w:rPr>
        <w:t>Source: Housing Market Model</w:t>
      </w:r>
    </w:p>
    <w:p w14:paraId="08B66C9B"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Affordable Home Ownership</w:t>
      </w:r>
    </w:p>
    <w:p w14:paraId="5971216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 below shows estimates of mix for affordable home ownership. There are again differences between locations, although all areas show a particular focus on the need for 2-bedroom homes in this sector. Again, it is not clear-cut that the data points to the need for a mix of housing which is substantially different locally than would be suggested by the District-wide analysis.</w:t>
      </w:r>
    </w:p>
    <w:p w14:paraId="641AE42D" w14:textId="77777777" w:rsidR="00360825" w:rsidRPr="00D556DB" w:rsidRDefault="00360825" w:rsidP="001A7584">
      <w:pPr>
        <w:pStyle w:val="Heading4"/>
        <w:ind w:firstLine="0"/>
        <w:rPr>
          <w:color w:val="808080" w:themeColor="background1" w:themeShade="80"/>
        </w:rPr>
      </w:pPr>
      <w:r w:rsidRPr="00D556DB">
        <w:t>Modelled size requirement by sub-area – affordable home ownership</w:t>
      </w:r>
    </w:p>
    <w:tbl>
      <w:tblPr>
        <w:tblStyle w:val="TableTheme"/>
        <w:tblW w:w="5000" w:type="pct"/>
        <w:tblInd w:w="0" w:type="dxa"/>
        <w:tblLayout w:type="fixed"/>
        <w:tblLook w:val="04A0" w:firstRow="1" w:lastRow="0" w:firstColumn="1" w:lastColumn="0" w:noHBand="0" w:noVBand="1"/>
      </w:tblPr>
      <w:tblGrid>
        <w:gridCol w:w="1755"/>
        <w:gridCol w:w="1755"/>
        <w:gridCol w:w="1756"/>
        <w:gridCol w:w="1755"/>
        <w:gridCol w:w="1756"/>
      </w:tblGrid>
      <w:tr w:rsidR="00360825" w:rsidRPr="006031C3" w14:paraId="5AC1FA81"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vAlign w:val="center"/>
          </w:tcPr>
          <w:p w14:paraId="76B06CEF" w14:textId="77777777" w:rsidR="00360825" w:rsidRPr="00D556DB" w:rsidRDefault="00360825" w:rsidP="00C04569">
            <w:pPr>
              <w:keepNext/>
              <w:spacing w:before="60" w:after="60" w:line="300" w:lineRule="auto"/>
              <w:jc w:val="center"/>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94FFDD0"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1-bedroom</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C91178"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2-bedrooms</w:t>
            </w: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8AFFA92"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3-bedrooms</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22C5B93"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4+-bedrooms</w:t>
            </w:r>
          </w:p>
        </w:tc>
      </w:tr>
      <w:tr w:rsidR="00360825" w:rsidRPr="006031C3" w14:paraId="3246B376"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5EB41A7A"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Chichester City</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E689E9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E98489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325A4D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632B49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w:t>
            </w:r>
          </w:p>
        </w:tc>
      </w:tr>
      <w:tr w:rsidR="00360825" w:rsidRPr="006031C3" w14:paraId="4A644E82"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5D5F8EF5"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EW Corridor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5FC25B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25%</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53FE01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42%</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E84501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5020AC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8%</w:t>
            </w:r>
          </w:p>
        </w:tc>
      </w:tr>
      <w:tr w:rsidR="00360825" w:rsidRPr="006031C3" w14:paraId="062C0A58"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05249F61"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Manhood</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903110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5B0E34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E0BFB4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CB4910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w:t>
            </w:r>
          </w:p>
        </w:tc>
      </w:tr>
      <w:tr w:rsidR="00360825" w:rsidRPr="006031C3" w14:paraId="4C963250"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629574CF"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 xml:space="preserve">Plan Area North </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AAF14C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25%</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9BDA9A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37%</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C2259D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28%</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CDC5AD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w:t>
            </w:r>
          </w:p>
        </w:tc>
      </w:tr>
      <w:tr w:rsidR="00360825" w:rsidRPr="006031C3" w14:paraId="1B0DD849"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39150E17"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SDNP</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7CA58D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8BE9A0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326DBE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4CDED1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8%</w:t>
            </w:r>
          </w:p>
        </w:tc>
      </w:tr>
      <w:tr w:rsidR="00360825" w:rsidRPr="006031C3" w14:paraId="68D45AAF"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7D2F3A43"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7DB231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CDCE71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199513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1CE77B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9%</w:t>
            </w:r>
          </w:p>
        </w:tc>
      </w:tr>
    </w:tbl>
    <w:p w14:paraId="35A7E14A" w14:textId="77777777" w:rsidR="00360825" w:rsidRPr="006031C3" w:rsidRDefault="00360825" w:rsidP="00360825">
      <w:pPr>
        <w:spacing w:line="300" w:lineRule="auto"/>
        <w:rPr>
          <w:rFonts w:ascii="Arial" w:hAnsi="Arial" w:cs="Arial"/>
          <w:i/>
          <w:iCs/>
          <w:sz w:val="16"/>
          <w:szCs w:val="16"/>
        </w:rPr>
      </w:pPr>
      <w:r w:rsidRPr="00D556DB">
        <w:rPr>
          <w:rFonts w:ascii="Arial" w:hAnsi="Arial" w:cs="Arial"/>
          <w:i/>
          <w:iCs/>
          <w:sz w:val="16"/>
          <w:szCs w:val="16"/>
        </w:rPr>
        <w:t>Source: Housing Market Model</w:t>
      </w:r>
    </w:p>
    <w:p w14:paraId="047AAC14"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Social/Affordable Rented</w:t>
      </w:r>
    </w:p>
    <w:p w14:paraId="712826B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the social/affordable rented sector, the differences between areas are arguably fairly slight, and does not point to any different or specific mix as being needed in different locations. It should be noted that the analysis above for sub-areas does not take account of any information from the Housing Register. It is possible at any point in time that the register will be able to provide additional data about a suitable mix of rented housing and this should be considered at the relevant time for any specific applications.</w:t>
      </w:r>
    </w:p>
    <w:p w14:paraId="2C626E89" w14:textId="77777777" w:rsidR="00360825" w:rsidRPr="00D556DB" w:rsidRDefault="00360825" w:rsidP="001A7584">
      <w:pPr>
        <w:pStyle w:val="Heading4"/>
        <w:ind w:firstLine="0"/>
        <w:rPr>
          <w:color w:val="808080" w:themeColor="background1" w:themeShade="80"/>
        </w:rPr>
      </w:pPr>
      <w:r w:rsidRPr="00D556DB">
        <w:lastRenderedPageBreak/>
        <w:t>Modelled size requirement by sub-area – social/affordable rented</w:t>
      </w:r>
    </w:p>
    <w:tbl>
      <w:tblPr>
        <w:tblStyle w:val="TableTheme"/>
        <w:tblW w:w="5000" w:type="pct"/>
        <w:tblInd w:w="0" w:type="dxa"/>
        <w:tblLayout w:type="fixed"/>
        <w:tblLook w:val="04A0" w:firstRow="1" w:lastRow="0" w:firstColumn="1" w:lastColumn="0" w:noHBand="0" w:noVBand="1"/>
      </w:tblPr>
      <w:tblGrid>
        <w:gridCol w:w="1755"/>
        <w:gridCol w:w="1755"/>
        <w:gridCol w:w="1756"/>
        <w:gridCol w:w="1755"/>
        <w:gridCol w:w="1756"/>
      </w:tblGrid>
      <w:tr w:rsidR="00360825" w:rsidRPr="006031C3" w14:paraId="2CC80B05"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vAlign w:val="center"/>
          </w:tcPr>
          <w:p w14:paraId="573743D4" w14:textId="77777777" w:rsidR="00360825" w:rsidRPr="00D556DB" w:rsidRDefault="00360825" w:rsidP="00C04569">
            <w:pPr>
              <w:keepNext/>
              <w:spacing w:before="60" w:after="60" w:line="300" w:lineRule="auto"/>
              <w:jc w:val="center"/>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E31EF7B"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1-bedroom</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BD4F39"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2-bedrooms</w:t>
            </w: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5951C31"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3-bedrooms</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675F84"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4+-bedrooms</w:t>
            </w:r>
          </w:p>
        </w:tc>
      </w:tr>
      <w:tr w:rsidR="00360825" w:rsidRPr="006031C3" w14:paraId="26DB3ACF"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115B7DE9"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Chichester City</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DFA04D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B99C5C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39%</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5469E7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13B313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r w:rsidR="00360825" w:rsidRPr="006031C3" w14:paraId="7365E24A"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436BE367"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EW Corridor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CFFB5D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8EFE7A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695BBE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95600B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r w:rsidR="00360825" w:rsidRPr="006031C3" w14:paraId="7484235A"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26A7161D"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Manhood</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308194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8BF4C6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DE2021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2766EC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r w:rsidR="00360825" w:rsidRPr="006031C3" w14:paraId="344826F7"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0C4D1ED9"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Plan Area North</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5A514B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9189EE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095B9E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B09713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r w:rsidR="00360825" w:rsidRPr="006031C3" w14:paraId="0FC3785D"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4F0B9431"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SDNP</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A40FA1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9C5FE9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BC5E63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21CA3C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r w:rsidR="00360825" w:rsidRPr="006031C3" w14:paraId="58A83A77"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58ED3950"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FBC8E6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FAECA5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37%</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F9496A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263C5C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bl>
    <w:p w14:paraId="48D7BDC6" w14:textId="77777777" w:rsidR="00360825" w:rsidRPr="006031C3" w:rsidRDefault="00360825" w:rsidP="00360825">
      <w:pPr>
        <w:spacing w:line="300" w:lineRule="auto"/>
        <w:rPr>
          <w:rFonts w:ascii="Arial" w:hAnsi="Arial" w:cs="Arial"/>
          <w:i/>
          <w:iCs/>
          <w:sz w:val="16"/>
          <w:szCs w:val="16"/>
        </w:rPr>
      </w:pPr>
      <w:r w:rsidRPr="00D556DB">
        <w:rPr>
          <w:rFonts w:ascii="Arial" w:hAnsi="Arial" w:cs="Arial"/>
          <w:i/>
          <w:iCs/>
          <w:sz w:val="16"/>
          <w:szCs w:val="16"/>
        </w:rPr>
        <w:t>Source: Housing Market Model</w:t>
      </w:r>
    </w:p>
    <w:p w14:paraId="179826E7"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Sub-area conclusions</w:t>
      </w:r>
    </w:p>
    <w:p w14:paraId="43193AD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Overall, the analysis does not suggest that a substantially different mix should be proposed for smaller areas although Plan Area North and Chichester City do show some slightly different outputs compared with other locations (particularly when it comes to looking at market housing). There may however be a case on a site-by-site basis, or at a specific point in time for some minor adjustments to the overall conclusions. This is summarised below:</w:t>
      </w:r>
    </w:p>
    <w:p w14:paraId="39F24808" w14:textId="77777777" w:rsidR="00360825" w:rsidRPr="00DE1AA1" w:rsidRDefault="00360825" w:rsidP="001A7584">
      <w:pPr>
        <w:pStyle w:val="ListParagraph"/>
        <w:numPr>
          <w:ilvl w:val="0"/>
          <w:numId w:val="41"/>
        </w:numPr>
        <w:ind w:left="714" w:hanging="357"/>
        <w:jc w:val="left"/>
        <w:rPr>
          <w:rFonts w:ascii="Arial" w:hAnsi="Arial"/>
        </w:rPr>
      </w:pPr>
      <w:r w:rsidRPr="00DE1AA1">
        <w:rPr>
          <w:rFonts w:ascii="Arial" w:hAnsi="Arial"/>
        </w:rPr>
        <w:t>Whilst there are differences in the stock profile in different locations this should not necessarily be seen as indicating particular surpluses or shortfalls of particular types and sizes of homes;</w:t>
      </w:r>
    </w:p>
    <w:p w14:paraId="1EC22829" w14:textId="77777777" w:rsidR="00360825" w:rsidRPr="00DE1AA1" w:rsidRDefault="00360825" w:rsidP="001A7584">
      <w:pPr>
        <w:pStyle w:val="ListParagraph"/>
        <w:numPr>
          <w:ilvl w:val="0"/>
          <w:numId w:val="41"/>
        </w:numPr>
        <w:ind w:left="714" w:hanging="357"/>
        <w:jc w:val="left"/>
        <w:rPr>
          <w:rFonts w:ascii="Arial" w:hAnsi="Arial"/>
        </w:rPr>
      </w:pPr>
      <w:r w:rsidRPr="00DE1AA1">
        <w:rPr>
          <w:rFonts w:ascii="Arial" w:hAnsi="Arial"/>
        </w:rPr>
        <w:t>As well as looking at the stock, an understanding of the role and function of areas is important. For example, higher priced areas are typically sought by wealthier families and therefore such areas would be expected to provide a greater proportion of larger homes;</w:t>
      </w:r>
    </w:p>
    <w:p w14:paraId="198B6ACA" w14:textId="77777777" w:rsidR="00360825" w:rsidRPr="00DE1AA1" w:rsidRDefault="00360825" w:rsidP="001A7584">
      <w:pPr>
        <w:pStyle w:val="ListParagraph"/>
        <w:numPr>
          <w:ilvl w:val="0"/>
          <w:numId w:val="41"/>
        </w:numPr>
        <w:ind w:left="714" w:hanging="357"/>
        <w:jc w:val="left"/>
        <w:rPr>
          <w:rFonts w:ascii="Arial" w:hAnsi="Arial"/>
        </w:rPr>
      </w:pPr>
      <w:r w:rsidRPr="00DE1AA1">
        <w:rPr>
          <w:rFonts w:ascii="Arial" w:hAnsi="Arial"/>
        </w:rPr>
        <w:t>That said, some of these areas will have very few small/cheaper stock and so consideration needs to be given to diversifying the stock;</w:t>
      </w:r>
    </w:p>
    <w:p w14:paraId="148C7C36" w14:textId="77777777" w:rsidR="00360825" w:rsidRPr="00DE1AA1" w:rsidRDefault="00360825" w:rsidP="001A7584">
      <w:pPr>
        <w:pStyle w:val="ListParagraph"/>
        <w:numPr>
          <w:ilvl w:val="0"/>
          <w:numId w:val="41"/>
        </w:numPr>
        <w:ind w:left="714" w:hanging="357"/>
        <w:jc w:val="left"/>
        <w:rPr>
          <w:rFonts w:ascii="Arial" w:hAnsi="Arial"/>
        </w:rPr>
      </w:pPr>
      <w:r w:rsidRPr="00DE1AA1">
        <w:rPr>
          <w:rFonts w:ascii="Arial" w:hAnsi="Arial"/>
        </w:rPr>
        <w:t>The location/quality of sites will also have an impact on the mix of housing. For example, brownfield sites in urban locations may be more suited to flatted development (as well as recognising the point above about role and function) whereas a more suburban/rural site may be more appropriate for family housing. Other considerations (such as proximity to public transport) may impact on a reasonable mix at a local level;</w:t>
      </w:r>
    </w:p>
    <w:p w14:paraId="6C85D943"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Overall, it is suggested that Council should broadly seek the same mix of housing in all locations but would be flexible to a different mix where specific local characteristics suggest. The Council should also monitor what is being built to ensure that a reasonable mix is provided. Additionally, in the affordable sector it may be the case that Housing Register data for a smaller area identifies a shortage of housing of a particular size/type which could lead to the mix of housing being altered from the overall suggested requirement.</w:t>
      </w:r>
    </w:p>
    <w:p w14:paraId="65ECE1A3" w14:textId="77777777" w:rsidR="00360825" w:rsidRPr="00D556DB" w:rsidRDefault="00360825" w:rsidP="00360825">
      <w:pPr>
        <w:pStyle w:val="Heading2"/>
        <w:rPr>
          <w:rFonts w:ascii="Arial" w:eastAsiaTheme="majorEastAsia" w:hAnsi="Arial" w:cs="Arial"/>
        </w:rPr>
      </w:pPr>
      <w:r w:rsidRPr="00D556DB">
        <w:rPr>
          <w:rFonts w:ascii="Arial" w:hAnsi="Arial" w:cs="Arial"/>
          <w:bCs/>
        </w:rPr>
        <w:lastRenderedPageBreak/>
        <w:t>Built-form</w:t>
      </w:r>
    </w:p>
    <w:p w14:paraId="4B99259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 final issue is a discussion of the need/demand for different built-forms of homes. In particular this discussion focusses on bungalows and the need for flats vs. houses.</w:t>
      </w:r>
    </w:p>
    <w:p w14:paraId="4D4524D2"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Bungalows</w:t>
      </w:r>
    </w:p>
    <w:p w14:paraId="70A260E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sources used for analysis in this report make it difficult to quantify a need/demand for bungalows in the District as Census data (which is used to look at occupancy profiles) does not separately identify this type of accommodation. Data from the Valuation Office Agency (VOA) does however provide estimates of the number of bungalows (by bedrooms) although no tenure split is available.</w:t>
      </w:r>
    </w:p>
    <w:p w14:paraId="206B9AB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 below shows a notable proportion of homes in Chichester District are bungalows (17% of all flats and houses) with about half (47%) of these having 2-bedrooms (and a further 35% 3-bedrooms); a lower proportion (9%) of homes across England are bungalows.</w:t>
      </w:r>
    </w:p>
    <w:p w14:paraId="5B1B2570" w14:textId="77777777" w:rsidR="00360825" w:rsidRPr="00DE1AA1" w:rsidRDefault="00360825" w:rsidP="001A7584">
      <w:pPr>
        <w:pStyle w:val="Heading4"/>
        <w:ind w:firstLine="0"/>
      </w:pPr>
      <w:r w:rsidRPr="00DE1AA1">
        <w:t>Number of dwellings by property type and number of bedrooms (March 2020) – Chichester District</w:t>
      </w:r>
    </w:p>
    <w:tbl>
      <w:tblPr>
        <w:tblStyle w:val="TableGrid1"/>
        <w:tblW w:w="5000" w:type="pct"/>
        <w:tblInd w:w="0" w:type="dxa"/>
        <w:tblLayout w:type="fixed"/>
        <w:tblLook w:val="04A0" w:firstRow="1" w:lastRow="0" w:firstColumn="1" w:lastColumn="0" w:noHBand="0" w:noVBand="1"/>
      </w:tblPr>
      <w:tblGrid>
        <w:gridCol w:w="2422"/>
        <w:gridCol w:w="1062"/>
        <w:gridCol w:w="1062"/>
        <w:gridCol w:w="1063"/>
        <w:gridCol w:w="1062"/>
        <w:gridCol w:w="1063"/>
        <w:gridCol w:w="1043"/>
      </w:tblGrid>
      <w:tr w:rsidR="00360825" w:rsidRPr="00DE1AA1" w14:paraId="522246A8" w14:textId="77777777" w:rsidTr="00C04569">
        <w:trPr>
          <w:trHeight w:val="288"/>
        </w:trPr>
        <w:tc>
          <w:tcPr>
            <w:tcW w:w="2422" w:type="dxa"/>
            <w:vMerge w:val="restart"/>
            <w:tcBorders>
              <w:top w:val="single" w:sz="4" w:space="0" w:color="auto"/>
              <w:left w:val="single" w:sz="4" w:space="0" w:color="auto"/>
              <w:bottom w:val="single" w:sz="4" w:space="0" w:color="auto"/>
              <w:right w:val="single" w:sz="4" w:space="0" w:color="auto"/>
            </w:tcBorders>
            <w:shd w:val="clear" w:color="auto" w:fill="002060"/>
            <w:noWrap/>
          </w:tcPr>
          <w:p w14:paraId="3B78140D" w14:textId="77777777" w:rsidR="00360825" w:rsidRPr="00DE1AA1" w:rsidRDefault="00360825" w:rsidP="00C04569">
            <w:pPr>
              <w:keepNext/>
              <w:spacing w:after="0" w:line="300" w:lineRule="auto"/>
              <w:jc w:val="left"/>
              <w:rPr>
                <w:rFonts w:ascii="Arial" w:hAnsi="Arial" w:cs="Arial"/>
                <w:color w:val="FFFFFF" w:themeColor="background1"/>
                <w:sz w:val="20"/>
                <w:szCs w:val="20"/>
              </w:rPr>
            </w:pPr>
          </w:p>
        </w:tc>
        <w:tc>
          <w:tcPr>
            <w:tcW w:w="5312" w:type="dxa"/>
            <w:gridSpan w:val="5"/>
            <w:tcBorders>
              <w:top w:val="single" w:sz="4" w:space="0" w:color="auto"/>
              <w:left w:val="single" w:sz="4" w:space="0" w:color="auto"/>
              <w:bottom w:val="single" w:sz="4" w:space="0" w:color="auto"/>
              <w:right w:val="single" w:sz="4" w:space="0" w:color="auto"/>
            </w:tcBorders>
            <w:shd w:val="clear" w:color="auto" w:fill="002060"/>
            <w:noWrap/>
            <w:hideMark/>
          </w:tcPr>
          <w:p w14:paraId="08A612D0"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Number of bedrooms</w:t>
            </w:r>
          </w:p>
        </w:tc>
        <w:tc>
          <w:tcPr>
            <w:tcW w:w="1043" w:type="dxa"/>
            <w:vMerge w:val="restart"/>
            <w:tcBorders>
              <w:top w:val="single" w:sz="4" w:space="0" w:color="auto"/>
              <w:left w:val="single" w:sz="4" w:space="0" w:color="auto"/>
              <w:bottom w:val="single" w:sz="4" w:space="0" w:color="auto"/>
              <w:right w:val="single" w:sz="4" w:space="0" w:color="auto"/>
            </w:tcBorders>
            <w:shd w:val="clear" w:color="auto" w:fill="002060"/>
            <w:noWrap/>
            <w:hideMark/>
          </w:tcPr>
          <w:p w14:paraId="662C721A"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All</w:t>
            </w:r>
          </w:p>
        </w:tc>
      </w:tr>
      <w:tr w:rsidR="00360825" w:rsidRPr="00DE1AA1" w14:paraId="680013F4" w14:textId="77777777" w:rsidTr="00C04569">
        <w:trPr>
          <w:trHeight w:val="288"/>
        </w:trPr>
        <w:tc>
          <w:tcPr>
            <w:tcW w:w="2422" w:type="dxa"/>
            <w:vMerge/>
            <w:tcBorders>
              <w:top w:val="single" w:sz="4" w:space="0" w:color="auto"/>
              <w:left w:val="single" w:sz="4" w:space="0" w:color="auto"/>
              <w:bottom w:val="single" w:sz="4" w:space="0" w:color="auto"/>
              <w:right w:val="single" w:sz="4" w:space="0" w:color="auto"/>
            </w:tcBorders>
            <w:vAlign w:val="center"/>
            <w:hideMark/>
          </w:tcPr>
          <w:p w14:paraId="07FD7480" w14:textId="77777777" w:rsidR="00360825" w:rsidRPr="00DE1AA1" w:rsidRDefault="00360825" w:rsidP="00C04569">
            <w:pPr>
              <w:spacing w:after="0" w:line="240" w:lineRule="auto"/>
              <w:jc w:val="left"/>
              <w:rPr>
                <w:rFonts w:ascii="Arial" w:hAnsi="Arial" w:cs="Arial"/>
                <w:color w:val="FFFFFF" w:themeColor="background1"/>
                <w:sz w:val="20"/>
                <w:szCs w:val="20"/>
              </w:rPr>
            </w:pPr>
          </w:p>
        </w:tc>
        <w:tc>
          <w:tcPr>
            <w:tcW w:w="1062" w:type="dxa"/>
            <w:tcBorders>
              <w:top w:val="single" w:sz="4" w:space="0" w:color="auto"/>
              <w:left w:val="single" w:sz="4" w:space="0" w:color="auto"/>
              <w:bottom w:val="single" w:sz="4" w:space="0" w:color="auto"/>
              <w:right w:val="single" w:sz="4" w:space="0" w:color="auto"/>
            </w:tcBorders>
            <w:shd w:val="clear" w:color="auto" w:fill="002060"/>
            <w:noWrap/>
            <w:hideMark/>
          </w:tcPr>
          <w:p w14:paraId="216B0155"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1</w:t>
            </w:r>
          </w:p>
        </w:tc>
        <w:tc>
          <w:tcPr>
            <w:tcW w:w="1062" w:type="dxa"/>
            <w:tcBorders>
              <w:top w:val="single" w:sz="4" w:space="0" w:color="auto"/>
              <w:left w:val="single" w:sz="4" w:space="0" w:color="auto"/>
              <w:bottom w:val="single" w:sz="4" w:space="0" w:color="auto"/>
              <w:right w:val="single" w:sz="4" w:space="0" w:color="auto"/>
            </w:tcBorders>
            <w:shd w:val="clear" w:color="auto" w:fill="002060"/>
            <w:hideMark/>
          </w:tcPr>
          <w:p w14:paraId="211EE183"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2</w:t>
            </w:r>
          </w:p>
        </w:tc>
        <w:tc>
          <w:tcPr>
            <w:tcW w:w="1063" w:type="dxa"/>
            <w:tcBorders>
              <w:top w:val="single" w:sz="4" w:space="0" w:color="auto"/>
              <w:left w:val="single" w:sz="4" w:space="0" w:color="auto"/>
              <w:bottom w:val="single" w:sz="4" w:space="0" w:color="auto"/>
              <w:right w:val="single" w:sz="4" w:space="0" w:color="auto"/>
            </w:tcBorders>
            <w:shd w:val="clear" w:color="auto" w:fill="002060"/>
            <w:noWrap/>
            <w:hideMark/>
          </w:tcPr>
          <w:p w14:paraId="38BE2AF1"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3</w:t>
            </w:r>
          </w:p>
        </w:tc>
        <w:tc>
          <w:tcPr>
            <w:tcW w:w="1062" w:type="dxa"/>
            <w:tcBorders>
              <w:top w:val="single" w:sz="4" w:space="0" w:color="auto"/>
              <w:left w:val="single" w:sz="4" w:space="0" w:color="auto"/>
              <w:bottom w:val="single" w:sz="4" w:space="0" w:color="auto"/>
              <w:right w:val="single" w:sz="4" w:space="0" w:color="auto"/>
            </w:tcBorders>
            <w:shd w:val="clear" w:color="auto" w:fill="002060"/>
            <w:noWrap/>
            <w:hideMark/>
          </w:tcPr>
          <w:p w14:paraId="72823CE9"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4+</w:t>
            </w:r>
          </w:p>
        </w:tc>
        <w:tc>
          <w:tcPr>
            <w:tcW w:w="1063" w:type="dxa"/>
            <w:tcBorders>
              <w:top w:val="single" w:sz="4" w:space="0" w:color="auto"/>
              <w:left w:val="single" w:sz="4" w:space="0" w:color="auto"/>
              <w:bottom w:val="single" w:sz="4" w:space="0" w:color="auto"/>
              <w:right w:val="single" w:sz="4" w:space="0" w:color="auto"/>
            </w:tcBorders>
            <w:shd w:val="clear" w:color="auto" w:fill="002060"/>
            <w:noWrap/>
            <w:hideMark/>
          </w:tcPr>
          <w:p w14:paraId="09679CED"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Not Known</w:t>
            </w:r>
          </w:p>
        </w:tc>
        <w:tc>
          <w:tcPr>
            <w:tcW w:w="1043" w:type="dxa"/>
            <w:vMerge/>
            <w:tcBorders>
              <w:top w:val="single" w:sz="4" w:space="0" w:color="auto"/>
              <w:left w:val="single" w:sz="4" w:space="0" w:color="auto"/>
              <w:bottom w:val="single" w:sz="4" w:space="0" w:color="auto"/>
              <w:right w:val="single" w:sz="4" w:space="0" w:color="auto"/>
            </w:tcBorders>
            <w:vAlign w:val="center"/>
            <w:hideMark/>
          </w:tcPr>
          <w:p w14:paraId="66FBE153" w14:textId="77777777" w:rsidR="00360825" w:rsidRPr="00DE1AA1" w:rsidRDefault="00360825" w:rsidP="00C04569">
            <w:pPr>
              <w:spacing w:after="0" w:line="240" w:lineRule="auto"/>
              <w:jc w:val="left"/>
              <w:rPr>
                <w:rFonts w:ascii="Arial" w:hAnsi="Arial" w:cs="Arial"/>
                <w:color w:val="FFFFFF" w:themeColor="background1"/>
                <w:sz w:val="20"/>
                <w:szCs w:val="20"/>
              </w:rPr>
            </w:pPr>
          </w:p>
        </w:tc>
      </w:tr>
      <w:tr w:rsidR="00360825" w:rsidRPr="00DE1AA1" w14:paraId="030AC532"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660A5992"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Bungalow</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361B1F6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760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499001A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4,390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349BC0E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3,280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56442CF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960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107DF1C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4AB0FDF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9,420</w:t>
            </w:r>
          </w:p>
        </w:tc>
      </w:tr>
      <w:tr w:rsidR="00360825" w:rsidRPr="00DE1AA1" w14:paraId="6AE2A6FB"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4F3BBCF2"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Flat/Maisonette</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41CC691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4,200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59E81AF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4,710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385ED1B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490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289F3EF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003FE83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2EBB84C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9,520</w:t>
            </w:r>
          </w:p>
        </w:tc>
      </w:tr>
      <w:tr w:rsidR="00360825" w:rsidRPr="00DE1AA1" w14:paraId="69C74E22"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142CD2BD"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Terraced house</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69D515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210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2C461E5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4,180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1905ED9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6,250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379278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980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29EE462D"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350707E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11,620</w:t>
            </w:r>
          </w:p>
        </w:tc>
      </w:tr>
      <w:tr w:rsidR="00360825" w:rsidRPr="00DE1AA1" w14:paraId="4CBCC882"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1E0D5C0D"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Semi-detached house</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01910F3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3501056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2,230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0337F24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7,790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456F1FD"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1,360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668E44B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7AEF632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11,470</w:t>
            </w:r>
          </w:p>
        </w:tc>
      </w:tr>
      <w:tr w:rsidR="00360825" w:rsidRPr="00DE1AA1" w14:paraId="4313D3EC"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0164F32E"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Detached house</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8D1D7E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455532A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970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708525AA"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4,900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3F02EFF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8,110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6EBD488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150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6E941C6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14,180</w:t>
            </w:r>
          </w:p>
        </w:tc>
      </w:tr>
      <w:tr w:rsidR="00360825" w:rsidRPr="00DE1AA1" w14:paraId="0D274796"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6AB5D97A"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All flats/houses</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5D6507D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5,280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07EBB4B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16,480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78811EA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22,710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0C82F49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11,520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16EF318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230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714C09F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56,210</w:t>
            </w:r>
          </w:p>
        </w:tc>
      </w:tr>
      <w:tr w:rsidR="00360825" w:rsidRPr="00DE1AA1" w14:paraId="4088A6AA"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36F20CE6"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Annexe</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7EE5B15D"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vAlign w:val="bottom"/>
            <w:hideMark/>
          </w:tcPr>
          <w:p w14:paraId="4CD22682"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351C2E75"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52F0131"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474D819A"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0371D1C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340</w:t>
            </w:r>
          </w:p>
        </w:tc>
      </w:tr>
      <w:tr w:rsidR="00360825" w:rsidRPr="00DE1AA1" w14:paraId="0251F90A"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556EA185"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Other</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0375C63"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vAlign w:val="bottom"/>
            <w:hideMark/>
          </w:tcPr>
          <w:p w14:paraId="36DFF91D"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49649B63"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33A9F43D"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1A0BA8BF"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4C55600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750</w:t>
            </w:r>
          </w:p>
        </w:tc>
      </w:tr>
      <w:tr w:rsidR="00360825" w:rsidRPr="00DE1AA1" w14:paraId="60DE43BD"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1DCB97DA"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Unknown</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268D47E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w:t>
            </w:r>
          </w:p>
        </w:tc>
        <w:tc>
          <w:tcPr>
            <w:tcW w:w="1062" w:type="dxa"/>
            <w:tcBorders>
              <w:top w:val="single" w:sz="4" w:space="0" w:color="auto"/>
              <w:left w:val="single" w:sz="4" w:space="0" w:color="auto"/>
              <w:bottom w:val="single" w:sz="4" w:space="0" w:color="auto"/>
              <w:right w:val="single" w:sz="4" w:space="0" w:color="auto"/>
            </w:tcBorders>
            <w:vAlign w:val="bottom"/>
            <w:hideMark/>
          </w:tcPr>
          <w:p w14:paraId="150C8B97"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1D53E072"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35D63EEB"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77389E7A"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522497B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940</w:t>
            </w:r>
          </w:p>
        </w:tc>
      </w:tr>
      <w:tr w:rsidR="00360825" w:rsidRPr="00DE1AA1" w14:paraId="4F433161"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49D9A332"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All properties</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3D56807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w:t>
            </w:r>
          </w:p>
        </w:tc>
        <w:tc>
          <w:tcPr>
            <w:tcW w:w="1062" w:type="dxa"/>
            <w:tcBorders>
              <w:top w:val="single" w:sz="4" w:space="0" w:color="auto"/>
              <w:left w:val="single" w:sz="4" w:space="0" w:color="auto"/>
              <w:bottom w:val="single" w:sz="4" w:space="0" w:color="auto"/>
              <w:right w:val="single" w:sz="4" w:space="0" w:color="auto"/>
            </w:tcBorders>
            <w:vAlign w:val="bottom"/>
            <w:hideMark/>
          </w:tcPr>
          <w:p w14:paraId="3A8B4420"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0BC152E0"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2950749"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7A453FED"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4DB2611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58,230</w:t>
            </w:r>
          </w:p>
        </w:tc>
      </w:tr>
    </w:tbl>
    <w:p w14:paraId="5FCA2C67" w14:textId="77777777" w:rsidR="00360825" w:rsidRPr="00DE1AA1" w:rsidRDefault="00360825" w:rsidP="00360825">
      <w:pPr>
        <w:pStyle w:val="11Bodytext"/>
        <w:tabs>
          <w:tab w:val="clear" w:pos="794"/>
          <w:tab w:val="left" w:pos="720"/>
        </w:tabs>
        <w:spacing w:before="0" w:after="360" w:line="300" w:lineRule="auto"/>
        <w:rPr>
          <w:i/>
          <w:iCs/>
          <w:sz w:val="16"/>
          <w:szCs w:val="16"/>
        </w:rPr>
      </w:pPr>
      <w:r w:rsidRPr="00DE1AA1">
        <w:rPr>
          <w:i/>
          <w:iCs/>
          <w:sz w:val="16"/>
          <w:szCs w:val="16"/>
        </w:rPr>
        <w:t>Source: Valuation Office Agency</w:t>
      </w:r>
    </w:p>
    <w:p w14:paraId="6A16674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general, discussions with local estate agents (discussions nationally) find that there is a demand for bungalows and in addition, analysis of survey data (in other locations) points to a high demand for bungalows (from people aged 65 and over in particular).</w:t>
      </w:r>
    </w:p>
    <w:p w14:paraId="7884CBE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Bungalows are often the first choice for older people seeking suitable accommodation in later life and there is generally a high demand for such accommodation when it becomes available (this is different from specialist accommodation for older people which would have some degree of care or support).</w:t>
      </w:r>
    </w:p>
    <w:p w14:paraId="1990720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As a new build option, bungalows are often not supported by either house builders or planners (due to potential plot sizes and their generally low densities). There may, however, be instances where bungalows are the most suitable house type for a particular site; for example, to overcome objections about dwellings overlooking existing dwellings or preserving sight lines.</w:t>
      </w:r>
    </w:p>
    <w:p w14:paraId="55746205" w14:textId="482F8561"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There is also the possibility of a wider need/demand for retirement accommodation. Retirement apartments can prove </w:t>
      </w:r>
      <w:r w:rsidR="002B1913" w:rsidRPr="00D556DB">
        <w:rPr>
          <w:rFonts w:ascii="Arial" w:hAnsi="Arial" w:cs="Arial"/>
        </w:rPr>
        <w:t>immensely popular</w:t>
      </w:r>
      <w:r w:rsidRPr="00D556DB">
        <w:rPr>
          <w:rFonts w:ascii="Arial" w:hAnsi="Arial" w:cs="Arial"/>
        </w:rPr>
        <w:t xml:space="preserve"> if they are well located in terms of access to facilities and services, and environmentally attractive (e.g. have a good view). However, some potential purchasers may find high service charges unacceptable or unaffordable and new build units may not retain their value on re-sale.</w:t>
      </w:r>
    </w:p>
    <w:p w14:paraId="6CE138F9"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Overall, the Council should consider the potential role of bungalows as part of the future mix of housing. Such housing may be particularly attractive to older owner-occupiers (many of whom are equity-rich) which may assist in encouraging households to downsize. However, the downside to providing bungalows is that they are relatively land intensive.</w:t>
      </w:r>
    </w:p>
    <w:p w14:paraId="17539C8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Bungalows are likely to see a particular need and demand in the market sector and also for rented affordable housing (for older people as discussed in the next section of the report). Bungalows are likely to particularly focus on 2-bedroom homes, including in the affordable sector where such housing may encourage households to move from larger ‘family-sized’ accommodation (with 3+-bedrooms).</w:t>
      </w:r>
    </w:p>
    <w:p w14:paraId="7DA88217"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Flats vs. Houses</w:t>
      </w:r>
    </w:p>
    <w:p w14:paraId="44939C2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Although there are some 1-bedroom houses and 3-bedroom flats, it is considered that the key discussion on built-form will be for 2-bedroom accommodation, where it might be expected that there would be a combination of both flats and houses. At a national level, 81% of all 1-bedroom homes are flats, 35% of 2-bedroom homes and just 4% of homes with 3-bedrooms.</w:t>
      </w:r>
    </w:p>
    <w:p w14:paraId="6DDA37F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 below shows (for 2-bedroom accommodation) the proportion of homes by tenure that are classified as a flat, maisonette or apartment in both Chichester and England. This shows a relatively low proportion of flats in Chichester (just 27% of all 2-bedroom homes) and this would point to the majority of 2-bedroom homes in the future also being houses. The analysis does however show a higher proportion of flats in the social and private rented sectors (over a third of 2-bedroom homes in both of these sectors are flats).</w:t>
      </w:r>
    </w:p>
    <w:p w14:paraId="67A10618" w14:textId="77777777" w:rsidR="00360825" w:rsidRPr="00DE1AA1" w:rsidRDefault="00360825" w:rsidP="001A7584">
      <w:pPr>
        <w:pStyle w:val="Heading4"/>
        <w:ind w:firstLine="0"/>
      </w:pPr>
      <w:r w:rsidRPr="00D556DB">
        <w:lastRenderedPageBreak/>
        <w:t>Proportion of 2-bedroom homes that are a flat, maisonette or apartment (by tenure)</w:t>
      </w:r>
    </w:p>
    <w:tbl>
      <w:tblPr>
        <w:tblStyle w:val="TableTheme"/>
        <w:tblW w:w="5000" w:type="pct"/>
        <w:tblInd w:w="0" w:type="dxa"/>
        <w:tblLook w:val="04A0" w:firstRow="1" w:lastRow="0" w:firstColumn="1" w:lastColumn="0" w:noHBand="0" w:noVBand="1"/>
      </w:tblPr>
      <w:tblGrid>
        <w:gridCol w:w="2925"/>
        <w:gridCol w:w="2926"/>
        <w:gridCol w:w="2926"/>
      </w:tblGrid>
      <w:tr w:rsidR="00360825" w:rsidRPr="00DE1AA1" w14:paraId="309650CB" w14:textId="77777777" w:rsidTr="00C04569">
        <w:tc>
          <w:tcPr>
            <w:tcW w:w="1666" w:type="pct"/>
            <w:tcBorders>
              <w:top w:val="single" w:sz="4" w:space="0" w:color="auto"/>
              <w:left w:val="single" w:sz="4" w:space="0" w:color="auto"/>
              <w:bottom w:val="single" w:sz="4" w:space="0" w:color="auto"/>
              <w:right w:val="single" w:sz="4" w:space="0" w:color="auto"/>
            </w:tcBorders>
            <w:shd w:val="clear" w:color="auto" w:fill="002060"/>
          </w:tcPr>
          <w:p w14:paraId="2773B624" w14:textId="77777777" w:rsidR="00360825" w:rsidRPr="00DE1AA1" w:rsidRDefault="00360825" w:rsidP="00C04569">
            <w:pPr>
              <w:pStyle w:val="11Body"/>
              <w:keepNext/>
              <w:tabs>
                <w:tab w:val="clear" w:pos="1305"/>
                <w:tab w:val="left" w:pos="720"/>
              </w:tabs>
              <w:spacing w:before="60" w:after="60" w:line="300" w:lineRule="auto"/>
              <w:ind w:left="0" w:firstLine="0"/>
              <w:jc w:val="center"/>
              <w:rPr>
                <w:rFonts w:cs="Arial"/>
                <w:color w:val="FFFFFF" w:themeColor="background1"/>
                <w:lang w:val="en-GB"/>
              </w:rPr>
            </w:pPr>
          </w:p>
        </w:tc>
        <w:tc>
          <w:tcPr>
            <w:tcW w:w="1667" w:type="pct"/>
            <w:tcBorders>
              <w:top w:val="single" w:sz="4" w:space="0" w:color="auto"/>
              <w:left w:val="single" w:sz="4" w:space="0" w:color="auto"/>
              <w:bottom w:val="single" w:sz="4" w:space="0" w:color="auto"/>
              <w:right w:val="single" w:sz="4" w:space="0" w:color="auto"/>
            </w:tcBorders>
            <w:shd w:val="clear" w:color="auto" w:fill="002060"/>
            <w:hideMark/>
          </w:tcPr>
          <w:p w14:paraId="1D1F3A61" w14:textId="77777777" w:rsidR="00360825" w:rsidRPr="00DE1AA1" w:rsidRDefault="00360825" w:rsidP="00C04569">
            <w:pPr>
              <w:pStyle w:val="11Body"/>
              <w:keepNext/>
              <w:tabs>
                <w:tab w:val="clear" w:pos="1305"/>
                <w:tab w:val="left" w:pos="720"/>
              </w:tabs>
              <w:spacing w:before="60" w:after="60" w:line="300" w:lineRule="auto"/>
              <w:ind w:left="0" w:firstLine="0"/>
              <w:jc w:val="center"/>
              <w:rPr>
                <w:rFonts w:cs="Arial"/>
                <w:color w:val="FFFFFF" w:themeColor="background1"/>
                <w:lang w:val="en-GB"/>
              </w:rPr>
            </w:pPr>
            <w:r w:rsidRPr="00DE1AA1">
              <w:rPr>
                <w:rFonts w:eastAsia="Times New Roman" w:cs="Arial"/>
                <w:color w:val="FFFFFF" w:themeColor="background1"/>
                <w:lang w:val="en-GB" w:eastAsia="en-GB"/>
              </w:rPr>
              <w:t>Chichester District</w:t>
            </w:r>
          </w:p>
        </w:tc>
        <w:tc>
          <w:tcPr>
            <w:tcW w:w="1667" w:type="pct"/>
            <w:tcBorders>
              <w:top w:val="single" w:sz="4" w:space="0" w:color="auto"/>
              <w:left w:val="single" w:sz="4" w:space="0" w:color="auto"/>
              <w:bottom w:val="single" w:sz="4" w:space="0" w:color="auto"/>
              <w:right w:val="single" w:sz="4" w:space="0" w:color="auto"/>
            </w:tcBorders>
            <w:shd w:val="clear" w:color="auto" w:fill="002060"/>
            <w:hideMark/>
          </w:tcPr>
          <w:p w14:paraId="520F50A9" w14:textId="77777777" w:rsidR="00360825" w:rsidRPr="00DE1AA1" w:rsidRDefault="00360825" w:rsidP="00C04569">
            <w:pPr>
              <w:pStyle w:val="11Body"/>
              <w:keepNext/>
              <w:tabs>
                <w:tab w:val="clear" w:pos="1305"/>
                <w:tab w:val="left" w:pos="720"/>
              </w:tabs>
              <w:spacing w:before="60" w:after="60" w:line="300" w:lineRule="auto"/>
              <w:ind w:left="0" w:firstLine="0"/>
              <w:jc w:val="center"/>
              <w:rPr>
                <w:rFonts w:cs="Arial"/>
                <w:color w:val="FFFFFF" w:themeColor="background1"/>
                <w:lang w:val="en-GB"/>
              </w:rPr>
            </w:pPr>
            <w:r w:rsidRPr="00DE1AA1">
              <w:rPr>
                <w:rFonts w:eastAsia="Times New Roman" w:cs="Arial"/>
                <w:color w:val="FFFFFF" w:themeColor="background1"/>
                <w:lang w:val="en-GB" w:eastAsia="en-GB"/>
              </w:rPr>
              <w:t>England</w:t>
            </w:r>
          </w:p>
        </w:tc>
      </w:tr>
      <w:tr w:rsidR="00360825" w:rsidRPr="00DE1AA1" w14:paraId="651B03FD"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11A636B8" w14:textId="77777777" w:rsidR="00360825" w:rsidRPr="00DE1AA1" w:rsidRDefault="00360825" w:rsidP="00C04569">
            <w:pPr>
              <w:keepNext/>
              <w:widowControl w:val="0"/>
              <w:spacing w:after="0" w:line="300" w:lineRule="auto"/>
              <w:rPr>
                <w:rFonts w:ascii="Arial" w:hAnsi="Arial" w:cs="Arial"/>
                <w:color w:val="000000" w:themeColor="text1"/>
              </w:rPr>
            </w:pPr>
            <w:r w:rsidRPr="00DE1AA1">
              <w:rPr>
                <w:rFonts w:ascii="Arial" w:hAnsi="Arial" w:cs="Arial"/>
                <w:color w:val="000000" w:themeColor="text1"/>
              </w:rPr>
              <w:t>Owner-occupied</w:t>
            </w:r>
          </w:p>
        </w:tc>
        <w:tc>
          <w:tcPr>
            <w:tcW w:w="1667" w:type="pct"/>
            <w:tcBorders>
              <w:top w:val="single" w:sz="4" w:space="0" w:color="auto"/>
              <w:left w:val="single" w:sz="4" w:space="0" w:color="auto"/>
              <w:bottom w:val="single" w:sz="4" w:space="0" w:color="auto"/>
              <w:right w:val="single" w:sz="4" w:space="0" w:color="auto"/>
            </w:tcBorders>
            <w:hideMark/>
          </w:tcPr>
          <w:p w14:paraId="308DE273"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17%</w:t>
            </w:r>
          </w:p>
        </w:tc>
        <w:tc>
          <w:tcPr>
            <w:tcW w:w="1667" w:type="pct"/>
            <w:tcBorders>
              <w:top w:val="single" w:sz="4" w:space="0" w:color="auto"/>
              <w:left w:val="single" w:sz="4" w:space="0" w:color="auto"/>
              <w:bottom w:val="single" w:sz="4" w:space="0" w:color="auto"/>
              <w:right w:val="single" w:sz="4" w:space="0" w:color="auto"/>
            </w:tcBorders>
            <w:hideMark/>
          </w:tcPr>
          <w:p w14:paraId="4E3512B2"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21%</w:t>
            </w:r>
          </w:p>
        </w:tc>
      </w:tr>
      <w:tr w:rsidR="00360825" w:rsidRPr="00DE1AA1" w14:paraId="24C43065"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5874EC22" w14:textId="77777777" w:rsidR="00360825" w:rsidRPr="00DE1AA1" w:rsidRDefault="00360825" w:rsidP="00C04569">
            <w:pPr>
              <w:keepNext/>
              <w:widowControl w:val="0"/>
              <w:spacing w:after="0" w:line="300" w:lineRule="auto"/>
              <w:rPr>
                <w:rFonts w:ascii="Arial" w:hAnsi="Arial" w:cs="Arial"/>
                <w:color w:val="000000" w:themeColor="text1"/>
              </w:rPr>
            </w:pPr>
            <w:r w:rsidRPr="00DE1AA1">
              <w:rPr>
                <w:rFonts w:ascii="Arial" w:hAnsi="Arial" w:cs="Arial"/>
                <w:color w:val="000000" w:themeColor="text1"/>
              </w:rPr>
              <w:t>Social rented</w:t>
            </w:r>
          </w:p>
        </w:tc>
        <w:tc>
          <w:tcPr>
            <w:tcW w:w="1667" w:type="pct"/>
            <w:tcBorders>
              <w:top w:val="single" w:sz="4" w:space="0" w:color="auto"/>
              <w:left w:val="single" w:sz="4" w:space="0" w:color="auto"/>
              <w:bottom w:val="single" w:sz="4" w:space="0" w:color="auto"/>
              <w:right w:val="single" w:sz="4" w:space="0" w:color="auto"/>
            </w:tcBorders>
            <w:hideMark/>
          </w:tcPr>
          <w:p w14:paraId="1893AB6C"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37%</w:t>
            </w:r>
          </w:p>
        </w:tc>
        <w:tc>
          <w:tcPr>
            <w:tcW w:w="1667" w:type="pct"/>
            <w:tcBorders>
              <w:top w:val="single" w:sz="4" w:space="0" w:color="auto"/>
              <w:left w:val="single" w:sz="4" w:space="0" w:color="auto"/>
              <w:bottom w:val="single" w:sz="4" w:space="0" w:color="auto"/>
              <w:right w:val="single" w:sz="4" w:space="0" w:color="auto"/>
            </w:tcBorders>
            <w:hideMark/>
          </w:tcPr>
          <w:p w14:paraId="74240441"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48%</w:t>
            </w:r>
          </w:p>
        </w:tc>
      </w:tr>
      <w:tr w:rsidR="00360825" w:rsidRPr="00DE1AA1" w14:paraId="513C1551"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1581530F" w14:textId="77777777" w:rsidR="00360825" w:rsidRPr="00DE1AA1" w:rsidRDefault="00360825" w:rsidP="00C04569">
            <w:pPr>
              <w:keepNext/>
              <w:widowControl w:val="0"/>
              <w:spacing w:after="0" w:line="300" w:lineRule="auto"/>
              <w:rPr>
                <w:rFonts w:ascii="Arial" w:hAnsi="Arial" w:cs="Arial"/>
                <w:color w:val="000000" w:themeColor="text1"/>
              </w:rPr>
            </w:pPr>
            <w:r w:rsidRPr="00DE1AA1">
              <w:rPr>
                <w:rFonts w:ascii="Arial" w:hAnsi="Arial" w:cs="Arial"/>
                <w:color w:val="000000" w:themeColor="text1"/>
              </w:rPr>
              <w:t>Private rented</w:t>
            </w:r>
          </w:p>
        </w:tc>
        <w:tc>
          <w:tcPr>
            <w:tcW w:w="1667" w:type="pct"/>
            <w:tcBorders>
              <w:top w:val="single" w:sz="4" w:space="0" w:color="auto"/>
              <w:left w:val="single" w:sz="4" w:space="0" w:color="auto"/>
              <w:bottom w:val="single" w:sz="4" w:space="0" w:color="auto"/>
              <w:right w:val="single" w:sz="4" w:space="0" w:color="auto"/>
            </w:tcBorders>
            <w:hideMark/>
          </w:tcPr>
          <w:p w14:paraId="1D5C1B0D"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40%</w:t>
            </w:r>
          </w:p>
        </w:tc>
        <w:tc>
          <w:tcPr>
            <w:tcW w:w="1667" w:type="pct"/>
            <w:tcBorders>
              <w:top w:val="single" w:sz="4" w:space="0" w:color="auto"/>
              <w:left w:val="single" w:sz="4" w:space="0" w:color="auto"/>
              <w:bottom w:val="single" w:sz="4" w:space="0" w:color="auto"/>
              <w:right w:val="single" w:sz="4" w:space="0" w:color="auto"/>
            </w:tcBorders>
            <w:hideMark/>
          </w:tcPr>
          <w:p w14:paraId="718688D4"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50%</w:t>
            </w:r>
          </w:p>
        </w:tc>
      </w:tr>
      <w:tr w:rsidR="00360825" w:rsidRPr="00DE1AA1" w14:paraId="693A62C8"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090A9846" w14:textId="77777777" w:rsidR="00360825" w:rsidRPr="00DE1AA1" w:rsidRDefault="00360825" w:rsidP="00C04569">
            <w:pPr>
              <w:keepNext/>
              <w:widowControl w:val="0"/>
              <w:spacing w:after="0" w:line="300" w:lineRule="auto"/>
              <w:rPr>
                <w:rFonts w:ascii="Arial" w:hAnsi="Arial" w:cs="Arial"/>
                <w:color w:val="000000" w:themeColor="text1"/>
              </w:rPr>
            </w:pPr>
            <w:r w:rsidRPr="00DE1AA1">
              <w:rPr>
                <w:rFonts w:ascii="Arial" w:hAnsi="Arial" w:cs="Arial"/>
                <w:color w:val="000000" w:themeColor="text1"/>
              </w:rPr>
              <w:t>All (2-bedroom)</w:t>
            </w:r>
          </w:p>
        </w:tc>
        <w:tc>
          <w:tcPr>
            <w:tcW w:w="1667" w:type="pct"/>
            <w:tcBorders>
              <w:top w:val="single" w:sz="4" w:space="0" w:color="auto"/>
              <w:left w:val="single" w:sz="4" w:space="0" w:color="auto"/>
              <w:bottom w:val="single" w:sz="4" w:space="0" w:color="auto"/>
              <w:right w:val="single" w:sz="4" w:space="0" w:color="auto"/>
            </w:tcBorders>
            <w:hideMark/>
          </w:tcPr>
          <w:p w14:paraId="768072B8"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27%</w:t>
            </w:r>
          </w:p>
        </w:tc>
        <w:tc>
          <w:tcPr>
            <w:tcW w:w="1667" w:type="pct"/>
            <w:tcBorders>
              <w:top w:val="single" w:sz="4" w:space="0" w:color="auto"/>
              <w:left w:val="single" w:sz="4" w:space="0" w:color="auto"/>
              <w:bottom w:val="single" w:sz="4" w:space="0" w:color="auto"/>
              <w:right w:val="single" w:sz="4" w:space="0" w:color="auto"/>
            </w:tcBorders>
            <w:hideMark/>
          </w:tcPr>
          <w:p w14:paraId="38BDED03"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35%</w:t>
            </w:r>
          </w:p>
        </w:tc>
      </w:tr>
    </w:tbl>
    <w:p w14:paraId="7FEC7290"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2011 Census</w:t>
      </w:r>
    </w:p>
    <w:p w14:paraId="2CF3EB56"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39" w:name="_Hlk88747605"/>
      <w:r w:rsidRPr="00D556DB">
        <w:rPr>
          <w:rFonts w:ascii="Arial" w:hAnsi="Arial" w:cs="Arial"/>
        </w:rPr>
        <w:t>As noted, this analysis would suggest that most 2-bedroom homes should be built as houses (or bungalows) rather than flats. However, any decisions will still have to take account of site characteristics, which in some cases might point towards flatted development as being most appropriate. The analysis would suggest that the affordable sector might be expected to see a higher proportion of flats than for market housing, although it is still the case that houses are likely to make up the majority of the need in this sector.</w:t>
      </w:r>
    </w:p>
    <w:p w14:paraId="249800CF" w14:textId="77777777" w:rsidR="00360825" w:rsidRPr="00D556DB" w:rsidRDefault="00360825" w:rsidP="00360825">
      <w:pPr>
        <w:pStyle w:val="Heading2"/>
        <w:rPr>
          <w:rFonts w:ascii="Arial" w:eastAsiaTheme="majorEastAsia" w:hAnsi="Arial" w:cs="Arial"/>
        </w:rPr>
      </w:pPr>
      <w:r w:rsidRPr="00D556DB">
        <w:rPr>
          <w:rFonts w:ascii="Arial" w:hAnsi="Arial" w:cs="Arial"/>
          <w:bCs/>
        </w:rPr>
        <w:t>Summary</w:t>
      </w:r>
    </w:p>
    <w:p w14:paraId="7663D25F"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40" w:name="_Hlk89090241"/>
      <w:r w:rsidRPr="00D556DB">
        <w:rPr>
          <w:rFonts w:ascii="Arial" w:hAnsi="Arial" w:cs="Arial"/>
        </w:rPr>
        <w:t>The proportion of households with dependent children in Chichester is relatively low with around 24% of all households containing dependent children in 2011 (29% regionally and nationally). Households in the Plan Area North are particularly likely to contain dependent children. There are notable differences between different types of household, with married couples (with dependent children) seeing a high level of owner-occupation, whereas as lone parents are particularly likely to live in social or private rented accommodation.</w:t>
      </w:r>
    </w:p>
    <w:p w14:paraId="6E8A8A2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There are a range of factors which will influence demand for different sizes of homes, including demographic changes; future growth in real earnings and households’ ability to save; economic performance and housing affordability. The analysis linked to long-term (18-year) demographic change concludes that the following represents an appropriate mix of affordable and market homes, this takes account both household changes and the ageing of the population – the analysis also models for there to be a modest decrease in levels of under-occupancy (which in Chichester are very high in the market sector).</w:t>
      </w:r>
      <w:r w:rsidRPr="00C16AB0">
        <w:rPr>
          <w:rFonts w:ascii="Arial" w:hAnsi="Arial" w:cs="Arial"/>
        </w:rPr>
        <w:t xml:space="preserve"> The conclusions (notably in the market sector) reflect recent increases in the number of people working from home, a trend that is likely to continue, at least in the short-term.</w:t>
      </w:r>
    </w:p>
    <w:p w14:paraId="53E32647" w14:textId="77777777" w:rsidR="00360825" w:rsidRPr="00D556DB" w:rsidRDefault="00360825" w:rsidP="001A7584">
      <w:pPr>
        <w:pStyle w:val="Heading4"/>
        <w:ind w:firstLine="0"/>
      </w:pPr>
      <w:r w:rsidRPr="00D556DB">
        <w:t>Suggested Mix of Housing by Size and Tenure – Chichester Plan Area</w:t>
      </w:r>
    </w:p>
    <w:tbl>
      <w:tblPr>
        <w:tblStyle w:val="TableTheme"/>
        <w:tblW w:w="5000" w:type="pct"/>
        <w:tblInd w:w="0" w:type="dxa"/>
        <w:tblLayout w:type="fixed"/>
        <w:tblLook w:val="04A0" w:firstRow="1" w:lastRow="0" w:firstColumn="1" w:lastColumn="0" w:noHBand="0" w:noVBand="1"/>
      </w:tblPr>
      <w:tblGrid>
        <w:gridCol w:w="2689"/>
        <w:gridCol w:w="1522"/>
        <w:gridCol w:w="1522"/>
        <w:gridCol w:w="1522"/>
        <w:gridCol w:w="1522"/>
      </w:tblGrid>
      <w:tr w:rsidR="00360825" w:rsidRPr="00C16AB0" w14:paraId="15ABC8F2" w14:textId="77777777" w:rsidTr="00C04569">
        <w:tc>
          <w:tcPr>
            <w:tcW w:w="2689" w:type="dxa"/>
            <w:tcBorders>
              <w:top w:val="single" w:sz="4" w:space="0" w:color="auto"/>
              <w:left w:val="single" w:sz="4" w:space="0" w:color="auto"/>
              <w:bottom w:val="single" w:sz="4" w:space="0" w:color="auto"/>
              <w:right w:val="single" w:sz="4" w:space="0" w:color="auto"/>
            </w:tcBorders>
            <w:shd w:val="clear" w:color="auto" w:fill="002060"/>
            <w:vAlign w:val="center"/>
          </w:tcPr>
          <w:p w14:paraId="4C405479" w14:textId="77777777" w:rsidR="00360825" w:rsidRPr="00D556DB" w:rsidRDefault="00360825" w:rsidP="00C04569">
            <w:pPr>
              <w:keepNext/>
              <w:spacing w:before="60" w:after="60" w:line="300" w:lineRule="auto"/>
              <w:jc w:val="center"/>
              <w:rPr>
                <w:rFonts w:ascii="Arial" w:hAnsi="Arial" w:cs="Arial"/>
              </w:rPr>
            </w:pP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AF58843"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1-bedroom</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879582C"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2-bedrooms</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2383DB2"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3-bedrooms</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2A3817F"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4+-bedrooms</w:t>
            </w:r>
          </w:p>
        </w:tc>
      </w:tr>
      <w:tr w:rsidR="00360825" w:rsidRPr="00C16AB0" w14:paraId="0C5C2FB0"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7A48B44B" w14:textId="77777777" w:rsidR="00360825" w:rsidRPr="00D556DB" w:rsidRDefault="00360825" w:rsidP="00C04569">
            <w:pPr>
              <w:keepNext/>
              <w:spacing w:after="0" w:line="300" w:lineRule="auto"/>
              <w:rPr>
                <w:rFonts w:ascii="Arial" w:hAnsi="Arial" w:cs="Arial"/>
              </w:rPr>
            </w:pPr>
            <w:r w:rsidRPr="00D556DB">
              <w:rPr>
                <w:rFonts w:ascii="Arial" w:hAnsi="Arial" w:cs="Arial"/>
              </w:rPr>
              <w:t>Market</w:t>
            </w:r>
          </w:p>
        </w:tc>
        <w:tc>
          <w:tcPr>
            <w:tcW w:w="1522" w:type="dxa"/>
            <w:tcBorders>
              <w:top w:val="single" w:sz="4" w:space="0" w:color="auto"/>
              <w:left w:val="single" w:sz="4" w:space="0" w:color="auto"/>
              <w:bottom w:val="single" w:sz="4" w:space="0" w:color="auto"/>
              <w:right w:val="single" w:sz="4" w:space="0" w:color="auto"/>
            </w:tcBorders>
            <w:vAlign w:val="center"/>
            <w:hideMark/>
          </w:tcPr>
          <w:p w14:paraId="52398CE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5-10%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04DFEDF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30-40%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DB8C10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35-45%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53D0CD2E"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15-20%</w:t>
            </w:r>
          </w:p>
        </w:tc>
      </w:tr>
      <w:tr w:rsidR="00360825" w:rsidRPr="00C16AB0" w14:paraId="0AB534CD"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479E1B79" w14:textId="77777777" w:rsidR="00360825" w:rsidRPr="00D556DB" w:rsidRDefault="00360825" w:rsidP="00C04569">
            <w:pPr>
              <w:keepNext/>
              <w:spacing w:after="0" w:line="300" w:lineRule="auto"/>
              <w:rPr>
                <w:rFonts w:ascii="Arial" w:hAnsi="Arial" w:cs="Arial"/>
              </w:rPr>
            </w:pPr>
            <w:r w:rsidRPr="00D556DB">
              <w:rPr>
                <w:rFonts w:ascii="Arial" w:hAnsi="Arial" w:cs="Arial"/>
              </w:rPr>
              <w:t>Affordable home ownership</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790D51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20-25%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2A4A9411"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45-50%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0A1F0E12"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20-25%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646B7D5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5-10%</w:t>
            </w:r>
          </w:p>
        </w:tc>
      </w:tr>
      <w:tr w:rsidR="00360825" w:rsidRPr="00C16AB0" w14:paraId="2F20BE5A"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64B7520B" w14:textId="77777777" w:rsidR="00360825" w:rsidRPr="00D556DB" w:rsidRDefault="00360825" w:rsidP="00C04569">
            <w:pPr>
              <w:keepNext/>
              <w:spacing w:after="0" w:line="300" w:lineRule="auto"/>
              <w:rPr>
                <w:rFonts w:ascii="Arial" w:hAnsi="Arial" w:cs="Arial"/>
              </w:rPr>
            </w:pPr>
            <w:r w:rsidRPr="00D556DB">
              <w:rPr>
                <w:rFonts w:ascii="Arial" w:hAnsi="Arial" w:cs="Arial"/>
              </w:rPr>
              <w:t>Affordable housing (rented)</w:t>
            </w:r>
          </w:p>
        </w:tc>
        <w:tc>
          <w:tcPr>
            <w:tcW w:w="1522" w:type="dxa"/>
            <w:tcBorders>
              <w:top w:val="single" w:sz="4" w:space="0" w:color="auto"/>
              <w:left w:val="single" w:sz="4" w:space="0" w:color="auto"/>
              <w:bottom w:val="single" w:sz="4" w:space="0" w:color="auto"/>
              <w:right w:val="single" w:sz="4" w:space="0" w:color="auto"/>
            </w:tcBorders>
            <w:vAlign w:val="center"/>
            <w:hideMark/>
          </w:tcPr>
          <w:p w14:paraId="67D36B5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35-40%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34C94E9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35-40%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29D9690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15-20%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49EE76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5-10%</w:t>
            </w:r>
          </w:p>
        </w:tc>
      </w:tr>
    </w:tbl>
    <w:p w14:paraId="16334B4E" w14:textId="77777777" w:rsidR="00360825" w:rsidRPr="00DE1AA1" w:rsidRDefault="00360825" w:rsidP="00360825">
      <w:pPr>
        <w:spacing w:line="300" w:lineRule="auto"/>
        <w:rPr>
          <w:rFonts w:ascii="Arial" w:hAnsi="Arial" w:cs="Arial"/>
          <w:i/>
          <w:iCs/>
          <w:sz w:val="16"/>
          <w:szCs w:val="16"/>
        </w:rPr>
      </w:pPr>
      <w:r w:rsidRPr="00D556DB">
        <w:rPr>
          <w:rFonts w:ascii="Arial" w:hAnsi="Arial" w:cs="Arial"/>
          <w:i/>
          <w:iCs/>
          <w:sz w:val="16"/>
          <w:szCs w:val="16"/>
        </w:rPr>
        <w:t>Source: Derived from a range of sources</w:t>
      </w:r>
    </w:p>
    <w:p w14:paraId="48DCA33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The strategic conclusions in the affordable sector recognise the role which delivery of larger family homes can play in releasing a supply of smaller properties for other households. Also recognised is the limited flexibility which 1-bed properties offer to changing household circumstances, which feed through into higher turnover and management issues. The conclusions also take account of the current mix of housing by tenure and also the size requirements shown on the Housing Register.</w:t>
      </w:r>
    </w:p>
    <w:p w14:paraId="536D369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mix identified above could inform strategic policies although a flexible approach should be adopted. For example, in some areas Registered Providers find difficulties selling 1-bedroom affordable home ownership (AHO) homes and therefore the 1-bedroom elements of AHO might be better provided as 2-bedroom accommodation. Additionally, in applying the mix to individual development sites, regard should be had to the nature of the site and character of the area, and to up-to-date evidence of need as well as the existing mix and turnover of properties at the local level. The Council should also monitor the mix of housing delivered.</w:t>
      </w:r>
    </w:p>
    <w:p w14:paraId="1FD403A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Analysis also suggests that the majority of units should be houses rather than flats, although consideration will need to be given to site specific circumstances (which may in some cases lend themselves to flatted development). Additionally, the Council should consider the role of bungalows within the mix – such housing can be particularly attractive to older person households downsizing and may help to release larger (family-sized) accommodation back into the market.</w:t>
      </w:r>
    </w:p>
    <w:p w14:paraId="239C7AA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Based on the evidence, it is expected that the focus of new market housing provision will be on 2- and 3-bed properties. Continued demand for family housing can be expected from newly forming households. There may also be some demand for medium-sized properties (2- and 3-beds) from older households downsizing and looking to release equity in existing homes, but still retaining flexibility for friends and family to come and stay.</w:t>
      </w:r>
      <w:bookmarkEnd w:id="39"/>
    </w:p>
    <w:bookmarkEnd w:id="40"/>
    <w:p w14:paraId="451B1F5B" w14:textId="77777777" w:rsidR="00360825" w:rsidRPr="00D556DB" w:rsidRDefault="00360825" w:rsidP="00360825">
      <w:pPr>
        <w:pStyle w:val="BodyText"/>
        <w:numPr>
          <w:ilvl w:val="0"/>
          <w:numId w:val="0"/>
        </w:numPr>
        <w:rPr>
          <w:rFonts w:ascii="Arial" w:hAnsi="Arial" w:cs="Arial"/>
        </w:rPr>
      </w:pPr>
    </w:p>
    <w:p w14:paraId="3C8EBE1A" w14:textId="77777777" w:rsidR="00360825" w:rsidRPr="00D556DB" w:rsidRDefault="00360825" w:rsidP="00360825">
      <w:pPr>
        <w:pStyle w:val="Heading1"/>
        <w:ind w:hanging="567"/>
        <w:rPr>
          <w:rFonts w:ascii="Arial" w:hAnsi="Arial" w:cs="Arial"/>
        </w:rPr>
      </w:pPr>
      <w:bookmarkStart w:id="41" w:name="_Toc96358139"/>
      <w:bookmarkStart w:id="42" w:name="_Toc97716037"/>
      <w:r w:rsidRPr="00D556DB">
        <w:rPr>
          <w:rFonts w:ascii="Arial" w:hAnsi="Arial" w:cs="Arial"/>
        </w:rPr>
        <w:lastRenderedPageBreak/>
        <w:t>Older People and those with a disability</w:t>
      </w:r>
      <w:bookmarkEnd w:id="41"/>
      <w:bookmarkEnd w:id="42"/>
    </w:p>
    <w:p w14:paraId="4B1FAF54"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This section studies the characteristics and housing needs of the older person population and the population with some form of disability. The two groups are taken together as there is a clear link between age and disability. It responds to Planning Practice Guidance on </w:t>
      </w:r>
      <w:r w:rsidRPr="00D556DB">
        <w:rPr>
          <w:rFonts w:ascii="Arial" w:hAnsi="Arial" w:cs="Arial"/>
          <w:i/>
          <w:iCs/>
        </w:rPr>
        <w:t xml:space="preserve">Housing for Older and Disabled People </w:t>
      </w:r>
      <w:r w:rsidRPr="00D556DB">
        <w:rPr>
          <w:rFonts w:ascii="Arial" w:hAnsi="Arial" w:cs="Arial"/>
        </w:rPr>
        <w:t>published by Government in June 2019. It includes an assessment of the need for specialist accommodation for older people and the potential requirements for housing to be built to M4(2) and M4(3) housing technical standards (accessibility and wheelchair standards).</w:t>
      </w:r>
    </w:p>
    <w:p w14:paraId="19961916"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Understanding the Implications of Demographic Change</w:t>
      </w:r>
    </w:p>
    <w:p w14:paraId="2E4D263A"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population of older persons is increasing, and this will potentially drive a need for housing which is capable of meeting the needs of older persons. A series of statistics about the older person population of Chichester are presented below.</w:t>
      </w:r>
    </w:p>
    <w:p w14:paraId="60C0529D" w14:textId="77777777" w:rsidR="00360825" w:rsidRPr="00D556DB" w:rsidRDefault="00360825" w:rsidP="00360825">
      <w:pPr>
        <w:pStyle w:val="Heading3"/>
        <w:spacing w:after="120"/>
        <w:rPr>
          <w:rFonts w:ascii="Arial" w:hAnsi="Arial" w:cs="Arial"/>
          <w:b w:val="0"/>
          <w:bCs/>
        </w:rPr>
      </w:pPr>
      <w:r w:rsidRPr="00D556DB">
        <w:rPr>
          <w:rStyle w:val="Emphasis"/>
          <w:rFonts w:ascii="Arial" w:hAnsi="Arial" w:cs="Arial"/>
          <w:b w:val="0"/>
          <w:bCs/>
        </w:rPr>
        <w:t>Current Population of Older People</w:t>
      </w:r>
    </w:p>
    <w:p w14:paraId="4D2E3F2E"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The table below provides baseline population data about older persons in Chichester and compares this with other areas. The population data has been taken from the published 2020 ONS mid-year population estimates (MYE). The table shows that Chichester has a much older age structure than other areas with 28% of the population being aged 65 and over, this compares with 20% regionally and 19% nationally.</w:t>
      </w:r>
    </w:p>
    <w:p w14:paraId="023AA201" w14:textId="77777777" w:rsidR="00360825" w:rsidRPr="00D556DB" w:rsidRDefault="00360825" w:rsidP="001A7584">
      <w:pPr>
        <w:pStyle w:val="Heading4"/>
        <w:ind w:firstLine="0"/>
      </w:pPr>
      <w:r w:rsidRPr="00D556DB">
        <w:t>Older Persons Population, 2020</w:t>
      </w:r>
    </w:p>
    <w:tbl>
      <w:tblPr>
        <w:tblStyle w:val="TableGrid1"/>
        <w:tblW w:w="5000" w:type="pct"/>
        <w:tblInd w:w="0" w:type="dxa"/>
        <w:tblLook w:val="04A0" w:firstRow="1" w:lastRow="0" w:firstColumn="1" w:lastColumn="0" w:noHBand="0" w:noVBand="1"/>
      </w:tblPr>
      <w:tblGrid>
        <w:gridCol w:w="1756"/>
        <w:gridCol w:w="1756"/>
        <w:gridCol w:w="1755"/>
        <w:gridCol w:w="1755"/>
        <w:gridCol w:w="1755"/>
      </w:tblGrid>
      <w:tr w:rsidR="00360825" w:rsidRPr="00DE1AA1" w14:paraId="28110E31" w14:textId="77777777" w:rsidTr="00C04569">
        <w:tc>
          <w:tcPr>
            <w:tcW w:w="1000" w:type="pct"/>
            <w:tcBorders>
              <w:top w:val="single" w:sz="4" w:space="0" w:color="auto"/>
              <w:left w:val="single" w:sz="4" w:space="0" w:color="auto"/>
              <w:bottom w:val="single" w:sz="4" w:space="0" w:color="auto"/>
              <w:right w:val="single" w:sz="4" w:space="0" w:color="auto"/>
            </w:tcBorders>
            <w:shd w:val="clear" w:color="auto" w:fill="002060"/>
          </w:tcPr>
          <w:p w14:paraId="1E65AF1F" w14:textId="77777777" w:rsidR="00360825" w:rsidRPr="00DE1AA1" w:rsidRDefault="00360825" w:rsidP="00C04569">
            <w:pPr>
              <w:pStyle w:val="TableBodytext"/>
              <w:spacing w:before="0" w:after="0" w:line="300" w:lineRule="auto"/>
              <w:rPr>
                <w:sz w:val="20"/>
                <w:szCs w:val="20"/>
              </w:rPr>
            </w:pPr>
          </w:p>
        </w:tc>
        <w:tc>
          <w:tcPr>
            <w:tcW w:w="1000" w:type="pct"/>
            <w:tcBorders>
              <w:top w:val="single" w:sz="4" w:space="0" w:color="auto"/>
              <w:left w:val="single" w:sz="4" w:space="0" w:color="auto"/>
              <w:bottom w:val="single" w:sz="4" w:space="0" w:color="auto"/>
              <w:right w:val="single" w:sz="4" w:space="0" w:color="auto"/>
            </w:tcBorders>
            <w:shd w:val="clear" w:color="auto" w:fill="002060"/>
            <w:hideMark/>
          </w:tcPr>
          <w:p w14:paraId="3DFBF8ED" w14:textId="77777777" w:rsidR="00360825" w:rsidRPr="00DE1AA1" w:rsidRDefault="00360825" w:rsidP="00C04569">
            <w:pPr>
              <w:pStyle w:val="TableBodytext"/>
              <w:spacing w:before="0" w:after="0" w:line="300" w:lineRule="auto"/>
              <w:jc w:val="center"/>
              <w:rPr>
                <w:color w:val="FFFFFF" w:themeColor="background1"/>
                <w:sz w:val="20"/>
                <w:szCs w:val="20"/>
              </w:rPr>
            </w:pPr>
            <w:r w:rsidRPr="00DE1AA1">
              <w:rPr>
                <w:color w:val="FFFFFF" w:themeColor="background1"/>
                <w:sz w:val="20"/>
                <w:szCs w:val="20"/>
              </w:rPr>
              <w:t>Chichester District</w:t>
            </w:r>
          </w:p>
        </w:tc>
        <w:tc>
          <w:tcPr>
            <w:tcW w:w="1000" w:type="pct"/>
            <w:tcBorders>
              <w:top w:val="single" w:sz="4" w:space="0" w:color="auto"/>
              <w:left w:val="single" w:sz="4" w:space="0" w:color="auto"/>
              <w:bottom w:val="single" w:sz="4" w:space="0" w:color="auto"/>
              <w:right w:val="single" w:sz="4" w:space="0" w:color="auto"/>
            </w:tcBorders>
            <w:shd w:val="clear" w:color="auto" w:fill="002060"/>
            <w:hideMark/>
          </w:tcPr>
          <w:p w14:paraId="06898394" w14:textId="77777777" w:rsidR="00360825" w:rsidRPr="00DE1AA1" w:rsidRDefault="00360825" w:rsidP="00C04569">
            <w:pPr>
              <w:pStyle w:val="TableBodytext"/>
              <w:spacing w:before="0" w:after="0" w:line="300" w:lineRule="auto"/>
              <w:jc w:val="center"/>
              <w:rPr>
                <w:color w:val="FFFFFF" w:themeColor="background1"/>
                <w:sz w:val="20"/>
                <w:szCs w:val="20"/>
              </w:rPr>
            </w:pPr>
            <w:r w:rsidRPr="00DE1AA1">
              <w:rPr>
                <w:color w:val="FFFFFF" w:themeColor="background1"/>
                <w:sz w:val="20"/>
                <w:szCs w:val="20"/>
              </w:rPr>
              <w:t>West Sussex</w:t>
            </w:r>
          </w:p>
        </w:tc>
        <w:tc>
          <w:tcPr>
            <w:tcW w:w="1000" w:type="pct"/>
            <w:tcBorders>
              <w:top w:val="single" w:sz="4" w:space="0" w:color="auto"/>
              <w:left w:val="single" w:sz="4" w:space="0" w:color="auto"/>
              <w:bottom w:val="single" w:sz="4" w:space="0" w:color="auto"/>
              <w:right w:val="single" w:sz="4" w:space="0" w:color="auto"/>
            </w:tcBorders>
            <w:shd w:val="clear" w:color="auto" w:fill="002060"/>
            <w:hideMark/>
          </w:tcPr>
          <w:p w14:paraId="64897252" w14:textId="77777777" w:rsidR="00360825" w:rsidRPr="00DE1AA1" w:rsidRDefault="00360825" w:rsidP="00C04569">
            <w:pPr>
              <w:pStyle w:val="TableBodytext"/>
              <w:spacing w:before="0" w:after="0" w:line="300" w:lineRule="auto"/>
              <w:jc w:val="center"/>
              <w:rPr>
                <w:color w:val="FFFFFF" w:themeColor="background1"/>
                <w:sz w:val="20"/>
                <w:szCs w:val="20"/>
              </w:rPr>
            </w:pPr>
            <w:r w:rsidRPr="00DE1AA1">
              <w:rPr>
                <w:color w:val="FFFFFF" w:themeColor="background1"/>
                <w:sz w:val="20"/>
                <w:szCs w:val="20"/>
              </w:rPr>
              <w:t>South East</w:t>
            </w:r>
          </w:p>
        </w:tc>
        <w:tc>
          <w:tcPr>
            <w:tcW w:w="1000" w:type="pct"/>
            <w:tcBorders>
              <w:top w:val="single" w:sz="4" w:space="0" w:color="auto"/>
              <w:left w:val="single" w:sz="4" w:space="0" w:color="auto"/>
              <w:bottom w:val="single" w:sz="4" w:space="0" w:color="auto"/>
              <w:right w:val="single" w:sz="4" w:space="0" w:color="auto"/>
            </w:tcBorders>
            <w:shd w:val="clear" w:color="auto" w:fill="002060"/>
            <w:hideMark/>
          </w:tcPr>
          <w:p w14:paraId="07F39E6A" w14:textId="77777777" w:rsidR="00360825" w:rsidRPr="00DE1AA1" w:rsidRDefault="00360825" w:rsidP="00C04569">
            <w:pPr>
              <w:pStyle w:val="TableBodytext"/>
              <w:spacing w:before="0" w:after="0" w:line="300" w:lineRule="auto"/>
              <w:jc w:val="center"/>
              <w:rPr>
                <w:color w:val="FFFFFF" w:themeColor="background1"/>
                <w:sz w:val="20"/>
                <w:szCs w:val="20"/>
              </w:rPr>
            </w:pPr>
            <w:r w:rsidRPr="00DE1AA1">
              <w:rPr>
                <w:color w:val="FFFFFF" w:themeColor="background1"/>
                <w:sz w:val="20"/>
                <w:szCs w:val="20"/>
              </w:rPr>
              <w:t>England</w:t>
            </w:r>
          </w:p>
        </w:tc>
      </w:tr>
      <w:tr w:rsidR="00360825" w:rsidRPr="00DE1AA1" w14:paraId="5F1D3347"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315A44CB" w14:textId="77777777" w:rsidR="00360825" w:rsidRPr="00DE1AA1" w:rsidRDefault="00360825" w:rsidP="00C04569">
            <w:pPr>
              <w:pStyle w:val="TableBodytext"/>
              <w:spacing w:before="0" w:after="0" w:line="300" w:lineRule="auto"/>
              <w:rPr>
                <w:sz w:val="20"/>
                <w:szCs w:val="20"/>
              </w:rPr>
            </w:pPr>
            <w:r w:rsidRPr="00DE1AA1">
              <w:rPr>
                <w:sz w:val="20"/>
                <w:szCs w:val="20"/>
              </w:rPr>
              <w:t>Under 65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6F0DF529"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72.3%</w:t>
            </w:r>
          </w:p>
        </w:tc>
        <w:tc>
          <w:tcPr>
            <w:tcW w:w="1000" w:type="pct"/>
            <w:tcBorders>
              <w:top w:val="single" w:sz="4" w:space="0" w:color="auto"/>
              <w:left w:val="single" w:sz="4" w:space="0" w:color="auto"/>
              <w:bottom w:val="single" w:sz="4" w:space="0" w:color="auto"/>
              <w:right w:val="single" w:sz="4" w:space="0" w:color="auto"/>
            </w:tcBorders>
            <w:vAlign w:val="bottom"/>
            <w:hideMark/>
          </w:tcPr>
          <w:p w14:paraId="058328CC"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76.8%</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3C0DA2D"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80.3%</w:t>
            </w:r>
          </w:p>
        </w:tc>
        <w:tc>
          <w:tcPr>
            <w:tcW w:w="1000" w:type="pct"/>
            <w:tcBorders>
              <w:top w:val="single" w:sz="4" w:space="0" w:color="auto"/>
              <w:left w:val="single" w:sz="4" w:space="0" w:color="auto"/>
              <w:bottom w:val="single" w:sz="4" w:space="0" w:color="auto"/>
              <w:right w:val="single" w:sz="4" w:space="0" w:color="auto"/>
            </w:tcBorders>
            <w:vAlign w:val="bottom"/>
            <w:hideMark/>
          </w:tcPr>
          <w:p w14:paraId="687EAF6F"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81.5%</w:t>
            </w:r>
          </w:p>
        </w:tc>
      </w:tr>
      <w:tr w:rsidR="00360825" w:rsidRPr="00DE1AA1" w14:paraId="2B2BBE00"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7E451197" w14:textId="77777777" w:rsidR="00360825" w:rsidRPr="00DE1AA1" w:rsidRDefault="00360825" w:rsidP="00C04569">
            <w:pPr>
              <w:pStyle w:val="TableBodytext"/>
              <w:spacing w:before="0" w:after="0" w:line="300" w:lineRule="auto"/>
              <w:rPr>
                <w:sz w:val="20"/>
                <w:szCs w:val="20"/>
              </w:rPr>
            </w:pPr>
            <w:r w:rsidRPr="00DE1AA1">
              <w:rPr>
                <w:sz w:val="20"/>
                <w:szCs w:val="20"/>
              </w:rPr>
              <w:t>65-74</w:t>
            </w:r>
          </w:p>
        </w:tc>
        <w:tc>
          <w:tcPr>
            <w:tcW w:w="1000" w:type="pct"/>
            <w:tcBorders>
              <w:top w:val="single" w:sz="4" w:space="0" w:color="auto"/>
              <w:left w:val="single" w:sz="4" w:space="0" w:color="auto"/>
              <w:bottom w:val="single" w:sz="4" w:space="0" w:color="auto"/>
              <w:right w:val="single" w:sz="4" w:space="0" w:color="auto"/>
            </w:tcBorders>
            <w:vAlign w:val="bottom"/>
            <w:hideMark/>
          </w:tcPr>
          <w:p w14:paraId="3AC0D627"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13.9%</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2E4593B"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11.9%</w:t>
            </w:r>
          </w:p>
        </w:tc>
        <w:tc>
          <w:tcPr>
            <w:tcW w:w="1000" w:type="pct"/>
            <w:tcBorders>
              <w:top w:val="single" w:sz="4" w:space="0" w:color="auto"/>
              <w:left w:val="single" w:sz="4" w:space="0" w:color="auto"/>
              <w:bottom w:val="single" w:sz="4" w:space="0" w:color="auto"/>
              <w:right w:val="single" w:sz="4" w:space="0" w:color="auto"/>
            </w:tcBorders>
            <w:vAlign w:val="bottom"/>
            <w:hideMark/>
          </w:tcPr>
          <w:p w14:paraId="5D3FF5B6"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10.3%</w:t>
            </w:r>
          </w:p>
        </w:tc>
        <w:tc>
          <w:tcPr>
            <w:tcW w:w="1000" w:type="pct"/>
            <w:tcBorders>
              <w:top w:val="single" w:sz="4" w:space="0" w:color="auto"/>
              <w:left w:val="single" w:sz="4" w:space="0" w:color="auto"/>
              <w:bottom w:val="single" w:sz="4" w:space="0" w:color="auto"/>
              <w:right w:val="single" w:sz="4" w:space="0" w:color="auto"/>
            </w:tcBorders>
            <w:vAlign w:val="bottom"/>
            <w:hideMark/>
          </w:tcPr>
          <w:p w14:paraId="79C239AE"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9.9%</w:t>
            </w:r>
          </w:p>
        </w:tc>
      </w:tr>
      <w:tr w:rsidR="00360825" w:rsidRPr="00DE1AA1" w14:paraId="38BD6521"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4824CE28" w14:textId="77777777" w:rsidR="00360825" w:rsidRPr="00DE1AA1" w:rsidRDefault="00360825" w:rsidP="00C04569">
            <w:pPr>
              <w:pStyle w:val="TableBodytext"/>
              <w:spacing w:before="0" w:after="0" w:line="300" w:lineRule="auto"/>
              <w:rPr>
                <w:sz w:val="20"/>
                <w:szCs w:val="20"/>
              </w:rPr>
            </w:pPr>
            <w:r w:rsidRPr="00DE1AA1">
              <w:rPr>
                <w:sz w:val="20"/>
                <w:szCs w:val="20"/>
              </w:rPr>
              <w:t>75-84</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705AB4C"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9.5%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3F89697C"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7.8%</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5A0A2F3"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6.5%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E980324"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6.1%</w:t>
            </w:r>
          </w:p>
        </w:tc>
      </w:tr>
      <w:tr w:rsidR="00360825" w:rsidRPr="00DE1AA1" w14:paraId="0CAABB8E"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54DD6FCA" w14:textId="77777777" w:rsidR="00360825" w:rsidRPr="00DE1AA1" w:rsidRDefault="00360825" w:rsidP="00C04569">
            <w:pPr>
              <w:pStyle w:val="TableBodytext"/>
              <w:spacing w:before="0" w:after="0" w:line="300" w:lineRule="auto"/>
              <w:rPr>
                <w:sz w:val="20"/>
                <w:szCs w:val="20"/>
              </w:rPr>
            </w:pPr>
            <w:r w:rsidRPr="00DE1AA1">
              <w:rPr>
                <w:sz w:val="20"/>
                <w:szCs w:val="20"/>
              </w:rPr>
              <w:t>85+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E167931"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4.3%</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F341A5A"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3.5%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CE3C876"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2.8%</w:t>
            </w:r>
          </w:p>
        </w:tc>
        <w:tc>
          <w:tcPr>
            <w:tcW w:w="1000" w:type="pct"/>
            <w:tcBorders>
              <w:top w:val="single" w:sz="4" w:space="0" w:color="auto"/>
              <w:left w:val="single" w:sz="4" w:space="0" w:color="auto"/>
              <w:bottom w:val="single" w:sz="4" w:space="0" w:color="auto"/>
              <w:right w:val="single" w:sz="4" w:space="0" w:color="auto"/>
            </w:tcBorders>
            <w:vAlign w:val="bottom"/>
            <w:hideMark/>
          </w:tcPr>
          <w:p w14:paraId="698E2192"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2.5%</w:t>
            </w:r>
          </w:p>
        </w:tc>
      </w:tr>
      <w:tr w:rsidR="00360825" w:rsidRPr="00DE1AA1" w14:paraId="04360D3D"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0CE9DE14" w14:textId="77777777" w:rsidR="00360825" w:rsidRPr="00DE1AA1" w:rsidRDefault="00360825" w:rsidP="00C04569">
            <w:pPr>
              <w:pStyle w:val="TableBodytext"/>
              <w:spacing w:before="0" w:after="0" w:line="300" w:lineRule="auto"/>
              <w:rPr>
                <w:sz w:val="20"/>
                <w:szCs w:val="20"/>
              </w:rPr>
            </w:pPr>
            <w:r w:rsidRPr="00DE1AA1">
              <w:rPr>
                <w:sz w:val="20"/>
                <w:szCs w:val="20"/>
              </w:rPr>
              <w:t>Total</w:t>
            </w:r>
          </w:p>
        </w:tc>
        <w:tc>
          <w:tcPr>
            <w:tcW w:w="1000" w:type="pct"/>
            <w:tcBorders>
              <w:top w:val="single" w:sz="4" w:space="0" w:color="auto"/>
              <w:left w:val="single" w:sz="4" w:space="0" w:color="auto"/>
              <w:bottom w:val="single" w:sz="4" w:space="0" w:color="auto"/>
              <w:right w:val="single" w:sz="4" w:space="0" w:color="auto"/>
            </w:tcBorders>
            <w:vAlign w:val="bottom"/>
            <w:hideMark/>
          </w:tcPr>
          <w:p w14:paraId="02F94E2E"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100.0%</w:t>
            </w:r>
          </w:p>
        </w:tc>
        <w:tc>
          <w:tcPr>
            <w:tcW w:w="1000" w:type="pct"/>
            <w:tcBorders>
              <w:top w:val="single" w:sz="4" w:space="0" w:color="auto"/>
              <w:left w:val="single" w:sz="4" w:space="0" w:color="auto"/>
              <w:bottom w:val="single" w:sz="4" w:space="0" w:color="auto"/>
              <w:right w:val="single" w:sz="4" w:space="0" w:color="auto"/>
            </w:tcBorders>
            <w:vAlign w:val="bottom"/>
            <w:hideMark/>
          </w:tcPr>
          <w:p w14:paraId="3138F4EE"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100.0%</w:t>
            </w:r>
          </w:p>
        </w:tc>
        <w:tc>
          <w:tcPr>
            <w:tcW w:w="1000" w:type="pct"/>
            <w:tcBorders>
              <w:top w:val="single" w:sz="4" w:space="0" w:color="auto"/>
              <w:left w:val="single" w:sz="4" w:space="0" w:color="auto"/>
              <w:bottom w:val="single" w:sz="4" w:space="0" w:color="auto"/>
              <w:right w:val="single" w:sz="4" w:space="0" w:color="auto"/>
            </w:tcBorders>
            <w:vAlign w:val="bottom"/>
            <w:hideMark/>
          </w:tcPr>
          <w:p w14:paraId="71192D78"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100.0%</w:t>
            </w:r>
          </w:p>
        </w:tc>
        <w:tc>
          <w:tcPr>
            <w:tcW w:w="1000" w:type="pct"/>
            <w:tcBorders>
              <w:top w:val="single" w:sz="4" w:space="0" w:color="auto"/>
              <w:left w:val="single" w:sz="4" w:space="0" w:color="auto"/>
              <w:bottom w:val="single" w:sz="4" w:space="0" w:color="auto"/>
              <w:right w:val="single" w:sz="4" w:space="0" w:color="auto"/>
            </w:tcBorders>
            <w:vAlign w:val="bottom"/>
            <w:hideMark/>
          </w:tcPr>
          <w:p w14:paraId="6DF251B9"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100.0%</w:t>
            </w:r>
          </w:p>
        </w:tc>
      </w:tr>
      <w:tr w:rsidR="00360825" w:rsidRPr="00DE1AA1" w14:paraId="72092781"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28A68759" w14:textId="77777777" w:rsidR="00360825" w:rsidRPr="00DE1AA1" w:rsidRDefault="00360825" w:rsidP="00C04569">
            <w:pPr>
              <w:pStyle w:val="TableBodytext"/>
              <w:spacing w:before="0" w:after="0" w:line="300" w:lineRule="auto"/>
              <w:rPr>
                <w:sz w:val="20"/>
                <w:szCs w:val="20"/>
              </w:rPr>
            </w:pPr>
            <w:r w:rsidRPr="00DE1AA1">
              <w:rPr>
                <w:sz w:val="20"/>
                <w:szCs w:val="20"/>
              </w:rPr>
              <w:t>Total 65+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7A31EED"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27.7%</w:t>
            </w:r>
          </w:p>
        </w:tc>
        <w:tc>
          <w:tcPr>
            <w:tcW w:w="1000" w:type="pct"/>
            <w:tcBorders>
              <w:top w:val="single" w:sz="4" w:space="0" w:color="auto"/>
              <w:left w:val="single" w:sz="4" w:space="0" w:color="auto"/>
              <w:bottom w:val="single" w:sz="4" w:space="0" w:color="auto"/>
              <w:right w:val="single" w:sz="4" w:space="0" w:color="auto"/>
            </w:tcBorders>
            <w:vAlign w:val="bottom"/>
            <w:hideMark/>
          </w:tcPr>
          <w:p w14:paraId="67E62969"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23.2%</w:t>
            </w:r>
          </w:p>
        </w:tc>
        <w:tc>
          <w:tcPr>
            <w:tcW w:w="1000" w:type="pct"/>
            <w:tcBorders>
              <w:top w:val="single" w:sz="4" w:space="0" w:color="auto"/>
              <w:left w:val="single" w:sz="4" w:space="0" w:color="auto"/>
              <w:bottom w:val="single" w:sz="4" w:space="0" w:color="auto"/>
              <w:right w:val="single" w:sz="4" w:space="0" w:color="auto"/>
            </w:tcBorders>
            <w:vAlign w:val="bottom"/>
            <w:hideMark/>
          </w:tcPr>
          <w:p w14:paraId="03CF8DA5"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19.7%</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C79A704"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18.5%</w:t>
            </w:r>
          </w:p>
        </w:tc>
      </w:tr>
      <w:tr w:rsidR="00360825" w:rsidRPr="00DE1AA1" w14:paraId="61E41816"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643D8502" w14:textId="77777777" w:rsidR="00360825" w:rsidRPr="00DE1AA1" w:rsidRDefault="00360825" w:rsidP="00C04569">
            <w:pPr>
              <w:pStyle w:val="TableBodytext"/>
              <w:spacing w:before="0" w:after="0" w:line="300" w:lineRule="auto"/>
              <w:rPr>
                <w:sz w:val="20"/>
                <w:szCs w:val="20"/>
              </w:rPr>
            </w:pPr>
            <w:r w:rsidRPr="00DE1AA1">
              <w:rPr>
                <w:sz w:val="20"/>
                <w:szCs w:val="20"/>
              </w:rPr>
              <w:t>Total 75+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27249564"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13.8%</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183D3E0"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11.3%</w:t>
            </w:r>
          </w:p>
        </w:tc>
        <w:tc>
          <w:tcPr>
            <w:tcW w:w="1000" w:type="pct"/>
            <w:tcBorders>
              <w:top w:val="single" w:sz="4" w:space="0" w:color="auto"/>
              <w:left w:val="single" w:sz="4" w:space="0" w:color="auto"/>
              <w:bottom w:val="single" w:sz="4" w:space="0" w:color="auto"/>
              <w:right w:val="single" w:sz="4" w:space="0" w:color="auto"/>
            </w:tcBorders>
            <w:vAlign w:val="bottom"/>
            <w:hideMark/>
          </w:tcPr>
          <w:p w14:paraId="79641B34"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9.4%</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0748A23"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8.6%</w:t>
            </w:r>
          </w:p>
        </w:tc>
      </w:tr>
    </w:tbl>
    <w:p w14:paraId="067CE6C0"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ONS Mid-Year Population Estimates</w:t>
      </w:r>
    </w:p>
    <w:p w14:paraId="00AD16AA"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The table below shows the same information for sub-areas, this shows some variation in the proportion of people aged 65 and over, ranging from 23% in the Plan Area North, up to 33% of the population in Manhood Peninsula.</w:t>
      </w:r>
    </w:p>
    <w:p w14:paraId="0B4B331B" w14:textId="77777777" w:rsidR="00360825" w:rsidRPr="00DE1AA1" w:rsidRDefault="00360825" w:rsidP="001A7584">
      <w:pPr>
        <w:pStyle w:val="Heading4"/>
        <w:ind w:firstLine="0"/>
      </w:pPr>
      <w:r w:rsidRPr="00DE1AA1">
        <w:lastRenderedPageBreak/>
        <w:t>Older Persons Population, 2020 – sub-areas</w:t>
      </w:r>
    </w:p>
    <w:tbl>
      <w:tblPr>
        <w:tblStyle w:val="TableGrid1"/>
        <w:tblW w:w="5000" w:type="pct"/>
        <w:tblInd w:w="0" w:type="dxa"/>
        <w:tblLook w:val="04A0" w:firstRow="1" w:lastRow="0" w:firstColumn="1" w:lastColumn="0" w:noHBand="0" w:noVBand="1"/>
      </w:tblPr>
      <w:tblGrid>
        <w:gridCol w:w="1690"/>
        <w:gridCol w:w="1013"/>
        <w:gridCol w:w="1013"/>
        <w:gridCol w:w="1013"/>
        <w:gridCol w:w="1013"/>
        <w:gridCol w:w="1013"/>
        <w:gridCol w:w="1013"/>
        <w:gridCol w:w="1009"/>
      </w:tblGrid>
      <w:tr w:rsidR="00360825" w:rsidRPr="00DE1AA1" w14:paraId="3194BE83" w14:textId="77777777" w:rsidTr="00C04569">
        <w:tc>
          <w:tcPr>
            <w:tcW w:w="963" w:type="pct"/>
            <w:tcBorders>
              <w:top w:val="single" w:sz="4" w:space="0" w:color="auto"/>
              <w:left w:val="single" w:sz="4" w:space="0" w:color="auto"/>
              <w:bottom w:val="single" w:sz="4" w:space="0" w:color="auto"/>
              <w:right w:val="single" w:sz="4" w:space="0" w:color="auto"/>
            </w:tcBorders>
            <w:shd w:val="clear" w:color="auto" w:fill="002060"/>
          </w:tcPr>
          <w:p w14:paraId="5EF440E4" w14:textId="77777777" w:rsidR="00360825" w:rsidRPr="00DE1AA1" w:rsidRDefault="00360825" w:rsidP="00C04569">
            <w:pPr>
              <w:pStyle w:val="TableBodytext"/>
              <w:keepNext/>
              <w:spacing w:before="0" w:after="0" w:line="300" w:lineRule="auto"/>
              <w:rPr>
                <w:color w:val="FFFFFF" w:themeColor="background1"/>
                <w:sz w:val="20"/>
                <w:szCs w:val="20"/>
              </w:rPr>
            </w:pP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5B6A4501"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Under 65</w:t>
            </w: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16E6152D"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65-74</w:t>
            </w: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13C722B6"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75-84</w:t>
            </w: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598B5EE8"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85+</w:t>
            </w: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52C4CC5D"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Total</w:t>
            </w: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62E0DCB5"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Total 65+</w:t>
            </w:r>
          </w:p>
        </w:tc>
        <w:tc>
          <w:tcPr>
            <w:tcW w:w="575" w:type="pct"/>
            <w:tcBorders>
              <w:top w:val="single" w:sz="4" w:space="0" w:color="auto"/>
              <w:left w:val="single" w:sz="4" w:space="0" w:color="auto"/>
              <w:bottom w:val="single" w:sz="4" w:space="0" w:color="auto"/>
              <w:right w:val="single" w:sz="4" w:space="0" w:color="auto"/>
            </w:tcBorders>
            <w:shd w:val="clear" w:color="auto" w:fill="002060"/>
            <w:hideMark/>
          </w:tcPr>
          <w:p w14:paraId="677FEC2F"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Total 75+</w:t>
            </w:r>
          </w:p>
        </w:tc>
      </w:tr>
      <w:tr w:rsidR="00360825" w:rsidRPr="00DE1AA1" w14:paraId="2AEE56B9"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325D6F99"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Chichester City</w:t>
            </w:r>
          </w:p>
        </w:tc>
        <w:tc>
          <w:tcPr>
            <w:tcW w:w="577" w:type="pct"/>
            <w:tcBorders>
              <w:top w:val="single" w:sz="4" w:space="0" w:color="auto"/>
              <w:left w:val="single" w:sz="4" w:space="0" w:color="auto"/>
              <w:bottom w:val="single" w:sz="4" w:space="0" w:color="auto"/>
              <w:right w:val="single" w:sz="4" w:space="0" w:color="auto"/>
            </w:tcBorders>
            <w:vAlign w:val="bottom"/>
            <w:hideMark/>
          </w:tcPr>
          <w:p w14:paraId="458F096A"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75.8%</w:t>
            </w:r>
          </w:p>
        </w:tc>
        <w:tc>
          <w:tcPr>
            <w:tcW w:w="577" w:type="pct"/>
            <w:tcBorders>
              <w:top w:val="single" w:sz="4" w:space="0" w:color="auto"/>
              <w:left w:val="single" w:sz="4" w:space="0" w:color="auto"/>
              <w:bottom w:val="single" w:sz="4" w:space="0" w:color="auto"/>
              <w:right w:val="single" w:sz="4" w:space="0" w:color="auto"/>
            </w:tcBorders>
            <w:vAlign w:val="bottom"/>
            <w:hideMark/>
          </w:tcPr>
          <w:p w14:paraId="1B68F044"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11.0%</w:t>
            </w:r>
          </w:p>
        </w:tc>
        <w:tc>
          <w:tcPr>
            <w:tcW w:w="577" w:type="pct"/>
            <w:tcBorders>
              <w:top w:val="single" w:sz="4" w:space="0" w:color="auto"/>
              <w:left w:val="single" w:sz="4" w:space="0" w:color="auto"/>
              <w:bottom w:val="single" w:sz="4" w:space="0" w:color="auto"/>
              <w:right w:val="single" w:sz="4" w:space="0" w:color="auto"/>
            </w:tcBorders>
            <w:vAlign w:val="bottom"/>
            <w:hideMark/>
          </w:tcPr>
          <w:p w14:paraId="23D6227E"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8.6%</w:t>
            </w:r>
          </w:p>
        </w:tc>
        <w:tc>
          <w:tcPr>
            <w:tcW w:w="577" w:type="pct"/>
            <w:tcBorders>
              <w:top w:val="single" w:sz="4" w:space="0" w:color="auto"/>
              <w:left w:val="single" w:sz="4" w:space="0" w:color="auto"/>
              <w:bottom w:val="single" w:sz="4" w:space="0" w:color="auto"/>
              <w:right w:val="single" w:sz="4" w:space="0" w:color="auto"/>
            </w:tcBorders>
            <w:vAlign w:val="bottom"/>
            <w:hideMark/>
          </w:tcPr>
          <w:p w14:paraId="68F601AE"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4.6%</w:t>
            </w:r>
          </w:p>
        </w:tc>
        <w:tc>
          <w:tcPr>
            <w:tcW w:w="577" w:type="pct"/>
            <w:tcBorders>
              <w:top w:val="single" w:sz="4" w:space="0" w:color="auto"/>
              <w:left w:val="single" w:sz="4" w:space="0" w:color="auto"/>
              <w:bottom w:val="single" w:sz="4" w:space="0" w:color="auto"/>
              <w:right w:val="single" w:sz="4" w:space="0" w:color="auto"/>
            </w:tcBorders>
            <w:vAlign w:val="bottom"/>
            <w:hideMark/>
          </w:tcPr>
          <w:p w14:paraId="40AB5C1C"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08F9673B"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24.2%</w:t>
            </w:r>
          </w:p>
        </w:tc>
        <w:tc>
          <w:tcPr>
            <w:tcW w:w="575" w:type="pct"/>
            <w:tcBorders>
              <w:top w:val="single" w:sz="4" w:space="0" w:color="auto"/>
              <w:left w:val="single" w:sz="4" w:space="0" w:color="auto"/>
              <w:bottom w:val="single" w:sz="4" w:space="0" w:color="auto"/>
              <w:right w:val="single" w:sz="4" w:space="0" w:color="auto"/>
            </w:tcBorders>
            <w:vAlign w:val="bottom"/>
            <w:hideMark/>
          </w:tcPr>
          <w:p w14:paraId="62F9F9BB"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13.2%</w:t>
            </w:r>
          </w:p>
        </w:tc>
      </w:tr>
      <w:tr w:rsidR="00360825" w:rsidRPr="00DE1AA1" w14:paraId="1A280DB8"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1481BE3E"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EW Corridor</w:t>
            </w:r>
          </w:p>
        </w:tc>
        <w:tc>
          <w:tcPr>
            <w:tcW w:w="577" w:type="pct"/>
            <w:tcBorders>
              <w:top w:val="single" w:sz="4" w:space="0" w:color="auto"/>
              <w:left w:val="single" w:sz="4" w:space="0" w:color="auto"/>
              <w:bottom w:val="single" w:sz="4" w:space="0" w:color="auto"/>
              <w:right w:val="single" w:sz="4" w:space="0" w:color="auto"/>
            </w:tcBorders>
            <w:vAlign w:val="bottom"/>
            <w:hideMark/>
          </w:tcPr>
          <w:p w14:paraId="506C0B7E"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75.3%</w:t>
            </w:r>
          </w:p>
        </w:tc>
        <w:tc>
          <w:tcPr>
            <w:tcW w:w="577" w:type="pct"/>
            <w:tcBorders>
              <w:top w:val="single" w:sz="4" w:space="0" w:color="auto"/>
              <w:left w:val="single" w:sz="4" w:space="0" w:color="auto"/>
              <w:bottom w:val="single" w:sz="4" w:space="0" w:color="auto"/>
              <w:right w:val="single" w:sz="4" w:space="0" w:color="auto"/>
            </w:tcBorders>
            <w:vAlign w:val="bottom"/>
            <w:hideMark/>
          </w:tcPr>
          <w:p w14:paraId="5C01B8BD"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12.8%</w:t>
            </w:r>
          </w:p>
        </w:tc>
        <w:tc>
          <w:tcPr>
            <w:tcW w:w="577" w:type="pct"/>
            <w:tcBorders>
              <w:top w:val="single" w:sz="4" w:space="0" w:color="auto"/>
              <w:left w:val="single" w:sz="4" w:space="0" w:color="auto"/>
              <w:bottom w:val="single" w:sz="4" w:space="0" w:color="auto"/>
              <w:right w:val="single" w:sz="4" w:space="0" w:color="auto"/>
            </w:tcBorders>
            <w:vAlign w:val="bottom"/>
            <w:hideMark/>
          </w:tcPr>
          <w:p w14:paraId="49190DF1"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8.2%</w:t>
            </w:r>
          </w:p>
        </w:tc>
        <w:tc>
          <w:tcPr>
            <w:tcW w:w="577" w:type="pct"/>
            <w:tcBorders>
              <w:top w:val="single" w:sz="4" w:space="0" w:color="auto"/>
              <w:left w:val="single" w:sz="4" w:space="0" w:color="auto"/>
              <w:bottom w:val="single" w:sz="4" w:space="0" w:color="auto"/>
              <w:right w:val="single" w:sz="4" w:space="0" w:color="auto"/>
            </w:tcBorders>
            <w:vAlign w:val="bottom"/>
            <w:hideMark/>
          </w:tcPr>
          <w:p w14:paraId="6138A3E0"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3.8%</w:t>
            </w:r>
          </w:p>
        </w:tc>
        <w:tc>
          <w:tcPr>
            <w:tcW w:w="577" w:type="pct"/>
            <w:tcBorders>
              <w:top w:val="single" w:sz="4" w:space="0" w:color="auto"/>
              <w:left w:val="single" w:sz="4" w:space="0" w:color="auto"/>
              <w:bottom w:val="single" w:sz="4" w:space="0" w:color="auto"/>
              <w:right w:val="single" w:sz="4" w:space="0" w:color="auto"/>
            </w:tcBorders>
            <w:vAlign w:val="bottom"/>
            <w:hideMark/>
          </w:tcPr>
          <w:p w14:paraId="54F3B399"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243DCBA7"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24.7%</w:t>
            </w:r>
          </w:p>
        </w:tc>
        <w:tc>
          <w:tcPr>
            <w:tcW w:w="575" w:type="pct"/>
            <w:tcBorders>
              <w:top w:val="single" w:sz="4" w:space="0" w:color="auto"/>
              <w:left w:val="single" w:sz="4" w:space="0" w:color="auto"/>
              <w:bottom w:val="single" w:sz="4" w:space="0" w:color="auto"/>
              <w:right w:val="single" w:sz="4" w:space="0" w:color="auto"/>
            </w:tcBorders>
            <w:vAlign w:val="bottom"/>
            <w:hideMark/>
          </w:tcPr>
          <w:p w14:paraId="71BA7BB0"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12.0%</w:t>
            </w:r>
          </w:p>
        </w:tc>
      </w:tr>
      <w:tr w:rsidR="00360825" w:rsidRPr="00DE1AA1" w14:paraId="1C333C6D"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0DA30C36"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Manhood</w:t>
            </w:r>
          </w:p>
        </w:tc>
        <w:tc>
          <w:tcPr>
            <w:tcW w:w="577" w:type="pct"/>
            <w:tcBorders>
              <w:top w:val="single" w:sz="4" w:space="0" w:color="auto"/>
              <w:left w:val="single" w:sz="4" w:space="0" w:color="auto"/>
              <w:bottom w:val="single" w:sz="4" w:space="0" w:color="auto"/>
              <w:right w:val="single" w:sz="4" w:space="0" w:color="auto"/>
            </w:tcBorders>
            <w:vAlign w:val="bottom"/>
            <w:hideMark/>
          </w:tcPr>
          <w:p w14:paraId="43182838"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66.7%</w:t>
            </w:r>
          </w:p>
        </w:tc>
        <w:tc>
          <w:tcPr>
            <w:tcW w:w="577" w:type="pct"/>
            <w:tcBorders>
              <w:top w:val="single" w:sz="4" w:space="0" w:color="auto"/>
              <w:left w:val="single" w:sz="4" w:space="0" w:color="auto"/>
              <w:bottom w:val="single" w:sz="4" w:space="0" w:color="auto"/>
              <w:right w:val="single" w:sz="4" w:space="0" w:color="auto"/>
            </w:tcBorders>
            <w:vAlign w:val="bottom"/>
            <w:hideMark/>
          </w:tcPr>
          <w:p w14:paraId="10CBB374"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16.7%</w:t>
            </w:r>
          </w:p>
        </w:tc>
        <w:tc>
          <w:tcPr>
            <w:tcW w:w="577" w:type="pct"/>
            <w:tcBorders>
              <w:top w:val="single" w:sz="4" w:space="0" w:color="auto"/>
              <w:left w:val="single" w:sz="4" w:space="0" w:color="auto"/>
              <w:bottom w:val="single" w:sz="4" w:space="0" w:color="auto"/>
              <w:right w:val="single" w:sz="4" w:space="0" w:color="auto"/>
            </w:tcBorders>
            <w:vAlign w:val="bottom"/>
            <w:hideMark/>
          </w:tcPr>
          <w:p w14:paraId="71B02B13"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11.5%</w:t>
            </w:r>
          </w:p>
        </w:tc>
        <w:tc>
          <w:tcPr>
            <w:tcW w:w="577" w:type="pct"/>
            <w:tcBorders>
              <w:top w:val="single" w:sz="4" w:space="0" w:color="auto"/>
              <w:left w:val="single" w:sz="4" w:space="0" w:color="auto"/>
              <w:bottom w:val="single" w:sz="4" w:space="0" w:color="auto"/>
              <w:right w:val="single" w:sz="4" w:space="0" w:color="auto"/>
            </w:tcBorders>
            <w:vAlign w:val="bottom"/>
            <w:hideMark/>
          </w:tcPr>
          <w:p w14:paraId="0E71721D"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5.1%</w:t>
            </w:r>
          </w:p>
        </w:tc>
        <w:tc>
          <w:tcPr>
            <w:tcW w:w="577" w:type="pct"/>
            <w:tcBorders>
              <w:top w:val="single" w:sz="4" w:space="0" w:color="auto"/>
              <w:left w:val="single" w:sz="4" w:space="0" w:color="auto"/>
              <w:bottom w:val="single" w:sz="4" w:space="0" w:color="auto"/>
              <w:right w:val="single" w:sz="4" w:space="0" w:color="auto"/>
            </w:tcBorders>
            <w:vAlign w:val="bottom"/>
            <w:hideMark/>
          </w:tcPr>
          <w:p w14:paraId="31337FE7"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1FBE91B1"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33.3%</w:t>
            </w:r>
          </w:p>
        </w:tc>
        <w:tc>
          <w:tcPr>
            <w:tcW w:w="575" w:type="pct"/>
            <w:tcBorders>
              <w:top w:val="single" w:sz="4" w:space="0" w:color="auto"/>
              <w:left w:val="single" w:sz="4" w:space="0" w:color="auto"/>
              <w:bottom w:val="single" w:sz="4" w:space="0" w:color="auto"/>
              <w:right w:val="single" w:sz="4" w:space="0" w:color="auto"/>
            </w:tcBorders>
            <w:vAlign w:val="bottom"/>
            <w:hideMark/>
          </w:tcPr>
          <w:p w14:paraId="6CE805CB"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16.6%</w:t>
            </w:r>
          </w:p>
        </w:tc>
      </w:tr>
      <w:tr w:rsidR="00360825" w:rsidRPr="00DE1AA1" w14:paraId="46FAB62A"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74A1E8DA"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Plan Area North</w:t>
            </w:r>
          </w:p>
        </w:tc>
        <w:tc>
          <w:tcPr>
            <w:tcW w:w="577" w:type="pct"/>
            <w:tcBorders>
              <w:top w:val="single" w:sz="4" w:space="0" w:color="auto"/>
              <w:left w:val="single" w:sz="4" w:space="0" w:color="auto"/>
              <w:bottom w:val="single" w:sz="4" w:space="0" w:color="auto"/>
              <w:right w:val="single" w:sz="4" w:space="0" w:color="auto"/>
            </w:tcBorders>
            <w:vAlign w:val="bottom"/>
            <w:hideMark/>
          </w:tcPr>
          <w:p w14:paraId="026EE970"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76.6%</w:t>
            </w:r>
          </w:p>
        </w:tc>
        <w:tc>
          <w:tcPr>
            <w:tcW w:w="577" w:type="pct"/>
            <w:tcBorders>
              <w:top w:val="single" w:sz="4" w:space="0" w:color="auto"/>
              <w:left w:val="single" w:sz="4" w:space="0" w:color="auto"/>
              <w:bottom w:val="single" w:sz="4" w:space="0" w:color="auto"/>
              <w:right w:val="single" w:sz="4" w:space="0" w:color="auto"/>
            </w:tcBorders>
            <w:vAlign w:val="bottom"/>
            <w:hideMark/>
          </w:tcPr>
          <w:p w14:paraId="73FE1313"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12.7%</w:t>
            </w:r>
          </w:p>
        </w:tc>
        <w:tc>
          <w:tcPr>
            <w:tcW w:w="577" w:type="pct"/>
            <w:tcBorders>
              <w:top w:val="single" w:sz="4" w:space="0" w:color="auto"/>
              <w:left w:val="single" w:sz="4" w:space="0" w:color="auto"/>
              <w:bottom w:val="single" w:sz="4" w:space="0" w:color="auto"/>
              <w:right w:val="single" w:sz="4" w:space="0" w:color="auto"/>
            </w:tcBorders>
            <w:vAlign w:val="bottom"/>
            <w:hideMark/>
          </w:tcPr>
          <w:p w14:paraId="752EB23E"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8.2%</w:t>
            </w:r>
          </w:p>
        </w:tc>
        <w:tc>
          <w:tcPr>
            <w:tcW w:w="577" w:type="pct"/>
            <w:tcBorders>
              <w:top w:val="single" w:sz="4" w:space="0" w:color="auto"/>
              <w:left w:val="single" w:sz="4" w:space="0" w:color="auto"/>
              <w:bottom w:val="single" w:sz="4" w:space="0" w:color="auto"/>
              <w:right w:val="single" w:sz="4" w:space="0" w:color="auto"/>
            </w:tcBorders>
            <w:vAlign w:val="bottom"/>
            <w:hideMark/>
          </w:tcPr>
          <w:p w14:paraId="1B78EC7C"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2.5%</w:t>
            </w:r>
          </w:p>
        </w:tc>
        <w:tc>
          <w:tcPr>
            <w:tcW w:w="577" w:type="pct"/>
            <w:tcBorders>
              <w:top w:val="single" w:sz="4" w:space="0" w:color="auto"/>
              <w:left w:val="single" w:sz="4" w:space="0" w:color="auto"/>
              <w:bottom w:val="single" w:sz="4" w:space="0" w:color="auto"/>
              <w:right w:val="single" w:sz="4" w:space="0" w:color="auto"/>
            </w:tcBorders>
            <w:vAlign w:val="bottom"/>
            <w:hideMark/>
          </w:tcPr>
          <w:p w14:paraId="0915238C"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0B0164D0"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23.4%</w:t>
            </w:r>
          </w:p>
        </w:tc>
        <w:tc>
          <w:tcPr>
            <w:tcW w:w="575" w:type="pct"/>
            <w:tcBorders>
              <w:top w:val="single" w:sz="4" w:space="0" w:color="auto"/>
              <w:left w:val="single" w:sz="4" w:space="0" w:color="auto"/>
              <w:bottom w:val="single" w:sz="4" w:space="0" w:color="auto"/>
              <w:right w:val="single" w:sz="4" w:space="0" w:color="auto"/>
            </w:tcBorders>
            <w:vAlign w:val="bottom"/>
            <w:hideMark/>
          </w:tcPr>
          <w:p w14:paraId="4F8546D2"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10.7%</w:t>
            </w:r>
          </w:p>
        </w:tc>
      </w:tr>
      <w:tr w:rsidR="00360825" w:rsidRPr="00DE1AA1" w14:paraId="4A9B9890"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1B2B34DD"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SDNP</w:t>
            </w:r>
          </w:p>
        </w:tc>
        <w:tc>
          <w:tcPr>
            <w:tcW w:w="577" w:type="pct"/>
            <w:tcBorders>
              <w:top w:val="single" w:sz="4" w:space="0" w:color="auto"/>
              <w:left w:val="single" w:sz="4" w:space="0" w:color="auto"/>
              <w:bottom w:val="single" w:sz="4" w:space="0" w:color="auto"/>
              <w:right w:val="single" w:sz="4" w:space="0" w:color="auto"/>
            </w:tcBorders>
            <w:vAlign w:val="bottom"/>
            <w:hideMark/>
          </w:tcPr>
          <w:p w14:paraId="6397C053"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70.7%</w:t>
            </w:r>
          </w:p>
        </w:tc>
        <w:tc>
          <w:tcPr>
            <w:tcW w:w="577" w:type="pct"/>
            <w:tcBorders>
              <w:top w:val="single" w:sz="4" w:space="0" w:color="auto"/>
              <w:left w:val="single" w:sz="4" w:space="0" w:color="auto"/>
              <w:bottom w:val="single" w:sz="4" w:space="0" w:color="auto"/>
              <w:right w:val="single" w:sz="4" w:space="0" w:color="auto"/>
            </w:tcBorders>
            <w:vAlign w:val="bottom"/>
            <w:hideMark/>
          </w:tcPr>
          <w:p w14:paraId="4FBA1947"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15.2%</w:t>
            </w:r>
          </w:p>
        </w:tc>
        <w:tc>
          <w:tcPr>
            <w:tcW w:w="577" w:type="pct"/>
            <w:tcBorders>
              <w:top w:val="single" w:sz="4" w:space="0" w:color="auto"/>
              <w:left w:val="single" w:sz="4" w:space="0" w:color="auto"/>
              <w:bottom w:val="single" w:sz="4" w:space="0" w:color="auto"/>
              <w:right w:val="single" w:sz="4" w:space="0" w:color="auto"/>
            </w:tcBorders>
            <w:vAlign w:val="bottom"/>
            <w:hideMark/>
          </w:tcPr>
          <w:p w14:paraId="31688C90"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10.0%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12E54D00"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4.1%</w:t>
            </w:r>
          </w:p>
        </w:tc>
        <w:tc>
          <w:tcPr>
            <w:tcW w:w="577" w:type="pct"/>
            <w:tcBorders>
              <w:top w:val="single" w:sz="4" w:space="0" w:color="auto"/>
              <w:left w:val="single" w:sz="4" w:space="0" w:color="auto"/>
              <w:bottom w:val="single" w:sz="4" w:space="0" w:color="auto"/>
              <w:right w:val="single" w:sz="4" w:space="0" w:color="auto"/>
            </w:tcBorders>
            <w:vAlign w:val="bottom"/>
            <w:hideMark/>
          </w:tcPr>
          <w:p w14:paraId="01C7C6EE"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68274857"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29.3%</w:t>
            </w:r>
          </w:p>
        </w:tc>
        <w:tc>
          <w:tcPr>
            <w:tcW w:w="575" w:type="pct"/>
            <w:tcBorders>
              <w:top w:val="single" w:sz="4" w:space="0" w:color="auto"/>
              <w:left w:val="single" w:sz="4" w:space="0" w:color="auto"/>
              <w:bottom w:val="single" w:sz="4" w:space="0" w:color="auto"/>
              <w:right w:val="single" w:sz="4" w:space="0" w:color="auto"/>
            </w:tcBorders>
            <w:vAlign w:val="bottom"/>
            <w:hideMark/>
          </w:tcPr>
          <w:p w14:paraId="460F0E12"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14.1%</w:t>
            </w:r>
          </w:p>
        </w:tc>
      </w:tr>
      <w:tr w:rsidR="00360825" w:rsidRPr="00DE1AA1" w14:paraId="4F5DD6AB"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4E38A5DA"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TOTAL</w:t>
            </w:r>
          </w:p>
        </w:tc>
        <w:tc>
          <w:tcPr>
            <w:tcW w:w="577" w:type="pct"/>
            <w:tcBorders>
              <w:top w:val="single" w:sz="4" w:space="0" w:color="auto"/>
              <w:left w:val="single" w:sz="4" w:space="0" w:color="auto"/>
              <w:bottom w:val="single" w:sz="4" w:space="0" w:color="auto"/>
              <w:right w:val="single" w:sz="4" w:space="0" w:color="auto"/>
            </w:tcBorders>
            <w:vAlign w:val="bottom"/>
            <w:hideMark/>
          </w:tcPr>
          <w:p w14:paraId="6E3F785B"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72.3%</w:t>
            </w:r>
          </w:p>
        </w:tc>
        <w:tc>
          <w:tcPr>
            <w:tcW w:w="577" w:type="pct"/>
            <w:tcBorders>
              <w:top w:val="single" w:sz="4" w:space="0" w:color="auto"/>
              <w:left w:val="single" w:sz="4" w:space="0" w:color="auto"/>
              <w:bottom w:val="single" w:sz="4" w:space="0" w:color="auto"/>
              <w:right w:val="single" w:sz="4" w:space="0" w:color="auto"/>
            </w:tcBorders>
            <w:vAlign w:val="bottom"/>
            <w:hideMark/>
          </w:tcPr>
          <w:p w14:paraId="13F924EF"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13.9%</w:t>
            </w:r>
          </w:p>
        </w:tc>
        <w:tc>
          <w:tcPr>
            <w:tcW w:w="577" w:type="pct"/>
            <w:tcBorders>
              <w:top w:val="single" w:sz="4" w:space="0" w:color="auto"/>
              <w:left w:val="single" w:sz="4" w:space="0" w:color="auto"/>
              <w:bottom w:val="single" w:sz="4" w:space="0" w:color="auto"/>
              <w:right w:val="single" w:sz="4" w:space="0" w:color="auto"/>
            </w:tcBorders>
            <w:vAlign w:val="bottom"/>
            <w:hideMark/>
          </w:tcPr>
          <w:p w14:paraId="580AB1A0"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9.5%</w:t>
            </w:r>
          </w:p>
        </w:tc>
        <w:tc>
          <w:tcPr>
            <w:tcW w:w="577" w:type="pct"/>
            <w:tcBorders>
              <w:top w:val="single" w:sz="4" w:space="0" w:color="auto"/>
              <w:left w:val="single" w:sz="4" w:space="0" w:color="auto"/>
              <w:bottom w:val="single" w:sz="4" w:space="0" w:color="auto"/>
              <w:right w:val="single" w:sz="4" w:space="0" w:color="auto"/>
            </w:tcBorders>
            <w:vAlign w:val="bottom"/>
            <w:hideMark/>
          </w:tcPr>
          <w:p w14:paraId="2D4D27EF"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4.3%</w:t>
            </w:r>
          </w:p>
        </w:tc>
        <w:tc>
          <w:tcPr>
            <w:tcW w:w="577" w:type="pct"/>
            <w:tcBorders>
              <w:top w:val="single" w:sz="4" w:space="0" w:color="auto"/>
              <w:left w:val="single" w:sz="4" w:space="0" w:color="auto"/>
              <w:bottom w:val="single" w:sz="4" w:space="0" w:color="auto"/>
              <w:right w:val="single" w:sz="4" w:space="0" w:color="auto"/>
            </w:tcBorders>
            <w:vAlign w:val="bottom"/>
            <w:hideMark/>
          </w:tcPr>
          <w:p w14:paraId="0401C961"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539741A3"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27.7%</w:t>
            </w:r>
          </w:p>
        </w:tc>
        <w:tc>
          <w:tcPr>
            <w:tcW w:w="575" w:type="pct"/>
            <w:tcBorders>
              <w:top w:val="single" w:sz="4" w:space="0" w:color="auto"/>
              <w:left w:val="single" w:sz="4" w:space="0" w:color="auto"/>
              <w:bottom w:val="single" w:sz="4" w:space="0" w:color="auto"/>
              <w:right w:val="single" w:sz="4" w:space="0" w:color="auto"/>
            </w:tcBorders>
            <w:vAlign w:val="bottom"/>
            <w:hideMark/>
          </w:tcPr>
          <w:p w14:paraId="6CBDFB47"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13.8%</w:t>
            </w:r>
          </w:p>
        </w:tc>
      </w:tr>
    </w:tbl>
    <w:p w14:paraId="5E012BF8"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ONS Mid-Year Population Estimates</w:t>
      </w:r>
    </w:p>
    <w:p w14:paraId="6E00BEBB" w14:textId="77777777" w:rsidR="00360825" w:rsidRPr="00D556DB" w:rsidRDefault="00360825" w:rsidP="00360825">
      <w:pPr>
        <w:pStyle w:val="Heading3"/>
        <w:spacing w:after="120"/>
        <w:rPr>
          <w:rFonts w:ascii="Arial" w:hAnsi="Arial" w:cs="Arial"/>
          <w:b w:val="0"/>
          <w:bCs/>
        </w:rPr>
      </w:pPr>
      <w:r w:rsidRPr="00D556DB">
        <w:rPr>
          <w:rStyle w:val="Emphasis"/>
          <w:rFonts w:ascii="Arial" w:hAnsi="Arial" w:cs="Arial"/>
          <w:b w:val="0"/>
          <w:bCs/>
        </w:rPr>
        <w:t>Projected Future Change in the Population of Older People</w:t>
      </w:r>
    </w:p>
    <w:p w14:paraId="2DA1EC85"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Population projections can next be used to provide an indication of how the number of older persons might change in the future with the tables below showing that Chichester is projected to see a notable increase in the older person population. With dwelling provision of 763 dwellings per annum (638 dpa in the plan area) the increase in the population aged 65 and over is around 42% - the population aged Under 65 is in contrast projected to increase by just 8%.</w:t>
      </w:r>
    </w:p>
    <w:p w14:paraId="37FB630A"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In total population terms, the projections show an increase in the population aged 65 and over of 14,500 people. This is against a backdrop of an overall increase of 21,700 – population growth of people aged 65 and over therefore accounts for 67% of the total projected population change.</w:t>
      </w:r>
    </w:p>
    <w:p w14:paraId="42133D5E" w14:textId="77777777" w:rsidR="00360825" w:rsidRPr="00D556DB" w:rsidRDefault="00360825" w:rsidP="001A7584">
      <w:pPr>
        <w:pStyle w:val="Heading4"/>
        <w:ind w:firstLine="0"/>
        <w:rPr>
          <w:color w:val="808080" w:themeColor="background1" w:themeShade="80"/>
        </w:rPr>
      </w:pPr>
      <w:r w:rsidRPr="00D556DB">
        <w:t>Projected Change in Population of Older Persons, 2021 to 2039 – Chichester (linking to 638 dpa outside SDNP)</w:t>
      </w:r>
    </w:p>
    <w:tbl>
      <w:tblPr>
        <w:tblStyle w:val="TableGridLight1"/>
        <w:tblW w:w="5000" w:type="pct"/>
        <w:tblInd w:w="0" w:type="dxa"/>
        <w:tblLook w:val="04A0" w:firstRow="1" w:lastRow="0" w:firstColumn="1" w:lastColumn="0" w:noHBand="0" w:noVBand="1"/>
      </w:tblPr>
      <w:tblGrid>
        <w:gridCol w:w="1756"/>
        <w:gridCol w:w="1756"/>
        <w:gridCol w:w="1755"/>
        <w:gridCol w:w="1755"/>
        <w:gridCol w:w="1755"/>
      </w:tblGrid>
      <w:tr w:rsidR="00360825" w:rsidRPr="001C6405" w14:paraId="78E82CD2" w14:textId="77777777" w:rsidTr="00C04569">
        <w:tc>
          <w:tcPr>
            <w:tcW w:w="1000" w:type="pct"/>
            <w:shd w:val="clear" w:color="auto" w:fill="002060"/>
          </w:tcPr>
          <w:p w14:paraId="7726049B" w14:textId="77777777" w:rsidR="00360825" w:rsidRPr="00D556DB" w:rsidRDefault="00360825" w:rsidP="00C04569">
            <w:pPr>
              <w:keepNext/>
              <w:tabs>
                <w:tab w:val="left" w:pos="720"/>
              </w:tabs>
              <w:spacing w:after="0" w:line="300" w:lineRule="auto"/>
              <w:jc w:val="center"/>
              <w:rPr>
                <w:rFonts w:ascii="Arial" w:hAnsi="Arial" w:cs="Arial"/>
                <w:b/>
                <w:bCs/>
                <w:color w:val="FFFFFF" w:themeColor="background1"/>
              </w:rPr>
            </w:pPr>
          </w:p>
        </w:tc>
        <w:tc>
          <w:tcPr>
            <w:tcW w:w="1000" w:type="pct"/>
            <w:shd w:val="clear" w:color="auto" w:fill="002060"/>
            <w:hideMark/>
          </w:tcPr>
          <w:p w14:paraId="088B96C3" w14:textId="77777777" w:rsidR="00360825" w:rsidRPr="00D556DB" w:rsidRDefault="00360825" w:rsidP="00C04569">
            <w:pPr>
              <w:pStyle w:val="TableBodytext"/>
              <w:keepNext/>
              <w:spacing w:before="0" w:after="0" w:line="300" w:lineRule="auto"/>
              <w:jc w:val="center"/>
              <w:rPr>
                <w:color w:val="FFFFFF" w:themeColor="background1"/>
                <w:sz w:val="20"/>
                <w:szCs w:val="20"/>
              </w:rPr>
            </w:pPr>
            <w:r w:rsidRPr="00D556DB">
              <w:rPr>
                <w:color w:val="FFFFFF" w:themeColor="background1"/>
                <w:sz w:val="20"/>
                <w:szCs w:val="20"/>
              </w:rPr>
              <w:t>2021</w:t>
            </w:r>
          </w:p>
        </w:tc>
        <w:tc>
          <w:tcPr>
            <w:tcW w:w="1000" w:type="pct"/>
            <w:shd w:val="clear" w:color="auto" w:fill="002060"/>
            <w:hideMark/>
          </w:tcPr>
          <w:p w14:paraId="6E237268" w14:textId="42D4038C" w:rsidR="00360825" w:rsidRPr="00D556DB" w:rsidRDefault="00360825" w:rsidP="00C04569">
            <w:pPr>
              <w:pStyle w:val="TableBodytext"/>
              <w:keepNext/>
              <w:spacing w:before="0" w:after="0" w:line="300" w:lineRule="auto"/>
              <w:jc w:val="center"/>
              <w:rPr>
                <w:color w:val="FFFFFF" w:themeColor="background1"/>
                <w:sz w:val="20"/>
                <w:szCs w:val="20"/>
              </w:rPr>
            </w:pPr>
            <w:r w:rsidRPr="00D556DB">
              <w:rPr>
                <w:color w:val="FFFFFF" w:themeColor="background1"/>
                <w:sz w:val="20"/>
                <w:szCs w:val="20"/>
              </w:rPr>
              <w:t>203</w:t>
            </w:r>
            <w:r w:rsidR="00892BCF">
              <w:rPr>
                <w:color w:val="FFFFFF" w:themeColor="background1"/>
                <w:sz w:val="20"/>
                <w:szCs w:val="20"/>
              </w:rPr>
              <w:t>9</w:t>
            </w:r>
          </w:p>
        </w:tc>
        <w:tc>
          <w:tcPr>
            <w:tcW w:w="1000" w:type="pct"/>
            <w:shd w:val="clear" w:color="auto" w:fill="002060"/>
            <w:hideMark/>
          </w:tcPr>
          <w:p w14:paraId="60E8E921" w14:textId="77777777" w:rsidR="00360825" w:rsidRPr="00D556DB" w:rsidRDefault="00360825" w:rsidP="00C04569">
            <w:pPr>
              <w:pStyle w:val="TableBodytext"/>
              <w:keepNext/>
              <w:spacing w:before="0" w:after="0" w:line="300" w:lineRule="auto"/>
              <w:jc w:val="center"/>
              <w:rPr>
                <w:color w:val="FFFFFF" w:themeColor="background1"/>
                <w:sz w:val="20"/>
                <w:szCs w:val="20"/>
              </w:rPr>
            </w:pPr>
            <w:r w:rsidRPr="00D556DB">
              <w:rPr>
                <w:color w:val="FFFFFF" w:themeColor="background1"/>
                <w:sz w:val="20"/>
                <w:szCs w:val="20"/>
              </w:rPr>
              <w:t>Change in population</w:t>
            </w:r>
          </w:p>
        </w:tc>
        <w:tc>
          <w:tcPr>
            <w:tcW w:w="1000" w:type="pct"/>
            <w:shd w:val="clear" w:color="auto" w:fill="002060"/>
            <w:hideMark/>
          </w:tcPr>
          <w:p w14:paraId="62447FD0" w14:textId="77777777" w:rsidR="00360825" w:rsidRPr="00D556DB" w:rsidRDefault="00360825" w:rsidP="00C04569">
            <w:pPr>
              <w:pStyle w:val="TableBodytext"/>
              <w:keepNext/>
              <w:spacing w:before="0" w:after="0" w:line="300" w:lineRule="auto"/>
              <w:jc w:val="center"/>
              <w:rPr>
                <w:color w:val="FFFFFF" w:themeColor="background1"/>
                <w:sz w:val="20"/>
                <w:szCs w:val="20"/>
              </w:rPr>
            </w:pPr>
            <w:r w:rsidRPr="00D556DB">
              <w:rPr>
                <w:color w:val="FFFFFF" w:themeColor="background1"/>
                <w:sz w:val="20"/>
                <w:szCs w:val="20"/>
              </w:rPr>
              <w:t>% change</w:t>
            </w:r>
          </w:p>
        </w:tc>
      </w:tr>
      <w:tr w:rsidR="00360825" w:rsidRPr="001C6405" w14:paraId="148B1AFE" w14:textId="77777777" w:rsidTr="00C04569">
        <w:tc>
          <w:tcPr>
            <w:tcW w:w="1000" w:type="pct"/>
            <w:hideMark/>
          </w:tcPr>
          <w:p w14:paraId="7E0C6175"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Under 65</w:t>
            </w:r>
          </w:p>
        </w:tc>
        <w:tc>
          <w:tcPr>
            <w:tcW w:w="1000" w:type="pct"/>
            <w:vAlign w:val="center"/>
            <w:hideMark/>
          </w:tcPr>
          <w:p w14:paraId="3C03B85F"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88,087</w:t>
            </w:r>
          </w:p>
        </w:tc>
        <w:tc>
          <w:tcPr>
            <w:tcW w:w="1000" w:type="pct"/>
            <w:vAlign w:val="center"/>
            <w:hideMark/>
          </w:tcPr>
          <w:p w14:paraId="75C4D985"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95,283</w:t>
            </w:r>
          </w:p>
        </w:tc>
        <w:tc>
          <w:tcPr>
            <w:tcW w:w="1000" w:type="pct"/>
            <w:vAlign w:val="center"/>
            <w:hideMark/>
          </w:tcPr>
          <w:p w14:paraId="1BD9A853"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7,197</w:t>
            </w:r>
          </w:p>
        </w:tc>
        <w:tc>
          <w:tcPr>
            <w:tcW w:w="1000" w:type="pct"/>
            <w:vAlign w:val="center"/>
            <w:hideMark/>
          </w:tcPr>
          <w:p w14:paraId="081B25F0"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8.2%</w:t>
            </w:r>
          </w:p>
        </w:tc>
      </w:tr>
      <w:tr w:rsidR="00360825" w:rsidRPr="001C6405" w14:paraId="377A1A75" w14:textId="77777777" w:rsidTr="00C04569">
        <w:tc>
          <w:tcPr>
            <w:tcW w:w="1000" w:type="pct"/>
            <w:hideMark/>
          </w:tcPr>
          <w:p w14:paraId="37973B98"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65-74</w:t>
            </w:r>
          </w:p>
        </w:tc>
        <w:tc>
          <w:tcPr>
            <w:tcW w:w="1000" w:type="pct"/>
            <w:vAlign w:val="center"/>
            <w:hideMark/>
          </w:tcPr>
          <w:p w14:paraId="3FD60E56"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17,044</w:t>
            </w:r>
          </w:p>
        </w:tc>
        <w:tc>
          <w:tcPr>
            <w:tcW w:w="1000" w:type="pct"/>
            <w:vAlign w:val="center"/>
            <w:hideMark/>
          </w:tcPr>
          <w:p w14:paraId="11F0C419"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21,913</w:t>
            </w:r>
          </w:p>
        </w:tc>
        <w:tc>
          <w:tcPr>
            <w:tcW w:w="1000" w:type="pct"/>
            <w:vAlign w:val="center"/>
            <w:hideMark/>
          </w:tcPr>
          <w:p w14:paraId="5C9FB82A"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4,869</w:t>
            </w:r>
          </w:p>
        </w:tc>
        <w:tc>
          <w:tcPr>
            <w:tcW w:w="1000" w:type="pct"/>
            <w:vAlign w:val="center"/>
            <w:hideMark/>
          </w:tcPr>
          <w:p w14:paraId="76690F3A"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28.6%</w:t>
            </w:r>
          </w:p>
        </w:tc>
      </w:tr>
      <w:tr w:rsidR="00360825" w:rsidRPr="001C6405" w14:paraId="78F91ED8" w14:textId="77777777" w:rsidTr="00C04569">
        <w:tc>
          <w:tcPr>
            <w:tcW w:w="1000" w:type="pct"/>
            <w:hideMark/>
          </w:tcPr>
          <w:p w14:paraId="6255D40B"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75-84</w:t>
            </w:r>
          </w:p>
        </w:tc>
        <w:tc>
          <w:tcPr>
            <w:tcW w:w="1000" w:type="pct"/>
            <w:vAlign w:val="center"/>
            <w:hideMark/>
          </w:tcPr>
          <w:p w14:paraId="11B48629"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11,973</w:t>
            </w:r>
          </w:p>
        </w:tc>
        <w:tc>
          <w:tcPr>
            <w:tcW w:w="1000" w:type="pct"/>
            <w:vAlign w:val="center"/>
            <w:hideMark/>
          </w:tcPr>
          <w:p w14:paraId="558B9667"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17,845</w:t>
            </w:r>
          </w:p>
        </w:tc>
        <w:tc>
          <w:tcPr>
            <w:tcW w:w="1000" w:type="pct"/>
            <w:vAlign w:val="center"/>
            <w:hideMark/>
          </w:tcPr>
          <w:p w14:paraId="6715E081"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5,872</w:t>
            </w:r>
          </w:p>
        </w:tc>
        <w:tc>
          <w:tcPr>
            <w:tcW w:w="1000" w:type="pct"/>
            <w:vAlign w:val="center"/>
            <w:hideMark/>
          </w:tcPr>
          <w:p w14:paraId="4D52B511"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49.0%</w:t>
            </w:r>
          </w:p>
        </w:tc>
      </w:tr>
      <w:tr w:rsidR="00360825" w:rsidRPr="001C6405" w14:paraId="7FBA1E2B" w14:textId="77777777" w:rsidTr="00C04569">
        <w:tc>
          <w:tcPr>
            <w:tcW w:w="1000" w:type="pct"/>
            <w:hideMark/>
          </w:tcPr>
          <w:p w14:paraId="0821443A"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85+</w:t>
            </w:r>
          </w:p>
        </w:tc>
        <w:tc>
          <w:tcPr>
            <w:tcW w:w="1000" w:type="pct"/>
            <w:vAlign w:val="center"/>
            <w:hideMark/>
          </w:tcPr>
          <w:p w14:paraId="7F430D01"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5,238</w:t>
            </w:r>
          </w:p>
        </w:tc>
        <w:tc>
          <w:tcPr>
            <w:tcW w:w="1000" w:type="pct"/>
            <w:vAlign w:val="center"/>
            <w:hideMark/>
          </w:tcPr>
          <w:p w14:paraId="4A56D872"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9,027</w:t>
            </w:r>
          </w:p>
        </w:tc>
        <w:tc>
          <w:tcPr>
            <w:tcW w:w="1000" w:type="pct"/>
            <w:vAlign w:val="center"/>
            <w:hideMark/>
          </w:tcPr>
          <w:p w14:paraId="00BA7BA3"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3,789</w:t>
            </w:r>
          </w:p>
        </w:tc>
        <w:tc>
          <w:tcPr>
            <w:tcW w:w="1000" w:type="pct"/>
            <w:vAlign w:val="center"/>
            <w:hideMark/>
          </w:tcPr>
          <w:p w14:paraId="0D25D71D"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72.3%</w:t>
            </w:r>
          </w:p>
        </w:tc>
      </w:tr>
      <w:tr w:rsidR="00360825" w:rsidRPr="001C6405" w14:paraId="3E533F23" w14:textId="77777777" w:rsidTr="00C04569">
        <w:tc>
          <w:tcPr>
            <w:tcW w:w="1000" w:type="pct"/>
            <w:hideMark/>
          </w:tcPr>
          <w:p w14:paraId="22244A87"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w:t>
            </w:r>
          </w:p>
        </w:tc>
        <w:tc>
          <w:tcPr>
            <w:tcW w:w="1000" w:type="pct"/>
            <w:vAlign w:val="center"/>
            <w:hideMark/>
          </w:tcPr>
          <w:p w14:paraId="654BD251"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122,343</w:t>
            </w:r>
          </w:p>
        </w:tc>
        <w:tc>
          <w:tcPr>
            <w:tcW w:w="1000" w:type="pct"/>
            <w:vAlign w:val="center"/>
            <w:hideMark/>
          </w:tcPr>
          <w:p w14:paraId="28D04CE3"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144,069</w:t>
            </w:r>
          </w:p>
        </w:tc>
        <w:tc>
          <w:tcPr>
            <w:tcW w:w="1000" w:type="pct"/>
            <w:vAlign w:val="center"/>
            <w:hideMark/>
          </w:tcPr>
          <w:p w14:paraId="5A2263AD"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21,726</w:t>
            </w:r>
          </w:p>
        </w:tc>
        <w:tc>
          <w:tcPr>
            <w:tcW w:w="1000" w:type="pct"/>
            <w:vAlign w:val="center"/>
            <w:hideMark/>
          </w:tcPr>
          <w:p w14:paraId="7456BB10"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17.8%</w:t>
            </w:r>
          </w:p>
        </w:tc>
      </w:tr>
      <w:tr w:rsidR="00360825" w:rsidRPr="001C6405" w14:paraId="36D8AB84" w14:textId="77777777" w:rsidTr="00C04569">
        <w:tc>
          <w:tcPr>
            <w:tcW w:w="1000" w:type="pct"/>
            <w:hideMark/>
          </w:tcPr>
          <w:p w14:paraId="1AA9F1F7"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 65+</w:t>
            </w:r>
          </w:p>
        </w:tc>
        <w:tc>
          <w:tcPr>
            <w:tcW w:w="1000" w:type="pct"/>
            <w:vAlign w:val="center"/>
            <w:hideMark/>
          </w:tcPr>
          <w:p w14:paraId="04B458D1"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34,256</w:t>
            </w:r>
          </w:p>
        </w:tc>
        <w:tc>
          <w:tcPr>
            <w:tcW w:w="1000" w:type="pct"/>
            <w:vAlign w:val="center"/>
            <w:hideMark/>
          </w:tcPr>
          <w:p w14:paraId="15BFF35D"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48,785</w:t>
            </w:r>
          </w:p>
        </w:tc>
        <w:tc>
          <w:tcPr>
            <w:tcW w:w="1000" w:type="pct"/>
            <w:vAlign w:val="center"/>
            <w:hideMark/>
          </w:tcPr>
          <w:p w14:paraId="7FE7FB6A"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14,529</w:t>
            </w:r>
          </w:p>
        </w:tc>
        <w:tc>
          <w:tcPr>
            <w:tcW w:w="1000" w:type="pct"/>
            <w:vAlign w:val="center"/>
            <w:hideMark/>
          </w:tcPr>
          <w:p w14:paraId="01A52066"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42.4%</w:t>
            </w:r>
          </w:p>
        </w:tc>
      </w:tr>
      <w:tr w:rsidR="00360825" w:rsidRPr="001C6405" w14:paraId="5727A7E0" w14:textId="77777777" w:rsidTr="00C04569">
        <w:tc>
          <w:tcPr>
            <w:tcW w:w="1000" w:type="pct"/>
            <w:hideMark/>
          </w:tcPr>
          <w:p w14:paraId="3138C537"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 75+</w:t>
            </w:r>
          </w:p>
        </w:tc>
        <w:tc>
          <w:tcPr>
            <w:tcW w:w="1000" w:type="pct"/>
            <w:vAlign w:val="center"/>
            <w:hideMark/>
          </w:tcPr>
          <w:p w14:paraId="69F2A140"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17,212</w:t>
            </w:r>
          </w:p>
        </w:tc>
        <w:tc>
          <w:tcPr>
            <w:tcW w:w="1000" w:type="pct"/>
            <w:vAlign w:val="center"/>
            <w:hideMark/>
          </w:tcPr>
          <w:p w14:paraId="1C20FF06"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26,872</w:t>
            </w:r>
          </w:p>
        </w:tc>
        <w:tc>
          <w:tcPr>
            <w:tcW w:w="1000" w:type="pct"/>
            <w:vAlign w:val="center"/>
            <w:hideMark/>
          </w:tcPr>
          <w:p w14:paraId="38E45CCD"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9,660</w:t>
            </w:r>
          </w:p>
        </w:tc>
        <w:tc>
          <w:tcPr>
            <w:tcW w:w="1000" w:type="pct"/>
            <w:vAlign w:val="center"/>
            <w:hideMark/>
          </w:tcPr>
          <w:p w14:paraId="2BC8F339"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56.1%</w:t>
            </w:r>
          </w:p>
        </w:tc>
      </w:tr>
    </w:tbl>
    <w:p w14:paraId="276011DF"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Demographic Projections</w:t>
      </w:r>
    </w:p>
    <w:p w14:paraId="2B9A5528"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Characteristics of Older Person Households</w:t>
      </w:r>
    </w:p>
    <w:p w14:paraId="5AC19B66"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The figure below shows the tenure of older person households. The data has been split between single older person households and those with two or more older people (which will largely be couples). The data shows that the majority of older persons households are owner occupiers (79% of older person households), and indeed most are owner occupiers with no mortgage and thus may have significant equity which can be put towards the purchase of a new home. Some 13% of older </w:t>
      </w:r>
      <w:r w:rsidRPr="00D556DB">
        <w:rPr>
          <w:rFonts w:ascii="Arial" w:hAnsi="Arial" w:cs="Arial"/>
        </w:rPr>
        <w:lastRenderedPageBreak/>
        <w:t>persons households across the District live in the social rented sector; the proportion of older person households living in the private rented sector is relatively low (about 8%).</w:t>
      </w:r>
    </w:p>
    <w:p w14:paraId="507376EA"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There are also notable differences for different types of older person households with single older people having a much lower level of owner-occupation than larger older person households – this group also has a much higher proportion living in the social rented sector.</w:t>
      </w:r>
    </w:p>
    <w:p w14:paraId="78A5C732" w14:textId="77777777" w:rsidR="00360825" w:rsidRPr="00DE1AA1" w:rsidRDefault="00360825" w:rsidP="001A7584">
      <w:pPr>
        <w:pStyle w:val="Heading4"/>
        <w:ind w:firstLine="0"/>
      </w:pPr>
      <w:r w:rsidRPr="00DE1AA1">
        <w:t>Tenure of Older Persons Households in Chichester District, 2011</w:t>
      </w:r>
    </w:p>
    <w:p w14:paraId="0AD7C15A" w14:textId="77777777" w:rsidR="00360825" w:rsidRPr="00DE1AA1" w:rsidRDefault="00360825" w:rsidP="00360825">
      <w:pPr>
        <w:spacing w:after="0" w:line="240" w:lineRule="auto"/>
        <w:jc w:val="left"/>
        <w:rPr>
          <w:rFonts w:ascii="Arial" w:hAnsi="Arial" w:cs="Arial"/>
        </w:rPr>
      </w:pPr>
      <w:r w:rsidRPr="00D556DB">
        <w:rPr>
          <w:rFonts w:ascii="Arial" w:hAnsi="Arial" w:cs="Arial"/>
          <w:noProof/>
          <w:shd w:val="clear" w:color="auto" w:fill="222C56"/>
        </w:rPr>
        <w:drawing>
          <wp:inline distT="0" distB="0" distL="0" distR="0" wp14:anchorId="01BAE8C6" wp14:editId="7F6CB6E1">
            <wp:extent cx="5575300" cy="2895600"/>
            <wp:effectExtent l="0" t="0" r="6350" b="0"/>
            <wp:docPr id="37" name="Chart 37" descr="The figure below shows the tenure of older person households. The data has been split between single older person households and those with two or more older people (which will largely be couples). The data shows that the majority of older persons households are owner occupiers (79% of older person households), and indeed most are owner occupiers with no mortgage and thus may have significant equity which can be put towards the purchase of a new home. Some 13% of older persons households across the District live in the social rented sector; the proportion of older person households living in the private rented sector is relatively low (about 8%).&#10;&#10;There are also notable differences for different types of older person households with single older people having a much lower level of owner-occupation than larger older person households – this group also has a much higher proportion living in the social rented sector.&#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2215AA9"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2011 Census</w:t>
      </w:r>
    </w:p>
    <w:p w14:paraId="249FCB61" w14:textId="77777777" w:rsidR="00360825" w:rsidRPr="00D556DB" w:rsidRDefault="00360825" w:rsidP="001A7584">
      <w:pPr>
        <w:pStyle w:val="BodyText"/>
        <w:numPr>
          <w:ilvl w:val="1"/>
          <w:numId w:val="6"/>
        </w:numPr>
        <w:ind w:left="0" w:hanging="709"/>
        <w:rPr>
          <w:rFonts w:ascii="Arial" w:hAnsi="Arial" w:cs="Arial"/>
        </w:rPr>
      </w:pPr>
      <w:r w:rsidRPr="00DE1AA1">
        <w:rPr>
          <w:rFonts w:ascii="Arial" w:hAnsi="Arial" w:cs="Arial"/>
        </w:rPr>
        <w:t>The figure below shows the same information for sub-areas – the data is provided for all older person households. The data shows that the tenure profile of older person households varies across the study area; a key observation is the lower level of owner-occupation amongst older people in Chichester City and the National Park. In the Manhood Peninsula, some 85% of older person households are owner-occupiers.</w:t>
      </w:r>
    </w:p>
    <w:p w14:paraId="214A14BE" w14:textId="77777777" w:rsidR="00360825" w:rsidRPr="00D556DB" w:rsidRDefault="00360825" w:rsidP="001A7584">
      <w:pPr>
        <w:pStyle w:val="Heading4"/>
        <w:ind w:firstLine="0"/>
      </w:pPr>
      <w:r w:rsidRPr="00D556DB">
        <w:lastRenderedPageBreak/>
        <w:t>Tenure of Older Persons Households in Chichester, 2011 – sub-areas</w:t>
      </w:r>
    </w:p>
    <w:p w14:paraId="320A81F5" w14:textId="77777777" w:rsidR="00360825" w:rsidRPr="00DE1AA1" w:rsidRDefault="00360825" w:rsidP="00360825">
      <w:pPr>
        <w:spacing w:after="0" w:line="240" w:lineRule="auto"/>
        <w:jc w:val="left"/>
        <w:rPr>
          <w:rFonts w:ascii="Arial" w:hAnsi="Arial" w:cs="Arial"/>
        </w:rPr>
      </w:pPr>
      <w:r w:rsidRPr="00D556DB">
        <w:rPr>
          <w:rFonts w:ascii="Arial" w:hAnsi="Arial" w:cs="Arial"/>
          <w:noProof/>
          <w:shd w:val="clear" w:color="auto" w:fill="222C56"/>
        </w:rPr>
        <w:drawing>
          <wp:inline distT="0" distB="0" distL="0" distR="0" wp14:anchorId="35554A70" wp14:editId="0C9844E8">
            <wp:extent cx="5575300" cy="2895600"/>
            <wp:effectExtent l="0" t="0" r="6350" b="0"/>
            <wp:docPr id="36" name="Chart 36" descr="The data shows that the tenure profile of older person households varies across the study area; a key observation is the lower level of owner-occupation amongst older people in Chichester City and the National Park. In the Manhood Peninsula, some 85% of older person households are owner-occupiers."/>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828720A"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2011 Census</w:t>
      </w:r>
    </w:p>
    <w:p w14:paraId="22ABC1E7"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Prevalence of Disabilities</w:t>
      </w:r>
    </w:p>
    <w:p w14:paraId="323A6D59"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table below shows the proportion of people with a long-term health problem or disability (LTHPD) drawn from 2011 Census data, and the proportion of households where at least one person has a LTHPD. The data suggests that some 31% of households in Chichester contain someone with a LTHPD. This figure is broadly similar to that seen across other areas. The figures for the population with a LTHPD also show a proportion in-line with other areas – some 17.5% of the population having a LTHPD.</w:t>
      </w:r>
    </w:p>
    <w:p w14:paraId="0681AC2D" w14:textId="77777777" w:rsidR="00360825" w:rsidRPr="00D556DB" w:rsidRDefault="00360825" w:rsidP="001A7584">
      <w:pPr>
        <w:pStyle w:val="Heading4"/>
        <w:ind w:firstLine="0"/>
        <w:rPr>
          <w:color w:val="808080" w:themeColor="background1" w:themeShade="80"/>
        </w:rPr>
      </w:pPr>
      <w:r w:rsidRPr="00D556DB">
        <w:t>Households and People with a Long-Term Health Problem or Disability, 2011</w:t>
      </w:r>
    </w:p>
    <w:tbl>
      <w:tblPr>
        <w:tblW w:w="5000" w:type="pct"/>
        <w:tblLook w:val="04A0" w:firstRow="1" w:lastRow="0" w:firstColumn="1" w:lastColumn="0" w:noHBand="0" w:noVBand="1"/>
      </w:tblPr>
      <w:tblGrid>
        <w:gridCol w:w="1968"/>
        <w:gridCol w:w="1702"/>
        <w:gridCol w:w="1702"/>
        <w:gridCol w:w="1702"/>
        <w:gridCol w:w="1703"/>
      </w:tblGrid>
      <w:tr w:rsidR="00360825" w:rsidRPr="00DE1AA1" w14:paraId="7E94ABD1" w14:textId="77777777" w:rsidTr="00C04569">
        <w:tc>
          <w:tcPr>
            <w:tcW w:w="1968" w:type="dxa"/>
            <w:vMerge w:val="restart"/>
            <w:tcBorders>
              <w:top w:val="single" w:sz="4" w:space="0" w:color="auto"/>
              <w:left w:val="single" w:sz="4" w:space="0" w:color="auto"/>
              <w:bottom w:val="single" w:sz="4" w:space="0" w:color="auto"/>
              <w:right w:val="single" w:sz="4" w:space="0" w:color="auto"/>
            </w:tcBorders>
            <w:shd w:val="clear" w:color="auto" w:fill="002060"/>
          </w:tcPr>
          <w:p w14:paraId="37B700B5" w14:textId="77777777" w:rsidR="00360825" w:rsidRPr="00D556DB" w:rsidRDefault="00360825" w:rsidP="00C04569">
            <w:pPr>
              <w:spacing w:after="0" w:line="240" w:lineRule="auto"/>
              <w:jc w:val="left"/>
              <w:rPr>
                <w:rFonts w:ascii="Arial" w:hAnsi="Arial" w:cs="Arial"/>
                <w:bCs/>
              </w:rPr>
            </w:pPr>
          </w:p>
        </w:tc>
        <w:tc>
          <w:tcPr>
            <w:tcW w:w="340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2A2E8B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Households Containing Someone with a Health Problem</w:t>
            </w:r>
          </w:p>
        </w:tc>
        <w:tc>
          <w:tcPr>
            <w:tcW w:w="3405"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3EC74AF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Population with a Health Problem</w:t>
            </w:r>
          </w:p>
        </w:tc>
      </w:tr>
      <w:tr w:rsidR="00360825" w:rsidRPr="00DE1AA1" w14:paraId="3D37EF86"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289074F4" w14:textId="77777777" w:rsidR="00360825" w:rsidRPr="00D556DB" w:rsidRDefault="00360825" w:rsidP="00C04569">
            <w:pPr>
              <w:spacing w:after="0" w:line="240" w:lineRule="auto"/>
              <w:jc w:val="left"/>
              <w:rPr>
                <w:rFonts w:ascii="Arial" w:hAnsi="Arial" w:cs="Arial"/>
                <w:bCs/>
              </w:rPr>
            </w:pPr>
          </w:p>
        </w:tc>
        <w:tc>
          <w:tcPr>
            <w:tcW w:w="17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E36A3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No.</w:t>
            </w:r>
          </w:p>
        </w:tc>
        <w:tc>
          <w:tcPr>
            <w:tcW w:w="17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76E94F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w:t>
            </w:r>
          </w:p>
        </w:tc>
        <w:tc>
          <w:tcPr>
            <w:tcW w:w="17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55075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No.</w:t>
            </w:r>
          </w:p>
        </w:tc>
        <w:tc>
          <w:tcPr>
            <w:tcW w:w="170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10879D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w:t>
            </w:r>
          </w:p>
        </w:tc>
      </w:tr>
      <w:tr w:rsidR="00360825" w:rsidRPr="00DE1AA1" w14:paraId="214BECC6" w14:textId="77777777" w:rsidTr="00C04569">
        <w:tc>
          <w:tcPr>
            <w:tcW w:w="1968" w:type="dxa"/>
            <w:tcBorders>
              <w:top w:val="single" w:sz="4" w:space="0" w:color="auto"/>
              <w:left w:val="single" w:sz="4" w:space="0" w:color="auto"/>
              <w:bottom w:val="single" w:sz="4" w:space="0" w:color="auto"/>
              <w:right w:val="single" w:sz="4" w:space="0" w:color="auto"/>
            </w:tcBorders>
            <w:hideMark/>
          </w:tcPr>
          <w:p w14:paraId="25ECB22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Chichester District</w:t>
            </w:r>
          </w:p>
        </w:tc>
        <w:tc>
          <w:tcPr>
            <w:tcW w:w="1702" w:type="dxa"/>
            <w:tcBorders>
              <w:top w:val="single" w:sz="4" w:space="0" w:color="auto"/>
              <w:left w:val="single" w:sz="4" w:space="0" w:color="auto"/>
              <w:bottom w:val="single" w:sz="4" w:space="0" w:color="auto"/>
              <w:right w:val="single" w:sz="4" w:space="0" w:color="auto"/>
            </w:tcBorders>
            <w:vAlign w:val="bottom"/>
            <w:hideMark/>
          </w:tcPr>
          <w:p w14:paraId="047BA2F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15,292</w:t>
            </w:r>
          </w:p>
        </w:tc>
        <w:tc>
          <w:tcPr>
            <w:tcW w:w="1702" w:type="dxa"/>
            <w:tcBorders>
              <w:top w:val="single" w:sz="4" w:space="0" w:color="auto"/>
              <w:left w:val="single" w:sz="4" w:space="0" w:color="auto"/>
              <w:bottom w:val="single" w:sz="4" w:space="0" w:color="auto"/>
              <w:right w:val="single" w:sz="4" w:space="0" w:color="auto"/>
            </w:tcBorders>
            <w:vAlign w:val="bottom"/>
            <w:hideMark/>
          </w:tcPr>
          <w:p w14:paraId="1627AFE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30.7%</w:t>
            </w:r>
          </w:p>
        </w:tc>
        <w:tc>
          <w:tcPr>
            <w:tcW w:w="1702" w:type="dxa"/>
            <w:tcBorders>
              <w:top w:val="single" w:sz="4" w:space="0" w:color="auto"/>
              <w:left w:val="single" w:sz="4" w:space="0" w:color="auto"/>
              <w:bottom w:val="single" w:sz="4" w:space="0" w:color="auto"/>
              <w:right w:val="single" w:sz="4" w:space="0" w:color="auto"/>
            </w:tcBorders>
            <w:vAlign w:val="bottom"/>
            <w:hideMark/>
          </w:tcPr>
          <w:p w14:paraId="0B94FAE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19,883</w:t>
            </w:r>
          </w:p>
        </w:tc>
        <w:tc>
          <w:tcPr>
            <w:tcW w:w="1703" w:type="dxa"/>
            <w:tcBorders>
              <w:top w:val="single" w:sz="4" w:space="0" w:color="auto"/>
              <w:left w:val="single" w:sz="4" w:space="0" w:color="auto"/>
              <w:bottom w:val="single" w:sz="4" w:space="0" w:color="auto"/>
              <w:right w:val="single" w:sz="4" w:space="0" w:color="auto"/>
            </w:tcBorders>
            <w:vAlign w:val="bottom"/>
            <w:hideMark/>
          </w:tcPr>
          <w:p w14:paraId="6D6A47A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17.5%</w:t>
            </w:r>
          </w:p>
        </w:tc>
      </w:tr>
      <w:tr w:rsidR="00360825" w:rsidRPr="00DE1AA1" w14:paraId="751954B0" w14:textId="77777777" w:rsidTr="00C04569">
        <w:tc>
          <w:tcPr>
            <w:tcW w:w="1968" w:type="dxa"/>
            <w:tcBorders>
              <w:top w:val="single" w:sz="4" w:space="0" w:color="auto"/>
              <w:left w:val="single" w:sz="4" w:space="0" w:color="auto"/>
              <w:bottom w:val="single" w:sz="4" w:space="0" w:color="auto"/>
              <w:right w:val="single" w:sz="4" w:space="0" w:color="auto"/>
            </w:tcBorders>
            <w:hideMark/>
          </w:tcPr>
          <w:p w14:paraId="78C71B67"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West Sussex</w:t>
            </w:r>
          </w:p>
        </w:tc>
        <w:tc>
          <w:tcPr>
            <w:tcW w:w="1702" w:type="dxa"/>
            <w:tcBorders>
              <w:top w:val="single" w:sz="4" w:space="0" w:color="auto"/>
              <w:left w:val="single" w:sz="4" w:space="0" w:color="auto"/>
              <w:bottom w:val="single" w:sz="4" w:space="0" w:color="auto"/>
              <w:right w:val="single" w:sz="4" w:space="0" w:color="auto"/>
            </w:tcBorders>
            <w:vAlign w:val="bottom"/>
            <w:hideMark/>
          </w:tcPr>
          <w:p w14:paraId="0973367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107,127</w:t>
            </w:r>
          </w:p>
        </w:tc>
        <w:tc>
          <w:tcPr>
            <w:tcW w:w="1702" w:type="dxa"/>
            <w:tcBorders>
              <w:top w:val="single" w:sz="4" w:space="0" w:color="auto"/>
              <w:left w:val="single" w:sz="4" w:space="0" w:color="auto"/>
              <w:bottom w:val="single" w:sz="4" w:space="0" w:color="auto"/>
              <w:right w:val="single" w:sz="4" w:space="0" w:color="auto"/>
            </w:tcBorders>
            <w:vAlign w:val="bottom"/>
            <w:hideMark/>
          </w:tcPr>
          <w:p w14:paraId="23FCD9AF"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31.0%</w:t>
            </w:r>
          </w:p>
        </w:tc>
        <w:tc>
          <w:tcPr>
            <w:tcW w:w="1702" w:type="dxa"/>
            <w:tcBorders>
              <w:top w:val="single" w:sz="4" w:space="0" w:color="auto"/>
              <w:left w:val="single" w:sz="4" w:space="0" w:color="auto"/>
              <w:bottom w:val="single" w:sz="4" w:space="0" w:color="auto"/>
              <w:right w:val="single" w:sz="4" w:space="0" w:color="auto"/>
            </w:tcBorders>
            <w:vAlign w:val="bottom"/>
            <w:hideMark/>
          </w:tcPr>
          <w:p w14:paraId="3637C46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138,880</w:t>
            </w:r>
          </w:p>
        </w:tc>
        <w:tc>
          <w:tcPr>
            <w:tcW w:w="1703" w:type="dxa"/>
            <w:tcBorders>
              <w:top w:val="single" w:sz="4" w:space="0" w:color="auto"/>
              <w:left w:val="single" w:sz="4" w:space="0" w:color="auto"/>
              <w:bottom w:val="single" w:sz="4" w:space="0" w:color="auto"/>
              <w:right w:val="single" w:sz="4" w:space="0" w:color="auto"/>
            </w:tcBorders>
            <w:vAlign w:val="bottom"/>
            <w:hideMark/>
          </w:tcPr>
          <w:p w14:paraId="14755A6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17.2%</w:t>
            </w:r>
          </w:p>
        </w:tc>
      </w:tr>
      <w:tr w:rsidR="00360825" w:rsidRPr="00DE1AA1" w14:paraId="163F5193" w14:textId="77777777" w:rsidTr="00C04569">
        <w:tc>
          <w:tcPr>
            <w:tcW w:w="1968" w:type="dxa"/>
            <w:tcBorders>
              <w:top w:val="single" w:sz="4" w:space="0" w:color="auto"/>
              <w:left w:val="single" w:sz="4" w:space="0" w:color="auto"/>
              <w:bottom w:val="single" w:sz="4" w:space="0" w:color="auto"/>
              <w:right w:val="single" w:sz="4" w:space="0" w:color="auto"/>
            </w:tcBorders>
            <w:hideMark/>
          </w:tcPr>
          <w:p w14:paraId="67D2E42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South East</w:t>
            </w:r>
          </w:p>
        </w:tc>
        <w:tc>
          <w:tcPr>
            <w:tcW w:w="1702" w:type="dxa"/>
            <w:tcBorders>
              <w:top w:val="single" w:sz="4" w:space="0" w:color="auto"/>
              <w:left w:val="single" w:sz="4" w:space="0" w:color="auto"/>
              <w:bottom w:val="single" w:sz="4" w:space="0" w:color="auto"/>
              <w:right w:val="single" w:sz="4" w:space="0" w:color="auto"/>
            </w:tcBorders>
            <w:vAlign w:val="bottom"/>
            <w:hideMark/>
          </w:tcPr>
          <w:p w14:paraId="20870AD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1,048,887</w:t>
            </w:r>
          </w:p>
        </w:tc>
        <w:tc>
          <w:tcPr>
            <w:tcW w:w="1702" w:type="dxa"/>
            <w:tcBorders>
              <w:top w:val="single" w:sz="4" w:space="0" w:color="auto"/>
              <w:left w:val="single" w:sz="4" w:space="0" w:color="auto"/>
              <w:bottom w:val="single" w:sz="4" w:space="0" w:color="auto"/>
              <w:right w:val="single" w:sz="4" w:space="0" w:color="auto"/>
            </w:tcBorders>
            <w:vAlign w:val="bottom"/>
            <w:hideMark/>
          </w:tcPr>
          <w:p w14:paraId="77B7210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29.5%</w:t>
            </w:r>
          </w:p>
        </w:tc>
        <w:tc>
          <w:tcPr>
            <w:tcW w:w="1702" w:type="dxa"/>
            <w:tcBorders>
              <w:top w:val="single" w:sz="4" w:space="0" w:color="auto"/>
              <w:left w:val="single" w:sz="4" w:space="0" w:color="auto"/>
              <w:bottom w:val="single" w:sz="4" w:space="0" w:color="auto"/>
              <w:right w:val="single" w:sz="4" w:space="0" w:color="auto"/>
            </w:tcBorders>
            <w:vAlign w:val="bottom"/>
            <w:hideMark/>
          </w:tcPr>
          <w:p w14:paraId="477A3A3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1,356,204</w:t>
            </w:r>
          </w:p>
        </w:tc>
        <w:tc>
          <w:tcPr>
            <w:tcW w:w="1703" w:type="dxa"/>
            <w:tcBorders>
              <w:top w:val="single" w:sz="4" w:space="0" w:color="auto"/>
              <w:left w:val="single" w:sz="4" w:space="0" w:color="auto"/>
              <w:bottom w:val="single" w:sz="4" w:space="0" w:color="auto"/>
              <w:right w:val="single" w:sz="4" w:space="0" w:color="auto"/>
            </w:tcBorders>
            <w:vAlign w:val="bottom"/>
            <w:hideMark/>
          </w:tcPr>
          <w:p w14:paraId="37175C5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15.7%</w:t>
            </w:r>
          </w:p>
        </w:tc>
      </w:tr>
      <w:tr w:rsidR="00360825" w:rsidRPr="00DE1AA1" w14:paraId="64ED3E7B" w14:textId="77777777" w:rsidTr="00C04569">
        <w:tc>
          <w:tcPr>
            <w:tcW w:w="1968" w:type="dxa"/>
            <w:tcBorders>
              <w:top w:val="single" w:sz="4" w:space="0" w:color="auto"/>
              <w:left w:val="single" w:sz="4" w:space="0" w:color="auto"/>
              <w:bottom w:val="single" w:sz="4" w:space="0" w:color="auto"/>
              <w:right w:val="single" w:sz="4" w:space="0" w:color="auto"/>
            </w:tcBorders>
            <w:hideMark/>
          </w:tcPr>
          <w:p w14:paraId="16293C9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England</w:t>
            </w:r>
          </w:p>
        </w:tc>
        <w:tc>
          <w:tcPr>
            <w:tcW w:w="1702" w:type="dxa"/>
            <w:tcBorders>
              <w:top w:val="single" w:sz="4" w:space="0" w:color="auto"/>
              <w:left w:val="single" w:sz="4" w:space="0" w:color="auto"/>
              <w:bottom w:val="single" w:sz="4" w:space="0" w:color="auto"/>
              <w:right w:val="single" w:sz="4" w:space="0" w:color="auto"/>
            </w:tcBorders>
            <w:vAlign w:val="bottom"/>
            <w:hideMark/>
          </w:tcPr>
          <w:p w14:paraId="470510B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7,217,905</w:t>
            </w:r>
          </w:p>
        </w:tc>
        <w:tc>
          <w:tcPr>
            <w:tcW w:w="1702" w:type="dxa"/>
            <w:tcBorders>
              <w:top w:val="single" w:sz="4" w:space="0" w:color="auto"/>
              <w:left w:val="single" w:sz="4" w:space="0" w:color="auto"/>
              <w:bottom w:val="single" w:sz="4" w:space="0" w:color="auto"/>
              <w:right w:val="single" w:sz="4" w:space="0" w:color="auto"/>
            </w:tcBorders>
            <w:vAlign w:val="bottom"/>
            <w:hideMark/>
          </w:tcPr>
          <w:p w14:paraId="285F235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32.7%</w:t>
            </w:r>
          </w:p>
        </w:tc>
        <w:tc>
          <w:tcPr>
            <w:tcW w:w="1702" w:type="dxa"/>
            <w:tcBorders>
              <w:top w:val="single" w:sz="4" w:space="0" w:color="auto"/>
              <w:left w:val="single" w:sz="4" w:space="0" w:color="auto"/>
              <w:bottom w:val="single" w:sz="4" w:space="0" w:color="auto"/>
              <w:right w:val="single" w:sz="4" w:space="0" w:color="auto"/>
            </w:tcBorders>
            <w:vAlign w:val="bottom"/>
            <w:hideMark/>
          </w:tcPr>
          <w:p w14:paraId="64DC42F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9,352,586</w:t>
            </w:r>
          </w:p>
        </w:tc>
        <w:tc>
          <w:tcPr>
            <w:tcW w:w="1703" w:type="dxa"/>
            <w:tcBorders>
              <w:top w:val="single" w:sz="4" w:space="0" w:color="auto"/>
              <w:left w:val="single" w:sz="4" w:space="0" w:color="auto"/>
              <w:bottom w:val="single" w:sz="4" w:space="0" w:color="auto"/>
              <w:right w:val="single" w:sz="4" w:space="0" w:color="auto"/>
            </w:tcBorders>
            <w:vAlign w:val="bottom"/>
            <w:hideMark/>
          </w:tcPr>
          <w:p w14:paraId="7101963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17.6%</w:t>
            </w:r>
          </w:p>
        </w:tc>
      </w:tr>
    </w:tbl>
    <w:p w14:paraId="7C82E7FF"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2011 Census</w:t>
      </w:r>
    </w:p>
    <w:p w14:paraId="450B1061"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analysis also shows some differences between different parts of the study area, with the Manhood Peninsula seeing a higher proportion of the population with a LTHPD, the lowest proportion being in the Plan Area North.</w:t>
      </w:r>
    </w:p>
    <w:p w14:paraId="5480450F" w14:textId="77777777" w:rsidR="00360825" w:rsidRPr="00DE1AA1" w:rsidRDefault="00360825" w:rsidP="001A7584">
      <w:pPr>
        <w:pStyle w:val="Heading4"/>
        <w:ind w:firstLine="0"/>
      </w:pPr>
      <w:r w:rsidRPr="00DE1AA1">
        <w:lastRenderedPageBreak/>
        <w:t>Households and People with a Long-Term Health Problem or Disability, 2011 – sub-areas – Chichester District</w:t>
      </w:r>
    </w:p>
    <w:tbl>
      <w:tblPr>
        <w:tblW w:w="5000" w:type="pct"/>
        <w:tblLook w:val="04A0" w:firstRow="1" w:lastRow="0" w:firstColumn="1" w:lastColumn="0" w:noHBand="0" w:noVBand="1"/>
      </w:tblPr>
      <w:tblGrid>
        <w:gridCol w:w="1838"/>
        <w:gridCol w:w="1734"/>
        <w:gridCol w:w="1735"/>
        <w:gridCol w:w="1735"/>
        <w:gridCol w:w="1735"/>
      </w:tblGrid>
      <w:tr w:rsidR="00360825" w:rsidRPr="00DE1AA1" w14:paraId="34D4F696" w14:textId="77777777" w:rsidTr="00C04569">
        <w:tc>
          <w:tcPr>
            <w:tcW w:w="1838" w:type="dxa"/>
            <w:vMerge w:val="restart"/>
            <w:tcBorders>
              <w:top w:val="single" w:sz="4" w:space="0" w:color="auto"/>
              <w:left w:val="single" w:sz="4" w:space="0" w:color="auto"/>
              <w:bottom w:val="single" w:sz="4" w:space="0" w:color="auto"/>
              <w:right w:val="single" w:sz="4" w:space="0" w:color="auto"/>
            </w:tcBorders>
            <w:shd w:val="clear" w:color="auto" w:fill="002060"/>
          </w:tcPr>
          <w:p w14:paraId="57E638E6" w14:textId="77777777" w:rsidR="00360825" w:rsidRPr="00D556DB" w:rsidRDefault="00360825" w:rsidP="00C04569">
            <w:pPr>
              <w:spacing w:after="0" w:line="240" w:lineRule="auto"/>
              <w:jc w:val="left"/>
              <w:rPr>
                <w:rFonts w:ascii="Arial" w:hAnsi="Arial" w:cs="Arial"/>
                <w:bCs/>
              </w:rPr>
            </w:pPr>
          </w:p>
        </w:tc>
        <w:tc>
          <w:tcPr>
            <w:tcW w:w="3469"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3621B15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Households Containing Someone with a Health Problem</w:t>
            </w:r>
          </w:p>
        </w:tc>
        <w:tc>
          <w:tcPr>
            <w:tcW w:w="347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459D0BA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Population with a Health Problem</w:t>
            </w:r>
          </w:p>
        </w:tc>
      </w:tr>
      <w:tr w:rsidR="00360825" w:rsidRPr="00DE1AA1" w14:paraId="15BA8B63"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6904A810" w14:textId="77777777" w:rsidR="00360825" w:rsidRPr="00D556DB" w:rsidRDefault="00360825" w:rsidP="00C04569">
            <w:pPr>
              <w:spacing w:after="0" w:line="240" w:lineRule="auto"/>
              <w:jc w:val="left"/>
              <w:rPr>
                <w:rFonts w:ascii="Arial" w:hAnsi="Arial" w:cs="Arial"/>
                <w:bCs/>
              </w:rPr>
            </w:pPr>
          </w:p>
        </w:tc>
        <w:tc>
          <w:tcPr>
            <w:tcW w:w="17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2B06A4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No.</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4E9A79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2CF337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No.</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F6D79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w:t>
            </w:r>
          </w:p>
        </w:tc>
      </w:tr>
      <w:tr w:rsidR="00360825" w:rsidRPr="00DE1AA1" w14:paraId="30D68118"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30821747"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Chichester City</w:t>
            </w:r>
          </w:p>
        </w:tc>
        <w:tc>
          <w:tcPr>
            <w:tcW w:w="1734" w:type="dxa"/>
            <w:tcBorders>
              <w:top w:val="single" w:sz="4" w:space="0" w:color="auto"/>
              <w:left w:val="single" w:sz="4" w:space="0" w:color="auto"/>
              <w:bottom w:val="single" w:sz="4" w:space="0" w:color="auto"/>
              <w:right w:val="single" w:sz="4" w:space="0" w:color="auto"/>
            </w:tcBorders>
            <w:vAlign w:val="bottom"/>
            <w:hideMark/>
          </w:tcPr>
          <w:p w14:paraId="09C3CF1F"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3,890</w:t>
            </w:r>
          </w:p>
        </w:tc>
        <w:tc>
          <w:tcPr>
            <w:tcW w:w="1735" w:type="dxa"/>
            <w:tcBorders>
              <w:top w:val="single" w:sz="4" w:space="0" w:color="auto"/>
              <w:left w:val="single" w:sz="4" w:space="0" w:color="auto"/>
              <w:bottom w:val="single" w:sz="4" w:space="0" w:color="auto"/>
              <w:right w:val="single" w:sz="4" w:space="0" w:color="auto"/>
            </w:tcBorders>
            <w:vAlign w:val="bottom"/>
            <w:hideMark/>
          </w:tcPr>
          <w:p w14:paraId="37ED80F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31.6%</w:t>
            </w:r>
          </w:p>
        </w:tc>
        <w:tc>
          <w:tcPr>
            <w:tcW w:w="1735" w:type="dxa"/>
            <w:tcBorders>
              <w:top w:val="single" w:sz="4" w:space="0" w:color="auto"/>
              <w:left w:val="single" w:sz="4" w:space="0" w:color="auto"/>
              <w:bottom w:val="single" w:sz="4" w:space="0" w:color="auto"/>
              <w:right w:val="single" w:sz="4" w:space="0" w:color="auto"/>
            </w:tcBorders>
            <w:vAlign w:val="bottom"/>
            <w:hideMark/>
          </w:tcPr>
          <w:p w14:paraId="2D78B5F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4,808</w:t>
            </w:r>
          </w:p>
        </w:tc>
        <w:tc>
          <w:tcPr>
            <w:tcW w:w="1735" w:type="dxa"/>
            <w:tcBorders>
              <w:top w:val="single" w:sz="4" w:space="0" w:color="auto"/>
              <w:left w:val="single" w:sz="4" w:space="0" w:color="auto"/>
              <w:bottom w:val="single" w:sz="4" w:space="0" w:color="auto"/>
              <w:right w:val="single" w:sz="4" w:space="0" w:color="auto"/>
            </w:tcBorders>
            <w:vAlign w:val="bottom"/>
            <w:hideMark/>
          </w:tcPr>
          <w:p w14:paraId="0AE93D0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17.9%</w:t>
            </w:r>
          </w:p>
        </w:tc>
      </w:tr>
      <w:tr w:rsidR="00360825" w:rsidRPr="00DE1AA1" w14:paraId="404FC381"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302349DD"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EW Corridor</w:t>
            </w:r>
          </w:p>
        </w:tc>
        <w:tc>
          <w:tcPr>
            <w:tcW w:w="1734" w:type="dxa"/>
            <w:tcBorders>
              <w:top w:val="single" w:sz="4" w:space="0" w:color="auto"/>
              <w:left w:val="single" w:sz="4" w:space="0" w:color="auto"/>
              <w:bottom w:val="single" w:sz="4" w:space="0" w:color="auto"/>
              <w:right w:val="single" w:sz="4" w:space="0" w:color="auto"/>
            </w:tcBorders>
            <w:vAlign w:val="bottom"/>
            <w:hideMark/>
          </w:tcPr>
          <w:p w14:paraId="54D57C7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2,591</w:t>
            </w:r>
          </w:p>
        </w:tc>
        <w:tc>
          <w:tcPr>
            <w:tcW w:w="1735" w:type="dxa"/>
            <w:tcBorders>
              <w:top w:val="single" w:sz="4" w:space="0" w:color="auto"/>
              <w:left w:val="single" w:sz="4" w:space="0" w:color="auto"/>
              <w:bottom w:val="single" w:sz="4" w:space="0" w:color="auto"/>
              <w:right w:val="single" w:sz="4" w:space="0" w:color="auto"/>
            </w:tcBorders>
            <w:vAlign w:val="bottom"/>
            <w:hideMark/>
          </w:tcPr>
          <w:p w14:paraId="1D14277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28.6%</w:t>
            </w:r>
          </w:p>
        </w:tc>
        <w:tc>
          <w:tcPr>
            <w:tcW w:w="1735" w:type="dxa"/>
            <w:tcBorders>
              <w:top w:val="single" w:sz="4" w:space="0" w:color="auto"/>
              <w:left w:val="single" w:sz="4" w:space="0" w:color="auto"/>
              <w:bottom w:val="single" w:sz="4" w:space="0" w:color="auto"/>
              <w:right w:val="single" w:sz="4" w:space="0" w:color="auto"/>
            </w:tcBorders>
            <w:vAlign w:val="bottom"/>
            <w:hideMark/>
          </w:tcPr>
          <w:p w14:paraId="293AB1F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3,515</w:t>
            </w:r>
          </w:p>
        </w:tc>
        <w:tc>
          <w:tcPr>
            <w:tcW w:w="1735" w:type="dxa"/>
            <w:tcBorders>
              <w:top w:val="single" w:sz="4" w:space="0" w:color="auto"/>
              <w:left w:val="single" w:sz="4" w:space="0" w:color="auto"/>
              <w:bottom w:val="single" w:sz="4" w:space="0" w:color="auto"/>
              <w:right w:val="single" w:sz="4" w:space="0" w:color="auto"/>
            </w:tcBorders>
            <w:vAlign w:val="bottom"/>
            <w:hideMark/>
          </w:tcPr>
          <w:p w14:paraId="4BCADB6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16.2%</w:t>
            </w:r>
          </w:p>
        </w:tc>
      </w:tr>
      <w:tr w:rsidR="00360825" w:rsidRPr="00DE1AA1" w14:paraId="182ADBFC"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4F0BF179"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Manhood</w:t>
            </w:r>
          </w:p>
        </w:tc>
        <w:tc>
          <w:tcPr>
            <w:tcW w:w="1734" w:type="dxa"/>
            <w:tcBorders>
              <w:top w:val="single" w:sz="4" w:space="0" w:color="auto"/>
              <w:left w:val="single" w:sz="4" w:space="0" w:color="auto"/>
              <w:bottom w:val="single" w:sz="4" w:space="0" w:color="auto"/>
              <w:right w:val="single" w:sz="4" w:space="0" w:color="auto"/>
            </w:tcBorders>
            <w:vAlign w:val="bottom"/>
            <w:hideMark/>
          </w:tcPr>
          <w:p w14:paraId="183B7EF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4,251</w:t>
            </w:r>
          </w:p>
        </w:tc>
        <w:tc>
          <w:tcPr>
            <w:tcW w:w="1735" w:type="dxa"/>
            <w:tcBorders>
              <w:top w:val="single" w:sz="4" w:space="0" w:color="auto"/>
              <w:left w:val="single" w:sz="4" w:space="0" w:color="auto"/>
              <w:bottom w:val="single" w:sz="4" w:space="0" w:color="auto"/>
              <w:right w:val="single" w:sz="4" w:space="0" w:color="auto"/>
            </w:tcBorders>
            <w:vAlign w:val="bottom"/>
            <w:hideMark/>
          </w:tcPr>
          <w:p w14:paraId="3D833CB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36.3%</w:t>
            </w:r>
          </w:p>
        </w:tc>
        <w:tc>
          <w:tcPr>
            <w:tcW w:w="1735" w:type="dxa"/>
            <w:tcBorders>
              <w:top w:val="single" w:sz="4" w:space="0" w:color="auto"/>
              <w:left w:val="single" w:sz="4" w:space="0" w:color="auto"/>
              <w:bottom w:val="single" w:sz="4" w:space="0" w:color="auto"/>
              <w:right w:val="single" w:sz="4" w:space="0" w:color="auto"/>
            </w:tcBorders>
            <w:vAlign w:val="bottom"/>
            <w:hideMark/>
          </w:tcPr>
          <w:p w14:paraId="6EBD615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5,675</w:t>
            </w:r>
          </w:p>
        </w:tc>
        <w:tc>
          <w:tcPr>
            <w:tcW w:w="1735" w:type="dxa"/>
            <w:tcBorders>
              <w:top w:val="single" w:sz="4" w:space="0" w:color="auto"/>
              <w:left w:val="single" w:sz="4" w:space="0" w:color="auto"/>
              <w:bottom w:val="single" w:sz="4" w:space="0" w:color="auto"/>
              <w:right w:val="single" w:sz="4" w:space="0" w:color="auto"/>
            </w:tcBorders>
            <w:vAlign w:val="bottom"/>
            <w:hideMark/>
          </w:tcPr>
          <w:p w14:paraId="724D3D0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21.7%</w:t>
            </w:r>
          </w:p>
        </w:tc>
      </w:tr>
      <w:tr w:rsidR="00360825" w:rsidRPr="00DE1AA1" w14:paraId="7F82EBA7"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3F460D11"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Plan Area North</w:t>
            </w:r>
          </w:p>
        </w:tc>
        <w:tc>
          <w:tcPr>
            <w:tcW w:w="1734" w:type="dxa"/>
            <w:tcBorders>
              <w:top w:val="single" w:sz="4" w:space="0" w:color="auto"/>
              <w:left w:val="single" w:sz="4" w:space="0" w:color="auto"/>
              <w:bottom w:val="single" w:sz="4" w:space="0" w:color="auto"/>
              <w:right w:val="single" w:sz="4" w:space="0" w:color="auto"/>
            </w:tcBorders>
            <w:vAlign w:val="bottom"/>
            <w:hideMark/>
          </w:tcPr>
          <w:p w14:paraId="7D7019B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825</w:t>
            </w:r>
          </w:p>
        </w:tc>
        <w:tc>
          <w:tcPr>
            <w:tcW w:w="1735" w:type="dxa"/>
            <w:tcBorders>
              <w:top w:val="single" w:sz="4" w:space="0" w:color="auto"/>
              <w:left w:val="single" w:sz="4" w:space="0" w:color="auto"/>
              <w:bottom w:val="single" w:sz="4" w:space="0" w:color="auto"/>
              <w:right w:val="single" w:sz="4" w:space="0" w:color="auto"/>
            </w:tcBorders>
            <w:vAlign w:val="bottom"/>
            <w:hideMark/>
          </w:tcPr>
          <w:p w14:paraId="5096974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25.2%</w:t>
            </w:r>
          </w:p>
        </w:tc>
        <w:tc>
          <w:tcPr>
            <w:tcW w:w="1735" w:type="dxa"/>
            <w:tcBorders>
              <w:top w:val="single" w:sz="4" w:space="0" w:color="auto"/>
              <w:left w:val="single" w:sz="4" w:space="0" w:color="auto"/>
              <w:bottom w:val="single" w:sz="4" w:space="0" w:color="auto"/>
              <w:right w:val="single" w:sz="4" w:space="0" w:color="auto"/>
            </w:tcBorders>
            <w:vAlign w:val="bottom"/>
            <w:hideMark/>
          </w:tcPr>
          <w:p w14:paraId="3C377CD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1,000</w:t>
            </w:r>
          </w:p>
        </w:tc>
        <w:tc>
          <w:tcPr>
            <w:tcW w:w="1735" w:type="dxa"/>
            <w:tcBorders>
              <w:top w:val="single" w:sz="4" w:space="0" w:color="auto"/>
              <w:left w:val="single" w:sz="4" w:space="0" w:color="auto"/>
              <w:bottom w:val="single" w:sz="4" w:space="0" w:color="auto"/>
              <w:right w:val="single" w:sz="4" w:space="0" w:color="auto"/>
            </w:tcBorders>
            <w:vAlign w:val="bottom"/>
            <w:hideMark/>
          </w:tcPr>
          <w:p w14:paraId="37BD982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12.1%</w:t>
            </w:r>
          </w:p>
        </w:tc>
      </w:tr>
      <w:tr w:rsidR="00360825" w:rsidRPr="00DE1AA1" w14:paraId="3C9005D7"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5C975D8D"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SDNP</w:t>
            </w:r>
          </w:p>
        </w:tc>
        <w:tc>
          <w:tcPr>
            <w:tcW w:w="1734" w:type="dxa"/>
            <w:tcBorders>
              <w:top w:val="single" w:sz="4" w:space="0" w:color="auto"/>
              <w:left w:val="single" w:sz="4" w:space="0" w:color="auto"/>
              <w:bottom w:val="single" w:sz="4" w:space="0" w:color="auto"/>
              <w:right w:val="single" w:sz="4" w:space="0" w:color="auto"/>
            </w:tcBorders>
            <w:vAlign w:val="bottom"/>
            <w:hideMark/>
          </w:tcPr>
          <w:p w14:paraId="35ECDC0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3,735</w:t>
            </w:r>
          </w:p>
        </w:tc>
        <w:tc>
          <w:tcPr>
            <w:tcW w:w="1735" w:type="dxa"/>
            <w:tcBorders>
              <w:top w:val="single" w:sz="4" w:space="0" w:color="auto"/>
              <w:left w:val="single" w:sz="4" w:space="0" w:color="auto"/>
              <w:bottom w:val="single" w:sz="4" w:space="0" w:color="auto"/>
              <w:right w:val="single" w:sz="4" w:space="0" w:color="auto"/>
            </w:tcBorders>
            <w:vAlign w:val="bottom"/>
            <w:hideMark/>
          </w:tcPr>
          <w:p w14:paraId="5AC2421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27.7%</w:t>
            </w:r>
          </w:p>
        </w:tc>
        <w:tc>
          <w:tcPr>
            <w:tcW w:w="1735" w:type="dxa"/>
            <w:tcBorders>
              <w:top w:val="single" w:sz="4" w:space="0" w:color="auto"/>
              <w:left w:val="single" w:sz="4" w:space="0" w:color="auto"/>
              <w:bottom w:val="single" w:sz="4" w:space="0" w:color="auto"/>
              <w:right w:val="single" w:sz="4" w:space="0" w:color="auto"/>
            </w:tcBorders>
            <w:vAlign w:val="bottom"/>
            <w:hideMark/>
          </w:tcPr>
          <w:p w14:paraId="696EAA7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4,885</w:t>
            </w:r>
          </w:p>
        </w:tc>
        <w:tc>
          <w:tcPr>
            <w:tcW w:w="1735" w:type="dxa"/>
            <w:tcBorders>
              <w:top w:val="single" w:sz="4" w:space="0" w:color="auto"/>
              <w:left w:val="single" w:sz="4" w:space="0" w:color="auto"/>
              <w:bottom w:val="single" w:sz="4" w:space="0" w:color="auto"/>
              <w:right w:val="single" w:sz="4" w:space="0" w:color="auto"/>
            </w:tcBorders>
            <w:vAlign w:val="bottom"/>
            <w:hideMark/>
          </w:tcPr>
          <w:p w14:paraId="558DD0C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15.8%</w:t>
            </w:r>
          </w:p>
        </w:tc>
      </w:tr>
      <w:tr w:rsidR="00360825" w:rsidRPr="00DE1AA1" w14:paraId="15D67792"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7C3CD9E0"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Total</w:t>
            </w:r>
          </w:p>
        </w:tc>
        <w:tc>
          <w:tcPr>
            <w:tcW w:w="1734" w:type="dxa"/>
            <w:tcBorders>
              <w:top w:val="single" w:sz="4" w:space="0" w:color="auto"/>
              <w:left w:val="single" w:sz="4" w:space="0" w:color="auto"/>
              <w:bottom w:val="single" w:sz="4" w:space="0" w:color="auto"/>
              <w:right w:val="single" w:sz="4" w:space="0" w:color="auto"/>
            </w:tcBorders>
            <w:vAlign w:val="bottom"/>
            <w:hideMark/>
          </w:tcPr>
          <w:p w14:paraId="457F5F3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15,292</w:t>
            </w:r>
          </w:p>
        </w:tc>
        <w:tc>
          <w:tcPr>
            <w:tcW w:w="1735" w:type="dxa"/>
            <w:tcBorders>
              <w:top w:val="single" w:sz="4" w:space="0" w:color="auto"/>
              <w:left w:val="single" w:sz="4" w:space="0" w:color="auto"/>
              <w:bottom w:val="single" w:sz="4" w:space="0" w:color="auto"/>
              <w:right w:val="single" w:sz="4" w:space="0" w:color="auto"/>
            </w:tcBorders>
            <w:vAlign w:val="bottom"/>
            <w:hideMark/>
          </w:tcPr>
          <w:p w14:paraId="42755A3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30.7%</w:t>
            </w:r>
          </w:p>
        </w:tc>
        <w:tc>
          <w:tcPr>
            <w:tcW w:w="1735" w:type="dxa"/>
            <w:tcBorders>
              <w:top w:val="single" w:sz="4" w:space="0" w:color="auto"/>
              <w:left w:val="single" w:sz="4" w:space="0" w:color="auto"/>
              <w:bottom w:val="single" w:sz="4" w:space="0" w:color="auto"/>
              <w:right w:val="single" w:sz="4" w:space="0" w:color="auto"/>
            </w:tcBorders>
            <w:vAlign w:val="bottom"/>
            <w:hideMark/>
          </w:tcPr>
          <w:p w14:paraId="2B11B1A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19,883</w:t>
            </w:r>
          </w:p>
        </w:tc>
        <w:tc>
          <w:tcPr>
            <w:tcW w:w="1735" w:type="dxa"/>
            <w:tcBorders>
              <w:top w:val="single" w:sz="4" w:space="0" w:color="auto"/>
              <w:left w:val="single" w:sz="4" w:space="0" w:color="auto"/>
              <w:bottom w:val="single" w:sz="4" w:space="0" w:color="auto"/>
              <w:right w:val="single" w:sz="4" w:space="0" w:color="auto"/>
            </w:tcBorders>
            <w:vAlign w:val="bottom"/>
            <w:hideMark/>
          </w:tcPr>
          <w:p w14:paraId="60D9928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17.5%</w:t>
            </w:r>
          </w:p>
        </w:tc>
      </w:tr>
    </w:tbl>
    <w:p w14:paraId="5FB5D68E"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2011 Census</w:t>
      </w:r>
    </w:p>
    <w:p w14:paraId="5DF50078"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It is likely that the age profile will impact upon the numbers of people with a LTHPD, as older people tend to be more likely to have a LTHPD. The figure below shows the age bands of people with a LTHPD. It is clear from this analysis that those people in the oldest age bands are more likely to have a LTHPD. The analysis also typically shows lower levels of LTHPD in each age band within Chichester when compared with the regional and national position.</w:t>
      </w:r>
    </w:p>
    <w:p w14:paraId="1B1FD13D" w14:textId="77777777" w:rsidR="00360825" w:rsidRPr="00DE1AA1" w:rsidRDefault="00360825" w:rsidP="001A7584">
      <w:pPr>
        <w:pStyle w:val="Heading4"/>
        <w:ind w:firstLine="0"/>
      </w:pPr>
      <w:r w:rsidRPr="00DE1AA1">
        <w:t>Population with Long-Term Health Problem or Disability by Age</w:t>
      </w:r>
    </w:p>
    <w:p w14:paraId="2EAADC3D" w14:textId="77777777" w:rsidR="00360825" w:rsidRPr="00DE1AA1" w:rsidRDefault="00360825" w:rsidP="00360825">
      <w:pPr>
        <w:spacing w:after="0" w:line="240" w:lineRule="auto"/>
        <w:jc w:val="left"/>
        <w:rPr>
          <w:rFonts w:ascii="Arial" w:hAnsi="Arial" w:cs="Arial"/>
        </w:rPr>
      </w:pPr>
      <w:r w:rsidRPr="00D556DB">
        <w:rPr>
          <w:rFonts w:ascii="Arial" w:hAnsi="Arial" w:cs="Arial"/>
          <w:noProof/>
        </w:rPr>
        <w:drawing>
          <wp:inline distT="0" distB="0" distL="0" distR="0" wp14:anchorId="6822855E" wp14:editId="7D9FE158">
            <wp:extent cx="5575300" cy="2895600"/>
            <wp:effectExtent l="0" t="0" r="6350" b="0"/>
            <wp:docPr id="35" name="Chart 35" descr="The figure shows the age bands of people with a LTHPD. It is clear from this analysis that those people in the oldest age bands are more likely to have a LTHPD. &#10;&#10;The analysis also typically shows lower levels of LTHPD in each age band within Chichester when compared with the regional and national posi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BCFEA26"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2011 Census</w:t>
      </w:r>
    </w:p>
    <w:p w14:paraId="2256936A"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figure below shows the proportion of the population aged 65 and over with a LTHPD by sub-area. This shows some notable differences, from 37% of the population in the Plan Area North, up to 47.5% in the Manhood Peninsula.</w:t>
      </w:r>
    </w:p>
    <w:p w14:paraId="6E621AA7" w14:textId="77777777" w:rsidR="00360825" w:rsidRPr="00DE1AA1" w:rsidRDefault="00360825" w:rsidP="001A7584">
      <w:pPr>
        <w:pStyle w:val="Heading4"/>
        <w:ind w:firstLine="0"/>
      </w:pPr>
      <w:r w:rsidRPr="00DE1AA1">
        <w:lastRenderedPageBreak/>
        <w:t>Proportion of population aged 65 and over with a Long-Term Health Problem or Disability – Chichester – sub-areas</w:t>
      </w:r>
    </w:p>
    <w:p w14:paraId="44A56E01" w14:textId="77777777" w:rsidR="00360825" w:rsidRPr="00DE1AA1" w:rsidRDefault="00360825" w:rsidP="00360825">
      <w:pPr>
        <w:spacing w:after="0" w:line="240" w:lineRule="auto"/>
        <w:jc w:val="left"/>
        <w:rPr>
          <w:rFonts w:ascii="Arial" w:hAnsi="Arial" w:cs="Arial"/>
        </w:rPr>
      </w:pPr>
      <w:r w:rsidRPr="00D556DB">
        <w:rPr>
          <w:rFonts w:ascii="Arial" w:hAnsi="Arial" w:cs="Arial"/>
          <w:noProof/>
          <w:shd w:val="clear" w:color="auto" w:fill="222C56"/>
        </w:rPr>
        <w:drawing>
          <wp:inline distT="0" distB="0" distL="0" distR="0" wp14:anchorId="72AC02EF" wp14:editId="11621D1D">
            <wp:extent cx="5575300" cy="3028544"/>
            <wp:effectExtent l="0" t="0" r="6350" b="635"/>
            <wp:docPr id="34" name="Chart 34" descr="The figure below shows the proportion of the population aged 65 and over with a LTHPD by sub-area. &#10;&#10;This shows some notable differences, from 37% of the population in the Plan Area North, up to 47.5% in the Manhood Peninsula."/>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97A0797"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2011 Census</w:t>
      </w:r>
    </w:p>
    <w:p w14:paraId="7981DC8E"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Health Related Population Projections</w:t>
      </w:r>
    </w:p>
    <w:p w14:paraId="05F73657"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incidence of a range of health conditions is an important component in understanding the potential need for care or support for a growing older population.</w:t>
      </w:r>
    </w:p>
    <w:p w14:paraId="77EC59BB"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analysis undertaken covers both younger and older age groups and draws on prevalence rates from the PANSI (</w:t>
      </w:r>
      <w:r w:rsidRPr="00D556DB">
        <w:rPr>
          <w:rFonts w:ascii="Arial" w:hAnsi="Arial" w:cs="Arial"/>
          <w:shd w:val="clear" w:color="auto" w:fill="FFFFFF"/>
        </w:rPr>
        <w:t>Projecting Adult Needs and Service Information) and POPPI (Projecting Older People Population Information) websites. Adjustments have been made to take account of the age specific health/disabilities previously shown.</w:t>
      </w:r>
    </w:p>
    <w:p w14:paraId="413B48A1"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shd w:val="clear" w:color="auto" w:fill="FFFFFF"/>
        </w:rPr>
        <w:t>Of particular note are the large increases in the number of older people with dementia (increasing by 58% from 2021 to 2039 and mobility problems (up 51% over the same period). Changes for younger age groups are smaller, reflecting the fact that projections are expecting older age groups to see the greatest proportional increases in population.</w:t>
      </w:r>
      <w:r w:rsidRPr="00D556DB">
        <w:rPr>
          <w:rFonts w:ascii="Arial" w:hAnsi="Arial" w:cs="Arial"/>
        </w:rPr>
        <w:t xml:space="preserve"> When related back to the total projected change to the population, the increase of people aged 65+ with a mobility problem represents 13% of total projected population growth.</w:t>
      </w:r>
    </w:p>
    <w:p w14:paraId="1A5E1F55"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It should be noted that there will be an overlap between categories (i.e. some people will have both dementia and mobility problems). Hence the numbers for each of the illnesses/disabilities should not be added together to arrive at a total.</w:t>
      </w:r>
    </w:p>
    <w:p w14:paraId="27E4C75D" w14:textId="77777777" w:rsidR="00360825" w:rsidRPr="00D556DB" w:rsidRDefault="00360825" w:rsidP="001A7584">
      <w:pPr>
        <w:pStyle w:val="Heading4"/>
        <w:ind w:firstLine="0"/>
        <w:rPr>
          <w:color w:val="808080" w:themeColor="background1" w:themeShade="80"/>
        </w:rPr>
      </w:pPr>
      <w:r w:rsidRPr="00472D63">
        <w:lastRenderedPageBreak/>
        <w:t>Projected</w:t>
      </w:r>
      <w:r w:rsidRPr="00D556DB">
        <w:t xml:space="preserve"> Changes to Population with a Range of Disabilities – Chichester Plan Area (linked to 638 dpa outside SDNP)</w:t>
      </w:r>
    </w:p>
    <w:tbl>
      <w:tblPr>
        <w:tblW w:w="5000" w:type="pct"/>
        <w:tblLayout w:type="fixed"/>
        <w:tblLook w:val="04A0" w:firstRow="1" w:lastRow="0" w:firstColumn="1" w:lastColumn="0" w:noHBand="0" w:noVBand="1"/>
      </w:tblPr>
      <w:tblGrid>
        <w:gridCol w:w="2369"/>
        <w:gridCol w:w="1281"/>
        <w:gridCol w:w="1282"/>
        <w:gridCol w:w="1281"/>
        <w:gridCol w:w="1282"/>
        <w:gridCol w:w="1282"/>
      </w:tblGrid>
      <w:tr w:rsidR="00360825" w:rsidRPr="001C6405" w14:paraId="3CE55357" w14:textId="77777777" w:rsidTr="00C04569">
        <w:tc>
          <w:tcPr>
            <w:tcW w:w="2369" w:type="dxa"/>
            <w:tcBorders>
              <w:top w:val="single" w:sz="4" w:space="0" w:color="auto"/>
              <w:left w:val="single" w:sz="4" w:space="0" w:color="auto"/>
              <w:bottom w:val="single" w:sz="4" w:space="0" w:color="auto"/>
              <w:right w:val="single" w:sz="4" w:space="0" w:color="auto"/>
            </w:tcBorders>
            <w:shd w:val="clear" w:color="auto" w:fill="002060"/>
            <w:hideMark/>
          </w:tcPr>
          <w:p w14:paraId="0EC0F934" w14:textId="77777777" w:rsidR="00360825" w:rsidRPr="00D556DB" w:rsidRDefault="00360825" w:rsidP="00C04569">
            <w:pPr>
              <w:pStyle w:val="BodyText"/>
              <w:keepNext/>
              <w:numPr>
                <w:ilvl w:val="0"/>
                <w:numId w:val="0"/>
              </w:numPr>
              <w:tabs>
                <w:tab w:val="left" w:pos="720"/>
              </w:tabs>
              <w:spacing w:before="60" w:after="60" w:line="300" w:lineRule="auto"/>
              <w:rPr>
                <w:rFonts w:ascii="Arial" w:hAnsi="Arial" w:cs="Arial"/>
                <w:bCs/>
              </w:rPr>
            </w:pPr>
            <w:r w:rsidRPr="00D556DB">
              <w:rPr>
                <w:rFonts w:ascii="Arial" w:hAnsi="Arial" w:cs="Arial"/>
                <w:bCs/>
              </w:rPr>
              <w:t>Disability</w:t>
            </w:r>
          </w:p>
        </w:tc>
        <w:tc>
          <w:tcPr>
            <w:tcW w:w="128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24FF22"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Age Range</w:t>
            </w:r>
          </w:p>
        </w:tc>
        <w:tc>
          <w:tcPr>
            <w:tcW w:w="128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25C7A84"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2021</w:t>
            </w:r>
          </w:p>
        </w:tc>
        <w:tc>
          <w:tcPr>
            <w:tcW w:w="128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0D4F883"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2039</w:t>
            </w:r>
          </w:p>
        </w:tc>
        <w:tc>
          <w:tcPr>
            <w:tcW w:w="128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54E9C45"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Change</w:t>
            </w:r>
          </w:p>
        </w:tc>
        <w:tc>
          <w:tcPr>
            <w:tcW w:w="128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3CDE55F"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 Change</w:t>
            </w:r>
          </w:p>
        </w:tc>
      </w:tr>
      <w:tr w:rsidR="00360825" w:rsidRPr="001C6405" w14:paraId="15A4A1A4" w14:textId="77777777" w:rsidTr="00C04569">
        <w:tc>
          <w:tcPr>
            <w:tcW w:w="2369" w:type="dxa"/>
            <w:tcBorders>
              <w:top w:val="single" w:sz="4" w:space="0" w:color="auto"/>
              <w:left w:val="single" w:sz="4" w:space="0" w:color="auto"/>
              <w:bottom w:val="single" w:sz="4" w:space="0" w:color="auto"/>
              <w:right w:val="single" w:sz="4" w:space="0" w:color="auto"/>
            </w:tcBorders>
            <w:hideMark/>
          </w:tcPr>
          <w:p w14:paraId="44BB04C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Dementia</w:t>
            </w:r>
          </w:p>
        </w:tc>
        <w:tc>
          <w:tcPr>
            <w:tcW w:w="1281" w:type="dxa"/>
            <w:tcBorders>
              <w:top w:val="single" w:sz="4" w:space="0" w:color="auto"/>
              <w:left w:val="single" w:sz="4" w:space="0" w:color="auto"/>
              <w:bottom w:val="single" w:sz="4" w:space="0" w:color="auto"/>
              <w:right w:val="single" w:sz="4" w:space="0" w:color="auto"/>
            </w:tcBorders>
            <w:vAlign w:val="center"/>
            <w:hideMark/>
          </w:tcPr>
          <w:p w14:paraId="55B212E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65+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2B8C7AB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2,132</w:t>
            </w:r>
          </w:p>
        </w:tc>
        <w:tc>
          <w:tcPr>
            <w:tcW w:w="1281" w:type="dxa"/>
            <w:tcBorders>
              <w:top w:val="single" w:sz="4" w:space="0" w:color="auto"/>
              <w:left w:val="single" w:sz="4" w:space="0" w:color="auto"/>
              <w:bottom w:val="single" w:sz="4" w:space="0" w:color="auto"/>
              <w:right w:val="single" w:sz="4" w:space="0" w:color="auto"/>
            </w:tcBorders>
            <w:vAlign w:val="center"/>
            <w:hideMark/>
          </w:tcPr>
          <w:p w14:paraId="474BB06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3,377</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DBBC3B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1,246</w:t>
            </w:r>
          </w:p>
        </w:tc>
        <w:tc>
          <w:tcPr>
            <w:tcW w:w="1282" w:type="dxa"/>
            <w:tcBorders>
              <w:top w:val="single" w:sz="4" w:space="0" w:color="auto"/>
              <w:left w:val="single" w:sz="4" w:space="0" w:color="auto"/>
              <w:bottom w:val="single" w:sz="4" w:space="0" w:color="auto"/>
              <w:right w:val="single" w:sz="4" w:space="0" w:color="auto"/>
            </w:tcBorders>
            <w:vAlign w:val="center"/>
            <w:hideMark/>
          </w:tcPr>
          <w:p w14:paraId="67507BA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58.4%</w:t>
            </w:r>
          </w:p>
        </w:tc>
      </w:tr>
      <w:tr w:rsidR="00360825" w:rsidRPr="001C6405" w14:paraId="708A8875" w14:textId="77777777" w:rsidTr="00C04569">
        <w:tc>
          <w:tcPr>
            <w:tcW w:w="2369" w:type="dxa"/>
            <w:tcBorders>
              <w:top w:val="single" w:sz="4" w:space="0" w:color="auto"/>
              <w:left w:val="single" w:sz="4" w:space="0" w:color="auto"/>
              <w:bottom w:val="single" w:sz="4" w:space="0" w:color="auto"/>
              <w:right w:val="single" w:sz="4" w:space="0" w:color="auto"/>
            </w:tcBorders>
            <w:hideMark/>
          </w:tcPr>
          <w:p w14:paraId="67D9E09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Mobility problems</w:t>
            </w:r>
          </w:p>
        </w:tc>
        <w:tc>
          <w:tcPr>
            <w:tcW w:w="1281" w:type="dxa"/>
            <w:tcBorders>
              <w:top w:val="single" w:sz="4" w:space="0" w:color="auto"/>
              <w:left w:val="single" w:sz="4" w:space="0" w:color="auto"/>
              <w:bottom w:val="single" w:sz="4" w:space="0" w:color="auto"/>
              <w:right w:val="single" w:sz="4" w:space="0" w:color="auto"/>
            </w:tcBorders>
            <w:vAlign w:val="center"/>
            <w:hideMark/>
          </w:tcPr>
          <w:p w14:paraId="2C8A4D7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65+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50CB6A3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5,493</w:t>
            </w:r>
          </w:p>
        </w:tc>
        <w:tc>
          <w:tcPr>
            <w:tcW w:w="1281" w:type="dxa"/>
            <w:tcBorders>
              <w:top w:val="single" w:sz="4" w:space="0" w:color="auto"/>
              <w:left w:val="single" w:sz="4" w:space="0" w:color="auto"/>
              <w:bottom w:val="single" w:sz="4" w:space="0" w:color="auto"/>
              <w:right w:val="single" w:sz="4" w:space="0" w:color="auto"/>
            </w:tcBorders>
            <w:vAlign w:val="center"/>
            <w:hideMark/>
          </w:tcPr>
          <w:p w14:paraId="26B65D2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8,278</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D1F87B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2,785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DA6515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50.7%</w:t>
            </w:r>
          </w:p>
        </w:tc>
      </w:tr>
      <w:tr w:rsidR="00360825" w:rsidRPr="001C6405" w14:paraId="2899461A" w14:textId="77777777" w:rsidTr="00C04569">
        <w:trPr>
          <w:trHeight w:val="288"/>
        </w:trPr>
        <w:tc>
          <w:tcPr>
            <w:tcW w:w="2369" w:type="dxa"/>
            <w:vMerge w:val="restart"/>
            <w:tcBorders>
              <w:top w:val="single" w:sz="4" w:space="0" w:color="auto"/>
              <w:left w:val="single" w:sz="4" w:space="0" w:color="auto"/>
              <w:bottom w:val="single" w:sz="4" w:space="0" w:color="auto"/>
              <w:right w:val="single" w:sz="4" w:space="0" w:color="auto"/>
            </w:tcBorders>
            <w:hideMark/>
          </w:tcPr>
          <w:p w14:paraId="0DA1F069" w14:textId="77777777" w:rsidR="00360825" w:rsidRPr="00D556DB" w:rsidRDefault="00360825" w:rsidP="00C04569">
            <w:pPr>
              <w:pStyle w:val="BodyText"/>
              <w:keepNext/>
              <w:numPr>
                <w:ilvl w:val="0"/>
                <w:numId w:val="0"/>
              </w:numPr>
              <w:tabs>
                <w:tab w:val="left" w:pos="720"/>
              </w:tabs>
              <w:spacing w:after="0" w:line="300" w:lineRule="auto"/>
              <w:jc w:val="left"/>
              <w:rPr>
                <w:rFonts w:ascii="Arial" w:hAnsi="Arial" w:cs="Arial"/>
                <w:bCs/>
              </w:rPr>
            </w:pPr>
            <w:r w:rsidRPr="00D556DB">
              <w:rPr>
                <w:rFonts w:ascii="Arial" w:hAnsi="Arial" w:cs="Arial"/>
                <w:bCs/>
                <w:color w:val="000000"/>
              </w:rPr>
              <w:t>Autistic Spectrum Disorders</w:t>
            </w:r>
          </w:p>
        </w:tc>
        <w:tc>
          <w:tcPr>
            <w:tcW w:w="1281" w:type="dxa"/>
            <w:tcBorders>
              <w:top w:val="single" w:sz="4" w:space="0" w:color="auto"/>
              <w:left w:val="single" w:sz="4" w:space="0" w:color="auto"/>
              <w:bottom w:val="single" w:sz="4" w:space="0" w:color="auto"/>
              <w:right w:val="single" w:sz="4" w:space="0" w:color="auto"/>
            </w:tcBorders>
            <w:vAlign w:val="center"/>
            <w:hideMark/>
          </w:tcPr>
          <w:p w14:paraId="1890A20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18-64</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FA4644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486</w:t>
            </w:r>
          </w:p>
        </w:tc>
        <w:tc>
          <w:tcPr>
            <w:tcW w:w="1281" w:type="dxa"/>
            <w:tcBorders>
              <w:top w:val="single" w:sz="4" w:space="0" w:color="auto"/>
              <w:left w:val="single" w:sz="4" w:space="0" w:color="auto"/>
              <w:bottom w:val="single" w:sz="4" w:space="0" w:color="auto"/>
              <w:right w:val="single" w:sz="4" w:space="0" w:color="auto"/>
            </w:tcBorders>
            <w:vAlign w:val="center"/>
            <w:hideMark/>
          </w:tcPr>
          <w:p w14:paraId="60A8803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533</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B4B984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47</w:t>
            </w:r>
          </w:p>
        </w:tc>
        <w:tc>
          <w:tcPr>
            <w:tcW w:w="1282" w:type="dxa"/>
            <w:tcBorders>
              <w:top w:val="single" w:sz="4" w:space="0" w:color="auto"/>
              <w:left w:val="single" w:sz="4" w:space="0" w:color="auto"/>
              <w:bottom w:val="single" w:sz="4" w:space="0" w:color="auto"/>
              <w:right w:val="single" w:sz="4" w:space="0" w:color="auto"/>
            </w:tcBorders>
            <w:vAlign w:val="center"/>
            <w:hideMark/>
          </w:tcPr>
          <w:p w14:paraId="5E1D642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9.8%</w:t>
            </w:r>
          </w:p>
        </w:tc>
      </w:tr>
      <w:tr w:rsidR="00360825" w:rsidRPr="001C6405" w14:paraId="6F223AD3" w14:textId="77777777" w:rsidTr="00C04569">
        <w:trPr>
          <w:trHeight w:val="288"/>
        </w:trPr>
        <w:tc>
          <w:tcPr>
            <w:tcW w:w="2369" w:type="dxa"/>
            <w:vMerge/>
            <w:tcBorders>
              <w:top w:val="single" w:sz="4" w:space="0" w:color="auto"/>
              <w:left w:val="single" w:sz="4" w:space="0" w:color="auto"/>
              <w:bottom w:val="single" w:sz="4" w:space="0" w:color="auto"/>
              <w:right w:val="single" w:sz="4" w:space="0" w:color="auto"/>
            </w:tcBorders>
            <w:vAlign w:val="center"/>
            <w:hideMark/>
          </w:tcPr>
          <w:p w14:paraId="1B2323EC" w14:textId="77777777" w:rsidR="00360825" w:rsidRPr="00D556DB" w:rsidRDefault="00360825" w:rsidP="00C04569">
            <w:pPr>
              <w:spacing w:after="0" w:line="240" w:lineRule="auto"/>
              <w:jc w:val="left"/>
              <w:rPr>
                <w:rFonts w:ascii="Arial" w:hAnsi="Arial" w:cs="Arial"/>
                <w:bCs/>
              </w:rPr>
            </w:pPr>
          </w:p>
        </w:tc>
        <w:tc>
          <w:tcPr>
            <w:tcW w:w="1281" w:type="dxa"/>
            <w:tcBorders>
              <w:top w:val="single" w:sz="4" w:space="0" w:color="auto"/>
              <w:left w:val="single" w:sz="4" w:space="0" w:color="auto"/>
              <w:bottom w:val="single" w:sz="4" w:space="0" w:color="auto"/>
              <w:right w:val="single" w:sz="4" w:space="0" w:color="auto"/>
            </w:tcBorders>
            <w:vAlign w:val="center"/>
            <w:hideMark/>
          </w:tcPr>
          <w:p w14:paraId="2E25CB5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65+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AF74BD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265</w:t>
            </w:r>
          </w:p>
        </w:tc>
        <w:tc>
          <w:tcPr>
            <w:tcW w:w="1281" w:type="dxa"/>
            <w:tcBorders>
              <w:top w:val="single" w:sz="4" w:space="0" w:color="auto"/>
              <w:left w:val="single" w:sz="4" w:space="0" w:color="auto"/>
              <w:bottom w:val="single" w:sz="4" w:space="0" w:color="auto"/>
              <w:right w:val="single" w:sz="4" w:space="0" w:color="auto"/>
            </w:tcBorders>
            <w:vAlign w:val="center"/>
            <w:hideMark/>
          </w:tcPr>
          <w:p w14:paraId="7C25FCA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384</w:t>
            </w:r>
          </w:p>
        </w:tc>
        <w:tc>
          <w:tcPr>
            <w:tcW w:w="1282" w:type="dxa"/>
            <w:tcBorders>
              <w:top w:val="single" w:sz="4" w:space="0" w:color="auto"/>
              <w:left w:val="single" w:sz="4" w:space="0" w:color="auto"/>
              <w:bottom w:val="single" w:sz="4" w:space="0" w:color="auto"/>
              <w:right w:val="single" w:sz="4" w:space="0" w:color="auto"/>
            </w:tcBorders>
            <w:vAlign w:val="center"/>
            <w:hideMark/>
          </w:tcPr>
          <w:p w14:paraId="585B7D3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119</w:t>
            </w:r>
          </w:p>
        </w:tc>
        <w:tc>
          <w:tcPr>
            <w:tcW w:w="1282" w:type="dxa"/>
            <w:tcBorders>
              <w:top w:val="single" w:sz="4" w:space="0" w:color="auto"/>
              <w:left w:val="single" w:sz="4" w:space="0" w:color="auto"/>
              <w:bottom w:val="single" w:sz="4" w:space="0" w:color="auto"/>
              <w:right w:val="single" w:sz="4" w:space="0" w:color="auto"/>
            </w:tcBorders>
            <w:vAlign w:val="center"/>
            <w:hideMark/>
          </w:tcPr>
          <w:p w14:paraId="48E0B23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44.7%</w:t>
            </w:r>
          </w:p>
        </w:tc>
      </w:tr>
      <w:tr w:rsidR="00360825" w:rsidRPr="001C6405" w14:paraId="3DCF225B" w14:textId="77777777" w:rsidTr="00C04569">
        <w:trPr>
          <w:trHeight w:val="174"/>
        </w:trPr>
        <w:tc>
          <w:tcPr>
            <w:tcW w:w="2369" w:type="dxa"/>
            <w:vMerge w:val="restart"/>
            <w:tcBorders>
              <w:top w:val="single" w:sz="4" w:space="0" w:color="auto"/>
              <w:left w:val="single" w:sz="4" w:space="0" w:color="auto"/>
              <w:bottom w:val="single" w:sz="4" w:space="0" w:color="auto"/>
              <w:right w:val="single" w:sz="4" w:space="0" w:color="auto"/>
            </w:tcBorders>
            <w:hideMark/>
          </w:tcPr>
          <w:p w14:paraId="0F37B61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color w:val="000000"/>
              </w:rPr>
              <w:t>Learning Disabilities</w:t>
            </w:r>
          </w:p>
        </w:tc>
        <w:tc>
          <w:tcPr>
            <w:tcW w:w="1281" w:type="dxa"/>
            <w:tcBorders>
              <w:top w:val="single" w:sz="4" w:space="0" w:color="auto"/>
              <w:left w:val="single" w:sz="4" w:space="0" w:color="auto"/>
              <w:bottom w:val="single" w:sz="4" w:space="0" w:color="auto"/>
              <w:right w:val="single" w:sz="4" w:space="0" w:color="auto"/>
            </w:tcBorders>
            <w:vAlign w:val="center"/>
            <w:hideMark/>
          </w:tcPr>
          <w:p w14:paraId="6751CA4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15-64</w:t>
            </w:r>
          </w:p>
        </w:tc>
        <w:tc>
          <w:tcPr>
            <w:tcW w:w="1282" w:type="dxa"/>
            <w:tcBorders>
              <w:top w:val="single" w:sz="4" w:space="0" w:color="auto"/>
              <w:left w:val="single" w:sz="4" w:space="0" w:color="auto"/>
              <w:bottom w:val="single" w:sz="4" w:space="0" w:color="auto"/>
              <w:right w:val="single" w:sz="4" w:space="0" w:color="auto"/>
            </w:tcBorders>
            <w:vAlign w:val="center"/>
            <w:hideMark/>
          </w:tcPr>
          <w:p w14:paraId="47C8EC0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1,279</w:t>
            </w:r>
          </w:p>
        </w:tc>
        <w:tc>
          <w:tcPr>
            <w:tcW w:w="1281" w:type="dxa"/>
            <w:tcBorders>
              <w:top w:val="single" w:sz="4" w:space="0" w:color="auto"/>
              <w:left w:val="single" w:sz="4" w:space="0" w:color="auto"/>
              <w:bottom w:val="single" w:sz="4" w:space="0" w:color="auto"/>
              <w:right w:val="single" w:sz="4" w:space="0" w:color="auto"/>
            </w:tcBorders>
            <w:vAlign w:val="center"/>
            <w:hideMark/>
          </w:tcPr>
          <w:p w14:paraId="02141FF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1,402</w:t>
            </w:r>
          </w:p>
        </w:tc>
        <w:tc>
          <w:tcPr>
            <w:tcW w:w="1282" w:type="dxa"/>
            <w:tcBorders>
              <w:top w:val="single" w:sz="4" w:space="0" w:color="auto"/>
              <w:left w:val="single" w:sz="4" w:space="0" w:color="auto"/>
              <w:bottom w:val="single" w:sz="4" w:space="0" w:color="auto"/>
              <w:right w:val="single" w:sz="4" w:space="0" w:color="auto"/>
            </w:tcBorders>
            <w:vAlign w:val="center"/>
            <w:hideMark/>
          </w:tcPr>
          <w:p w14:paraId="591B02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123</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C3CA69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9.6%</w:t>
            </w:r>
          </w:p>
        </w:tc>
      </w:tr>
      <w:tr w:rsidR="00360825" w:rsidRPr="001C6405" w14:paraId="750FC105" w14:textId="77777777" w:rsidTr="00C04569">
        <w:trPr>
          <w:trHeight w:val="174"/>
        </w:trPr>
        <w:tc>
          <w:tcPr>
            <w:tcW w:w="2369" w:type="dxa"/>
            <w:vMerge/>
            <w:tcBorders>
              <w:top w:val="single" w:sz="4" w:space="0" w:color="auto"/>
              <w:left w:val="single" w:sz="4" w:space="0" w:color="auto"/>
              <w:bottom w:val="single" w:sz="4" w:space="0" w:color="auto"/>
              <w:right w:val="single" w:sz="4" w:space="0" w:color="auto"/>
            </w:tcBorders>
            <w:vAlign w:val="center"/>
            <w:hideMark/>
          </w:tcPr>
          <w:p w14:paraId="4E65C584" w14:textId="77777777" w:rsidR="00360825" w:rsidRPr="00D556DB" w:rsidRDefault="00360825" w:rsidP="00C04569">
            <w:pPr>
              <w:spacing w:after="0" w:line="240" w:lineRule="auto"/>
              <w:jc w:val="left"/>
              <w:rPr>
                <w:rFonts w:ascii="Arial" w:hAnsi="Arial" w:cs="Arial"/>
                <w:bCs/>
              </w:rPr>
            </w:pPr>
          </w:p>
        </w:tc>
        <w:tc>
          <w:tcPr>
            <w:tcW w:w="1281" w:type="dxa"/>
            <w:tcBorders>
              <w:top w:val="single" w:sz="4" w:space="0" w:color="auto"/>
              <w:left w:val="single" w:sz="4" w:space="0" w:color="auto"/>
              <w:bottom w:val="single" w:sz="4" w:space="0" w:color="auto"/>
              <w:right w:val="single" w:sz="4" w:space="0" w:color="auto"/>
            </w:tcBorders>
            <w:vAlign w:val="center"/>
            <w:hideMark/>
          </w:tcPr>
          <w:p w14:paraId="3157253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65+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73C1ED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597</w:t>
            </w:r>
          </w:p>
        </w:tc>
        <w:tc>
          <w:tcPr>
            <w:tcW w:w="1281" w:type="dxa"/>
            <w:tcBorders>
              <w:top w:val="single" w:sz="4" w:space="0" w:color="auto"/>
              <w:left w:val="single" w:sz="4" w:space="0" w:color="auto"/>
              <w:bottom w:val="single" w:sz="4" w:space="0" w:color="auto"/>
              <w:right w:val="single" w:sz="4" w:space="0" w:color="auto"/>
            </w:tcBorders>
            <w:vAlign w:val="center"/>
            <w:hideMark/>
          </w:tcPr>
          <w:p w14:paraId="58776F0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845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8EC1CD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248</w:t>
            </w:r>
          </w:p>
        </w:tc>
        <w:tc>
          <w:tcPr>
            <w:tcW w:w="1282" w:type="dxa"/>
            <w:tcBorders>
              <w:top w:val="single" w:sz="4" w:space="0" w:color="auto"/>
              <w:left w:val="single" w:sz="4" w:space="0" w:color="auto"/>
              <w:bottom w:val="single" w:sz="4" w:space="0" w:color="auto"/>
              <w:right w:val="single" w:sz="4" w:space="0" w:color="auto"/>
            </w:tcBorders>
            <w:vAlign w:val="center"/>
            <w:hideMark/>
          </w:tcPr>
          <w:p w14:paraId="151C2DA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41.5%</w:t>
            </w:r>
          </w:p>
        </w:tc>
      </w:tr>
      <w:tr w:rsidR="00360825" w:rsidRPr="001C6405" w14:paraId="646C3069" w14:textId="77777777" w:rsidTr="00C04569">
        <w:tc>
          <w:tcPr>
            <w:tcW w:w="2369" w:type="dxa"/>
            <w:tcBorders>
              <w:top w:val="single" w:sz="4" w:space="0" w:color="auto"/>
              <w:left w:val="single" w:sz="4" w:space="0" w:color="auto"/>
              <w:bottom w:val="single" w:sz="4" w:space="0" w:color="auto"/>
              <w:right w:val="single" w:sz="4" w:space="0" w:color="auto"/>
            </w:tcBorders>
            <w:hideMark/>
          </w:tcPr>
          <w:p w14:paraId="786CD1D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color w:val="000000"/>
              </w:rPr>
              <w:t>Challenging behaviour</w:t>
            </w:r>
          </w:p>
        </w:tc>
        <w:tc>
          <w:tcPr>
            <w:tcW w:w="1281" w:type="dxa"/>
            <w:tcBorders>
              <w:top w:val="single" w:sz="4" w:space="0" w:color="auto"/>
              <w:left w:val="single" w:sz="4" w:space="0" w:color="auto"/>
              <w:bottom w:val="single" w:sz="4" w:space="0" w:color="auto"/>
              <w:right w:val="single" w:sz="4" w:space="0" w:color="auto"/>
            </w:tcBorders>
            <w:vAlign w:val="center"/>
            <w:hideMark/>
          </w:tcPr>
          <w:p w14:paraId="01BB8DE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15-64</w:t>
            </w:r>
          </w:p>
        </w:tc>
        <w:tc>
          <w:tcPr>
            <w:tcW w:w="1282" w:type="dxa"/>
            <w:tcBorders>
              <w:top w:val="single" w:sz="4" w:space="0" w:color="auto"/>
              <w:left w:val="single" w:sz="4" w:space="0" w:color="auto"/>
              <w:bottom w:val="single" w:sz="4" w:space="0" w:color="auto"/>
              <w:right w:val="single" w:sz="4" w:space="0" w:color="auto"/>
            </w:tcBorders>
            <w:vAlign w:val="center"/>
            <w:hideMark/>
          </w:tcPr>
          <w:p w14:paraId="133FE4E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24</w:t>
            </w:r>
          </w:p>
        </w:tc>
        <w:tc>
          <w:tcPr>
            <w:tcW w:w="1281" w:type="dxa"/>
            <w:tcBorders>
              <w:top w:val="single" w:sz="4" w:space="0" w:color="auto"/>
              <w:left w:val="single" w:sz="4" w:space="0" w:color="auto"/>
              <w:bottom w:val="single" w:sz="4" w:space="0" w:color="auto"/>
              <w:right w:val="single" w:sz="4" w:space="0" w:color="auto"/>
            </w:tcBorders>
            <w:vAlign w:val="center"/>
            <w:hideMark/>
          </w:tcPr>
          <w:p w14:paraId="153D7A2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26</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2838A1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B55C4D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9.1%</w:t>
            </w:r>
          </w:p>
        </w:tc>
      </w:tr>
      <w:tr w:rsidR="00360825" w:rsidRPr="001C6405" w14:paraId="6DF506F9" w14:textId="77777777" w:rsidTr="00C04569">
        <w:tc>
          <w:tcPr>
            <w:tcW w:w="2369" w:type="dxa"/>
            <w:tcBorders>
              <w:top w:val="single" w:sz="4" w:space="0" w:color="auto"/>
              <w:left w:val="single" w:sz="4" w:space="0" w:color="auto"/>
              <w:bottom w:val="single" w:sz="4" w:space="0" w:color="auto"/>
              <w:right w:val="single" w:sz="4" w:space="0" w:color="auto"/>
            </w:tcBorders>
            <w:hideMark/>
          </w:tcPr>
          <w:p w14:paraId="258A059C"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color w:val="000000"/>
              </w:rPr>
              <w:t>Impaired mobility</w:t>
            </w:r>
          </w:p>
        </w:tc>
        <w:tc>
          <w:tcPr>
            <w:tcW w:w="1281" w:type="dxa"/>
            <w:tcBorders>
              <w:top w:val="single" w:sz="4" w:space="0" w:color="auto"/>
              <w:left w:val="single" w:sz="4" w:space="0" w:color="auto"/>
              <w:bottom w:val="single" w:sz="4" w:space="0" w:color="auto"/>
              <w:right w:val="single" w:sz="4" w:space="0" w:color="auto"/>
            </w:tcBorders>
            <w:vAlign w:val="center"/>
            <w:hideMark/>
          </w:tcPr>
          <w:p w14:paraId="3B0606D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16-64</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1423A4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3,172</w:t>
            </w:r>
          </w:p>
        </w:tc>
        <w:tc>
          <w:tcPr>
            <w:tcW w:w="1281" w:type="dxa"/>
            <w:tcBorders>
              <w:top w:val="single" w:sz="4" w:space="0" w:color="auto"/>
              <w:left w:val="single" w:sz="4" w:space="0" w:color="auto"/>
              <w:bottom w:val="single" w:sz="4" w:space="0" w:color="auto"/>
              <w:right w:val="single" w:sz="4" w:space="0" w:color="auto"/>
            </w:tcBorders>
            <w:vAlign w:val="center"/>
            <w:hideMark/>
          </w:tcPr>
          <w:p w14:paraId="14C2A88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3,197</w:t>
            </w:r>
          </w:p>
        </w:tc>
        <w:tc>
          <w:tcPr>
            <w:tcW w:w="1282" w:type="dxa"/>
            <w:tcBorders>
              <w:top w:val="single" w:sz="4" w:space="0" w:color="auto"/>
              <w:left w:val="single" w:sz="4" w:space="0" w:color="auto"/>
              <w:bottom w:val="single" w:sz="4" w:space="0" w:color="auto"/>
              <w:right w:val="single" w:sz="4" w:space="0" w:color="auto"/>
            </w:tcBorders>
            <w:vAlign w:val="center"/>
            <w:hideMark/>
          </w:tcPr>
          <w:p w14:paraId="0AC760A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1DD420A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0.8%</w:t>
            </w:r>
          </w:p>
        </w:tc>
      </w:tr>
    </w:tbl>
    <w:p w14:paraId="6C195EAA"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POPPI/PANSI and Demographic Projections</w:t>
      </w:r>
    </w:p>
    <w:p w14:paraId="2451824A" w14:textId="77777777" w:rsidR="00360825" w:rsidRPr="00D556DB" w:rsidRDefault="00360825" w:rsidP="001A7584">
      <w:pPr>
        <w:pStyle w:val="BodyText"/>
        <w:numPr>
          <w:ilvl w:val="1"/>
          <w:numId w:val="6"/>
        </w:numPr>
        <w:ind w:left="0" w:hanging="709"/>
        <w:rPr>
          <w:rFonts w:ascii="Arial" w:hAnsi="Arial" w:cs="Arial"/>
        </w:rPr>
      </w:pPr>
      <w:bookmarkStart w:id="43" w:name="_Hlk57124271"/>
      <w:r w:rsidRPr="00D556DB">
        <w:rPr>
          <w:rFonts w:ascii="Arial" w:hAnsi="Arial" w:cs="Arial"/>
        </w:rPr>
        <w:t>Invariably, there will be a combination of those with disabilities and long-term health problems that continue to live at home with family, those who chose to live independently with the possibility of incorporating adaptations into their homes and those who choose to move into supported housing.</w:t>
      </w:r>
    </w:p>
    <w:p w14:paraId="66002553"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projected change shown in the number of people with disabilities provides clear evidence justifying delivering ‘accessible and adaptable’ homes as defined in Part M4(2) of Building Regulations, subject to viability and site suitability. The Council should ensure that the viability of doing so is also tested as part of drawing together its evidence base although</w:t>
      </w:r>
      <w:r w:rsidRPr="00D556DB">
        <w:rPr>
          <w:rFonts w:ascii="Arial" w:hAnsi="Arial" w:cs="Arial"/>
          <w:shd w:val="clear" w:color="auto" w:fill="FFFFFF"/>
        </w:rPr>
        <w:t xml:space="preserve"> the cost of meeting this standard is unlikely to have any significant impact on viability and would potentially provide a greater number of homes that will allow households to remain in the same property for longer.</w:t>
      </w:r>
    </w:p>
    <w:p w14:paraId="2EA4D631"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PPG for Housing for Older and Disabled People [63-006] refers only to specialist housing for older people; however, clearly the local authority should support specialist housing schemes for younger adults which come forward across the plan area.</w:t>
      </w:r>
    </w:p>
    <w:p w14:paraId="04B9E501" w14:textId="77777777" w:rsidR="00360825" w:rsidRPr="00D556DB" w:rsidRDefault="00360825" w:rsidP="001A7584">
      <w:pPr>
        <w:pStyle w:val="BodyText"/>
        <w:numPr>
          <w:ilvl w:val="1"/>
          <w:numId w:val="6"/>
        </w:numPr>
        <w:ind w:left="0" w:hanging="709"/>
        <w:rPr>
          <w:rFonts w:ascii="Arial" w:hAnsi="Arial" w:cs="Arial"/>
        </w:rPr>
      </w:pPr>
      <w:bookmarkStart w:id="44" w:name="_Hlk62562581"/>
      <w:r w:rsidRPr="00D556DB">
        <w:rPr>
          <w:rFonts w:ascii="Arial" w:hAnsi="Arial" w:cs="Arial"/>
        </w:rPr>
        <w:t>The analysis suggests that there is likely to be some increase in the number of younger people (generally those aged 16/18 to 64) with a disability across the study area. There are a range of disabilities that are likely to require some degree of support, or potentially some form of specialised housing solution</w:t>
      </w:r>
      <w:bookmarkEnd w:id="44"/>
      <w:r w:rsidRPr="00D556DB">
        <w:rPr>
          <w:rFonts w:ascii="Arial" w:hAnsi="Arial" w:cs="Arial"/>
        </w:rPr>
        <w:t>.</w:t>
      </w:r>
    </w:p>
    <w:p w14:paraId="6A930A9D"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This report does not seek to be specific about the exact number of units that need to be provided for different groups, nor where such accommodation should be located. Indeed, some types of specialist accommodation might have a wide catchment, and would be suitable for clients from outside of the study area; whilst it is also possible that some people in the area would be placed in accommodation elsewhere.</w:t>
      </w:r>
    </w:p>
    <w:p w14:paraId="260B0C2B"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lastRenderedPageBreak/>
        <w:t>Need for Specialist Accommodation for Older Persons</w:t>
      </w:r>
    </w:p>
    <w:bookmarkEnd w:id="43"/>
    <w:p w14:paraId="10DE8D03"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Given the ageing population and higher levels of disability and health problems amongst older people, there is likely to be an increased requirement for specialist housing options moving forward.</w:t>
      </w:r>
      <w:r w:rsidRPr="00D556DB">
        <w:rPr>
          <w:rFonts w:ascii="Arial" w:hAnsi="Arial" w:cs="Arial"/>
          <w:color w:val="000000"/>
        </w:rPr>
        <w:t xml:space="preserve"> </w:t>
      </w:r>
      <w:r w:rsidRPr="00D556DB">
        <w:rPr>
          <w:rFonts w:ascii="Arial" w:hAnsi="Arial" w:cs="Arial"/>
        </w:rPr>
        <w:t>The box below shows the different types of older persons housing which are considered.</w:t>
      </w:r>
    </w:p>
    <w:tbl>
      <w:tblPr>
        <w:tblW w:w="5000" w:type="pct"/>
        <w:tblLook w:val="04A0" w:firstRow="1" w:lastRow="0" w:firstColumn="1" w:lastColumn="0" w:noHBand="0" w:noVBand="1"/>
      </w:tblPr>
      <w:tblGrid>
        <w:gridCol w:w="8777"/>
      </w:tblGrid>
      <w:tr w:rsidR="00360825" w:rsidRPr="00DE1AA1" w14:paraId="381D78D0" w14:textId="77777777" w:rsidTr="00C04569">
        <w:tc>
          <w:tcPr>
            <w:tcW w:w="5000" w:type="pct"/>
            <w:tcBorders>
              <w:top w:val="single" w:sz="4" w:space="0" w:color="auto"/>
              <w:left w:val="single" w:sz="4" w:space="0" w:color="auto"/>
              <w:bottom w:val="single" w:sz="4" w:space="0" w:color="auto"/>
              <w:right w:val="single" w:sz="4" w:space="0" w:color="auto"/>
            </w:tcBorders>
          </w:tcPr>
          <w:p w14:paraId="44D47931" w14:textId="77777777" w:rsidR="00360825" w:rsidRPr="00D556DB" w:rsidRDefault="00360825" w:rsidP="00C04569">
            <w:pPr>
              <w:keepNext/>
              <w:tabs>
                <w:tab w:val="left" w:pos="720"/>
              </w:tabs>
              <w:spacing w:after="0" w:line="300" w:lineRule="auto"/>
              <w:jc w:val="left"/>
              <w:rPr>
                <w:rFonts w:ascii="Arial" w:hAnsi="Arial" w:cs="Arial"/>
                <w:sz w:val="16"/>
                <w:szCs w:val="16"/>
              </w:rPr>
            </w:pPr>
          </w:p>
          <w:p w14:paraId="263A231F" w14:textId="77777777" w:rsidR="00360825" w:rsidRPr="00D556DB" w:rsidRDefault="00360825" w:rsidP="00C04569">
            <w:pPr>
              <w:keepNext/>
              <w:tabs>
                <w:tab w:val="left" w:pos="720"/>
              </w:tabs>
              <w:spacing w:after="0" w:line="300" w:lineRule="auto"/>
              <w:jc w:val="left"/>
              <w:rPr>
                <w:rFonts w:ascii="Arial" w:hAnsi="Arial" w:cs="Arial"/>
                <w:b/>
              </w:rPr>
            </w:pPr>
            <w:r w:rsidRPr="00D556DB">
              <w:rPr>
                <w:rFonts w:ascii="Arial" w:hAnsi="Arial" w:cs="Arial"/>
                <w:b/>
              </w:rPr>
              <w:t>Definitions of Different Types of Older Persons’ Accommodation</w:t>
            </w:r>
          </w:p>
          <w:p w14:paraId="1F621955" w14:textId="77777777" w:rsidR="00360825" w:rsidRPr="00D556DB" w:rsidRDefault="00360825" w:rsidP="00C04569">
            <w:pPr>
              <w:keepNext/>
              <w:tabs>
                <w:tab w:val="left" w:pos="720"/>
              </w:tabs>
              <w:spacing w:after="0" w:line="300" w:lineRule="auto"/>
              <w:jc w:val="left"/>
              <w:rPr>
                <w:rFonts w:ascii="Arial" w:hAnsi="Arial" w:cs="Arial"/>
                <w:sz w:val="16"/>
                <w:szCs w:val="16"/>
              </w:rPr>
            </w:pPr>
          </w:p>
          <w:p w14:paraId="117286C8"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r w:rsidRPr="00DE1AA1">
              <w:rPr>
                <w:rFonts w:ascii="Arial" w:eastAsiaTheme="minorHAnsi" w:hAnsi="Arial" w:cs="Arial"/>
                <w:b/>
                <w:bCs/>
                <w:sz w:val="16"/>
                <w:szCs w:val="16"/>
              </w:rPr>
              <w:t xml:space="preserve">Age-restricted general market housing: </w:t>
            </w:r>
            <w:r w:rsidRPr="00DE1AA1">
              <w:rPr>
                <w:rFonts w:ascii="Arial" w:eastAsiaTheme="minorHAnsi" w:hAnsi="Arial" w:cs="Arial"/>
                <w:sz w:val="16"/>
                <w:szCs w:val="16"/>
              </w:rPr>
              <w:t>This type of housing is generally for people aged 55 and over and the active elderly. It may include some shared amenities such as communal gardens, but does not include support or care services.</w:t>
            </w:r>
          </w:p>
          <w:p w14:paraId="71A96345" w14:textId="77777777" w:rsidR="00360825" w:rsidRPr="00D556DB" w:rsidRDefault="00360825" w:rsidP="00C04569">
            <w:pPr>
              <w:keepNext/>
              <w:tabs>
                <w:tab w:val="left" w:pos="720"/>
              </w:tabs>
              <w:spacing w:after="0" w:line="300" w:lineRule="auto"/>
              <w:jc w:val="left"/>
              <w:rPr>
                <w:rFonts w:ascii="Arial" w:hAnsi="Arial" w:cs="Arial"/>
                <w:sz w:val="16"/>
                <w:szCs w:val="16"/>
              </w:rPr>
            </w:pPr>
          </w:p>
          <w:p w14:paraId="0A524C40"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r w:rsidRPr="00DE1AA1">
              <w:rPr>
                <w:rFonts w:ascii="Arial" w:hAnsi="Arial" w:cs="Arial"/>
                <w:b/>
                <w:bCs/>
                <w:sz w:val="16"/>
                <w:szCs w:val="16"/>
              </w:rPr>
              <w:t xml:space="preserve">Retirement living or sheltered housing (housing with support): </w:t>
            </w:r>
            <w:r w:rsidRPr="00DE1AA1">
              <w:rPr>
                <w:rFonts w:ascii="Arial" w:hAnsi="Arial" w:cs="Arial"/>
                <w:sz w:val="16"/>
                <w:szCs w:val="16"/>
              </w:rPr>
              <w:t>This usually consists of purpose-built flats or bungalows with limited communal facilities such as a lounge, laundry room and guest room. It does not generally provide care services, but provides some support to enable residents to live independently. This can include 24-hour on-site assistance (alarm) and a warden or house manager.</w:t>
            </w:r>
          </w:p>
          <w:p w14:paraId="1243E23C"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p>
          <w:p w14:paraId="514AC700"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r w:rsidRPr="00DE1AA1">
              <w:rPr>
                <w:rFonts w:ascii="Arial" w:hAnsi="Arial" w:cs="Arial"/>
                <w:b/>
                <w:bCs/>
                <w:sz w:val="16"/>
                <w:szCs w:val="16"/>
              </w:rPr>
              <w:t xml:space="preserve">Extra care housing or housing-with-care (housing with care): </w:t>
            </w:r>
            <w:r w:rsidRPr="00DE1AA1">
              <w:rPr>
                <w:rFonts w:ascii="Arial" w:hAnsi="Arial" w:cs="Arial"/>
                <w:sz w:val="16"/>
                <w:szCs w:val="16"/>
              </w:rPr>
              <w:t>This usually consists of purpose-built or adapted flats or bungalows with a medium to high level of care available if required, through an onsite care agency registered through the Care Quality Commission (CQC). Residents are able to live independently with 24-hour access to support services and staff, and meals are also available. There are often extensive communal areas, such as space to socialise or a wellbeing centre. In some cases, these developments are known as retirement communities or villages - the intention is for residents to benefit from varying levels of care as time progresses.</w:t>
            </w:r>
          </w:p>
          <w:p w14:paraId="3CC13579"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p>
          <w:p w14:paraId="5B2D4111"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r w:rsidRPr="00DE1AA1">
              <w:rPr>
                <w:rFonts w:ascii="Arial" w:hAnsi="Arial" w:cs="Arial"/>
                <w:b/>
                <w:bCs/>
                <w:sz w:val="16"/>
                <w:szCs w:val="16"/>
              </w:rPr>
              <w:t xml:space="preserve">Residential care homes and nursing homes (care bedspaces): </w:t>
            </w:r>
            <w:r w:rsidRPr="00DE1AA1">
              <w:rPr>
                <w:rFonts w:ascii="Arial" w:hAnsi="Arial" w:cs="Arial"/>
                <w:sz w:val="16"/>
                <w:szCs w:val="16"/>
              </w:rPr>
              <w:t>These have individual rooms within a residential building and provide a high level of care meeting all activities of daily living. They do not usually include support services for independent living. This type of housing can also include dementia care homes.</w:t>
            </w:r>
          </w:p>
          <w:p w14:paraId="72260868" w14:textId="77777777" w:rsidR="00360825" w:rsidRPr="00DE1AA1" w:rsidRDefault="00360825" w:rsidP="00C04569">
            <w:pPr>
              <w:keepNext/>
              <w:autoSpaceDE w:val="0"/>
              <w:autoSpaceDN w:val="0"/>
              <w:adjustRightInd w:val="0"/>
              <w:spacing w:after="0" w:line="300" w:lineRule="auto"/>
              <w:rPr>
                <w:rFonts w:ascii="Arial" w:hAnsi="Arial" w:cs="Arial"/>
                <w:sz w:val="16"/>
                <w:szCs w:val="16"/>
                <w:highlight w:val="yellow"/>
              </w:rPr>
            </w:pPr>
          </w:p>
        </w:tc>
      </w:tr>
    </w:tbl>
    <w:p w14:paraId="5DB0A74A"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 xml:space="preserve">Source: </w:t>
      </w:r>
      <w:r w:rsidRPr="00D556DB">
        <w:rPr>
          <w:rFonts w:ascii="Arial" w:eastAsiaTheme="minorHAnsi" w:hAnsi="Arial" w:cs="Arial"/>
          <w:i/>
          <w:iCs/>
          <w:sz w:val="16"/>
          <w:szCs w:val="16"/>
        </w:rPr>
        <w:t>Planning Practice Guidance [63-010]</w:t>
      </w:r>
    </w:p>
    <w:p w14:paraId="5D0EB904"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need for specialist housing for older persons is typically modelled by applying prevalence rates to current and projected population changes and considering the level of existing supply. There is no standard methodology for assessing the housing and care needs of older people. The current and future demand for elderly care is influenced by a host of factors including the balance between demand and supply in any given area and social, political, regulatory and financial issues. Additionally, the extent to which new homes are built to accessible and adaptable standards may over time have an impact on specialist demand (given that older people often want to remain at home rather than move to care) – this will need to be monitored.</w:t>
      </w:r>
    </w:p>
    <w:p w14:paraId="18DCC751"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There are a number of ‘models’ for considering older persons’ needs, but they all essentially work in the same way. The model results are however particularly sensitive to the prevalence rates applied, which are typically calculated as a proportion of people aged over 75 who could be expected to live in different forms of specialist housing. Whilst the population aged 75 and over is used in the modelling, the estimates of need would include people of all ages.</w:t>
      </w:r>
    </w:p>
    <w:p w14:paraId="68D72160"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Whilst there are no definitive rates, the PPG [63-004] notes that </w:t>
      </w:r>
      <w:r w:rsidRPr="00D556DB">
        <w:rPr>
          <w:rFonts w:ascii="Arial" w:hAnsi="Arial" w:cs="Arial"/>
          <w:i/>
          <w:iCs/>
        </w:rPr>
        <w:t xml:space="preserve">‘the future need for specialist accommodation for older people broken down by tenure and type (e.g. sheltered housing, extra care) may need to be assessed and can be obtained from a number of online tool kits provided by the </w:t>
      </w:r>
      <w:r w:rsidRPr="00D556DB">
        <w:rPr>
          <w:rFonts w:ascii="Arial" w:hAnsi="Arial" w:cs="Arial"/>
          <w:i/>
          <w:iCs/>
        </w:rPr>
        <w:lastRenderedPageBreak/>
        <w:t>sector, for example SHOP@ for Older People Analysis Tool)’</w:t>
      </w:r>
      <w:r w:rsidRPr="00D556DB">
        <w:rPr>
          <w:rFonts w:ascii="Arial" w:hAnsi="Arial" w:cs="Arial"/>
        </w:rPr>
        <w:t>. The PPG does not specifically mention any other tools and therefore seems to be indicating that SHOP@ would be a good starting point for analysis. Since the PPG was published the Housing Learning and Information Network (Housing LIN) has removed the Shop@ online toolkit although the base rates used for analysis are known.</w:t>
      </w:r>
    </w:p>
    <w:p w14:paraId="20284D7F"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The SHOP@ tool was originally based on data in a 2008 report (More Choice Greater Voice) and in 2011 a further suggested set of rates was published (rates which were repeated in a 2012 publications). In 2016, Housing LIN published a review document which noted that the 2008 rates are ‘outdated’ but also noting that the rates from 2011/12 were ‘not substantiated’. The 2016 review document therefore set out a series of proposals for new rates to be taken forward onto the Housing LIN website. </w:t>
      </w:r>
    </w:p>
    <w:p w14:paraId="4531D103"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Whilst the 2016 review rates do not appear to have ever led to an update of the website, it does appear from reviewing work by Housing LIN over the past couple of years as if it is these rates which typically inform their own analysis (subject to evidence based localised adjustments).</w:t>
      </w:r>
    </w:p>
    <w:p w14:paraId="232C2BB2"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For clarity, the table below shows the base prevalence rates set out in the various documents described above. For the analysis in this report the age-restricted and retirement/sheltered have been merged into a single category (housing with support) with the middle of the range shown for housing with care forming the base position for analysis.</w:t>
      </w:r>
    </w:p>
    <w:p w14:paraId="709509B4" w14:textId="77777777" w:rsidR="00360825" w:rsidRPr="00D556DB" w:rsidRDefault="00360825" w:rsidP="001A7584">
      <w:pPr>
        <w:pStyle w:val="Heading4"/>
        <w:ind w:firstLine="0"/>
        <w:rPr>
          <w:bCs/>
        </w:rPr>
      </w:pPr>
      <w:r w:rsidRPr="00DE1AA1">
        <w:t>Range of suggested baseline prevalence rates (supply per 1,000 head of population aged over 75) from a number of tools and publications</w:t>
      </w:r>
    </w:p>
    <w:tbl>
      <w:tblPr>
        <w:tblW w:w="5000" w:type="pct"/>
        <w:tblLook w:val="04A0" w:firstRow="1" w:lastRow="0" w:firstColumn="1" w:lastColumn="0" w:noHBand="0" w:noVBand="1"/>
      </w:tblPr>
      <w:tblGrid>
        <w:gridCol w:w="3181"/>
        <w:gridCol w:w="1865"/>
        <w:gridCol w:w="1865"/>
        <w:gridCol w:w="1866"/>
      </w:tblGrid>
      <w:tr w:rsidR="00360825" w:rsidRPr="00DE1AA1" w14:paraId="74C1C357" w14:textId="77777777" w:rsidTr="00C04569">
        <w:tc>
          <w:tcPr>
            <w:tcW w:w="2972" w:type="dxa"/>
            <w:tcBorders>
              <w:top w:val="single" w:sz="4" w:space="0" w:color="auto"/>
              <w:left w:val="single" w:sz="4" w:space="0" w:color="auto"/>
              <w:bottom w:val="single" w:sz="4" w:space="0" w:color="auto"/>
              <w:right w:val="single" w:sz="4" w:space="0" w:color="auto"/>
            </w:tcBorders>
            <w:shd w:val="clear" w:color="auto" w:fill="002060"/>
            <w:hideMark/>
          </w:tcPr>
          <w:p w14:paraId="20A22784"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Type/Rate</w:t>
            </w:r>
          </w:p>
        </w:tc>
        <w:tc>
          <w:tcPr>
            <w:tcW w:w="1742" w:type="dxa"/>
            <w:tcBorders>
              <w:top w:val="single" w:sz="4" w:space="0" w:color="auto"/>
              <w:left w:val="single" w:sz="4" w:space="0" w:color="auto"/>
              <w:bottom w:val="single" w:sz="4" w:space="0" w:color="auto"/>
              <w:right w:val="single" w:sz="4" w:space="0" w:color="auto"/>
            </w:tcBorders>
            <w:shd w:val="clear" w:color="auto" w:fill="002060"/>
            <w:hideMark/>
          </w:tcPr>
          <w:p w14:paraId="07D2C6CD"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SHOP@ (2008)</w:t>
            </w:r>
            <w:r w:rsidRPr="00DE1AA1">
              <w:rPr>
                <w:rStyle w:val="BalloonTextChar"/>
                <w:rFonts w:ascii="Arial" w:eastAsia="MS Mincho" w:hAnsi="Arial" w:cs="Arial"/>
                <w:bCs/>
              </w:rPr>
              <w:footnoteReference w:id="10"/>
            </w:r>
          </w:p>
        </w:tc>
        <w:tc>
          <w:tcPr>
            <w:tcW w:w="1742" w:type="dxa"/>
            <w:tcBorders>
              <w:top w:val="single" w:sz="4" w:space="0" w:color="auto"/>
              <w:left w:val="single" w:sz="4" w:space="0" w:color="auto"/>
              <w:bottom w:val="single" w:sz="4" w:space="0" w:color="auto"/>
              <w:right w:val="single" w:sz="4" w:space="0" w:color="auto"/>
            </w:tcBorders>
            <w:shd w:val="clear" w:color="auto" w:fill="002060"/>
            <w:hideMark/>
          </w:tcPr>
          <w:p w14:paraId="3C2163C4"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 xml:space="preserve">Housing in Later Life (2012) </w:t>
            </w:r>
            <w:r w:rsidRPr="00DE1AA1">
              <w:rPr>
                <w:rStyle w:val="BalloonTextChar"/>
                <w:rFonts w:ascii="Arial" w:eastAsia="MS Mincho" w:hAnsi="Arial" w:cs="Arial"/>
                <w:bCs/>
              </w:rPr>
              <w:footnoteReference w:id="11"/>
            </w:r>
          </w:p>
        </w:tc>
        <w:tc>
          <w:tcPr>
            <w:tcW w:w="1743" w:type="dxa"/>
            <w:tcBorders>
              <w:top w:val="single" w:sz="4" w:space="0" w:color="auto"/>
              <w:left w:val="single" w:sz="4" w:space="0" w:color="auto"/>
              <w:bottom w:val="single" w:sz="4" w:space="0" w:color="auto"/>
              <w:right w:val="single" w:sz="4" w:space="0" w:color="auto"/>
            </w:tcBorders>
            <w:shd w:val="clear" w:color="auto" w:fill="002060"/>
            <w:hideMark/>
          </w:tcPr>
          <w:p w14:paraId="67FD2001"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2016 Housing LIN Review</w:t>
            </w:r>
          </w:p>
        </w:tc>
      </w:tr>
      <w:tr w:rsidR="00360825" w:rsidRPr="00DE1AA1" w14:paraId="64405878"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486FDFE9"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Age-restricted general market housing</w:t>
            </w:r>
          </w:p>
        </w:tc>
        <w:tc>
          <w:tcPr>
            <w:tcW w:w="1742" w:type="dxa"/>
            <w:tcBorders>
              <w:top w:val="single" w:sz="4" w:space="0" w:color="auto"/>
              <w:left w:val="single" w:sz="4" w:space="0" w:color="auto"/>
              <w:bottom w:val="single" w:sz="4" w:space="0" w:color="auto"/>
              <w:right w:val="single" w:sz="4" w:space="0" w:color="auto"/>
            </w:tcBorders>
            <w:hideMark/>
          </w:tcPr>
          <w:p w14:paraId="06EDB880"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w:t>
            </w:r>
          </w:p>
        </w:tc>
        <w:tc>
          <w:tcPr>
            <w:tcW w:w="1742" w:type="dxa"/>
            <w:tcBorders>
              <w:top w:val="single" w:sz="4" w:space="0" w:color="auto"/>
              <w:left w:val="single" w:sz="4" w:space="0" w:color="auto"/>
              <w:bottom w:val="single" w:sz="4" w:space="0" w:color="auto"/>
              <w:right w:val="single" w:sz="4" w:space="0" w:color="auto"/>
            </w:tcBorders>
            <w:hideMark/>
          </w:tcPr>
          <w:p w14:paraId="68CBCB95"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w:t>
            </w:r>
          </w:p>
        </w:tc>
        <w:tc>
          <w:tcPr>
            <w:tcW w:w="1743" w:type="dxa"/>
            <w:tcBorders>
              <w:top w:val="single" w:sz="4" w:space="0" w:color="auto"/>
              <w:left w:val="single" w:sz="4" w:space="0" w:color="auto"/>
              <w:bottom w:val="single" w:sz="4" w:space="0" w:color="auto"/>
              <w:right w:val="single" w:sz="4" w:space="0" w:color="auto"/>
            </w:tcBorders>
            <w:hideMark/>
          </w:tcPr>
          <w:p w14:paraId="6D4DFF19"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25</w:t>
            </w:r>
          </w:p>
        </w:tc>
      </w:tr>
      <w:tr w:rsidR="00360825" w:rsidRPr="00DE1AA1" w14:paraId="3F6E51D8"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138ECD23"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Retirement living or sheltered housing (housing with support)</w:t>
            </w:r>
          </w:p>
        </w:tc>
        <w:tc>
          <w:tcPr>
            <w:tcW w:w="1742" w:type="dxa"/>
            <w:tcBorders>
              <w:top w:val="single" w:sz="4" w:space="0" w:color="auto"/>
              <w:left w:val="single" w:sz="4" w:space="0" w:color="auto"/>
              <w:bottom w:val="single" w:sz="4" w:space="0" w:color="auto"/>
              <w:right w:val="single" w:sz="4" w:space="0" w:color="auto"/>
            </w:tcBorders>
            <w:hideMark/>
          </w:tcPr>
          <w:p w14:paraId="68606D83"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125</w:t>
            </w:r>
          </w:p>
        </w:tc>
        <w:tc>
          <w:tcPr>
            <w:tcW w:w="1742" w:type="dxa"/>
            <w:tcBorders>
              <w:top w:val="single" w:sz="4" w:space="0" w:color="auto"/>
              <w:left w:val="single" w:sz="4" w:space="0" w:color="auto"/>
              <w:bottom w:val="single" w:sz="4" w:space="0" w:color="auto"/>
              <w:right w:val="single" w:sz="4" w:space="0" w:color="auto"/>
            </w:tcBorders>
            <w:hideMark/>
          </w:tcPr>
          <w:p w14:paraId="56562476"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180</w:t>
            </w:r>
          </w:p>
        </w:tc>
        <w:tc>
          <w:tcPr>
            <w:tcW w:w="1743" w:type="dxa"/>
            <w:tcBorders>
              <w:top w:val="single" w:sz="4" w:space="0" w:color="auto"/>
              <w:left w:val="single" w:sz="4" w:space="0" w:color="auto"/>
              <w:bottom w:val="single" w:sz="4" w:space="0" w:color="auto"/>
              <w:right w:val="single" w:sz="4" w:space="0" w:color="auto"/>
            </w:tcBorders>
            <w:hideMark/>
          </w:tcPr>
          <w:p w14:paraId="41C1B5F5"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100</w:t>
            </w:r>
          </w:p>
        </w:tc>
      </w:tr>
      <w:tr w:rsidR="00360825" w:rsidRPr="00DE1AA1" w14:paraId="25508657"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06469D25"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Extra care housing or housing-with-care (housing with care)</w:t>
            </w:r>
          </w:p>
        </w:tc>
        <w:tc>
          <w:tcPr>
            <w:tcW w:w="1742" w:type="dxa"/>
            <w:tcBorders>
              <w:top w:val="single" w:sz="4" w:space="0" w:color="auto"/>
              <w:left w:val="single" w:sz="4" w:space="0" w:color="auto"/>
              <w:bottom w:val="single" w:sz="4" w:space="0" w:color="auto"/>
              <w:right w:val="single" w:sz="4" w:space="0" w:color="auto"/>
            </w:tcBorders>
            <w:hideMark/>
          </w:tcPr>
          <w:p w14:paraId="5E074777"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45</w:t>
            </w:r>
          </w:p>
        </w:tc>
        <w:tc>
          <w:tcPr>
            <w:tcW w:w="1742" w:type="dxa"/>
            <w:tcBorders>
              <w:top w:val="single" w:sz="4" w:space="0" w:color="auto"/>
              <w:left w:val="single" w:sz="4" w:space="0" w:color="auto"/>
              <w:bottom w:val="single" w:sz="4" w:space="0" w:color="auto"/>
              <w:right w:val="single" w:sz="4" w:space="0" w:color="auto"/>
            </w:tcBorders>
            <w:hideMark/>
          </w:tcPr>
          <w:p w14:paraId="584D94D1"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65</w:t>
            </w:r>
          </w:p>
        </w:tc>
        <w:tc>
          <w:tcPr>
            <w:tcW w:w="1743" w:type="dxa"/>
            <w:tcBorders>
              <w:top w:val="single" w:sz="4" w:space="0" w:color="auto"/>
              <w:left w:val="single" w:sz="4" w:space="0" w:color="auto"/>
              <w:bottom w:val="single" w:sz="4" w:space="0" w:color="auto"/>
              <w:right w:val="single" w:sz="4" w:space="0" w:color="auto"/>
            </w:tcBorders>
            <w:hideMark/>
          </w:tcPr>
          <w:p w14:paraId="3353080B"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30-40</w:t>
            </w:r>
          </w:p>
          <w:p w14:paraId="136859FA"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(‘proactive range’)</w:t>
            </w:r>
          </w:p>
        </w:tc>
      </w:tr>
      <w:tr w:rsidR="00360825" w:rsidRPr="00DE1AA1" w14:paraId="5486E4F0" w14:textId="77777777" w:rsidTr="00C04569">
        <w:tc>
          <w:tcPr>
            <w:tcW w:w="2972" w:type="dxa"/>
            <w:tcBorders>
              <w:top w:val="single" w:sz="4" w:space="0" w:color="auto"/>
              <w:left w:val="single" w:sz="4" w:space="0" w:color="auto"/>
              <w:bottom w:val="single" w:sz="4" w:space="0" w:color="auto"/>
              <w:right w:val="single" w:sz="4" w:space="0" w:color="auto"/>
            </w:tcBorders>
          </w:tcPr>
          <w:p w14:paraId="1D3E8C21"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 xml:space="preserve">Residential care homes </w:t>
            </w:r>
          </w:p>
          <w:p w14:paraId="03927D46" w14:textId="77777777" w:rsidR="00360825" w:rsidRPr="00DE1AA1" w:rsidRDefault="00360825" w:rsidP="00C04569">
            <w:pPr>
              <w:keepNext/>
              <w:spacing w:after="0" w:line="300" w:lineRule="auto"/>
              <w:jc w:val="left"/>
              <w:rPr>
                <w:rFonts w:ascii="Arial" w:hAnsi="Arial" w:cs="Arial"/>
                <w:bCs/>
              </w:rPr>
            </w:pPr>
          </w:p>
          <w:p w14:paraId="25DC8B25"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Nursing homes (care bedspaces), including dementia</w:t>
            </w:r>
          </w:p>
        </w:tc>
        <w:tc>
          <w:tcPr>
            <w:tcW w:w="1742" w:type="dxa"/>
            <w:tcBorders>
              <w:top w:val="single" w:sz="4" w:space="0" w:color="auto"/>
              <w:left w:val="single" w:sz="4" w:space="0" w:color="auto"/>
              <w:bottom w:val="single" w:sz="4" w:space="0" w:color="auto"/>
              <w:right w:val="single" w:sz="4" w:space="0" w:color="auto"/>
            </w:tcBorders>
          </w:tcPr>
          <w:p w14:paraId="18D2E46F"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65</w:t>
            </w:r>
          </w:p>
          <w:p w14:paraId="6D922F91" w14:textId="77777777" w:rsidR="00360825" w:rsidRPr="00DE1AA1" w:rsidRDefault="00360825" w:rsidP="00C04569">
            <w:pPr>
              <w:keepNext/>
              <w:spacing w:after="0" w:line="300" w:lineRule="auto"/>
              <w:jc w:val="center"/>
              <w:rPr>
                <w:rFonts w:ascii="Arial" w:hAnsi="Arial" w:cs="Arial"/>
                <w:bCs/>
              </w:rPr>
            </w:pPr>
          </w:p>
          <w:p w14:paraId="1C37C530"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45</w:t>
            </w:r>
          </w:p>
          <w:p w14:paraId="2294917D" w14:textId="77777777" w:rsidR="00360825" w:rsidRPr="00DE1AA1" w:rsidRDefault="00360825" w:rsidP="00C04569">
            <w:pPr>
              <w:keepNext/>
              <w:spacing w:after="0" w:line="300" w:lineRule="auto"/>
              <w:jc w:val="center"/>
              <w:rPr>
                <w:rFonts w:ascii="Arial" w:hAnsi="Arial" w:cs="Arial"/>
                <w:bCs/>
              </w:rPr>
            </w:pPr>
          </w:p>
        </w:tc>
        <w:tc>
          <w:tcPr>
            <w:tcW w:w="1742" w:type="dxa"/>
            <w:tcBorders>
              <w:top w:val="single" w:sz="4" w:space="0" w:color="auto"/>
              <w:left w:val="single" w:sz="4" w:space="0" w:color="auto"/>
              <w:bottom w:val="single" w:sz="4" w:space="0" w:color="auto"/>
              <w:right w:val="single" w:sz="4" w:space="0" w:color="auto"/>
            </w:tcBorders>
            <w:hideMark/>
          </w:tcPr>
          <w:p w14:paraId="389E3417"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(no figure apart from 6 for dementia)</w:t>
            </w:r>
          </w:p>
        </w:tc>
        <w:tc>
          <w:tcPr>
            <w:tcW w:w="1743" w:type="dxa"/>
            <w:tcBorders>
              <w:top w:val="single" w:sz="4" w:space="0" w:color="auto"/>
              <w:left w:val="single" w:sz="4" w:space="0" w:color="auto"/>
              <w:bottom w:val="single" w:sz="4" w:space="0" w:color="auto"/>
              <w:right w:val="single" w:sz="4" w:space="0" w:color="auto"/>
            </w:tcBorders>
          </w:tcPr>
          <w:p w14:paraId="28411B5E"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40</w:t>
            </w:r>
          </w:p>
          <w:p w14:paraId="64C3A3C9" w14:textId="77777777" w:rsidR="00360825" w:rsidRPr="00DE1AA1" w:rsidRDefault="00360825" w:rsidP="00C04569">
            <w:pPr>
              <w:keepNext/>
              <w:spacing w:after="0" w:line="300" w:lineRule="auto"/>
              <w:jc w:val="center"/>
              <w:rPr>
                <w:rFonts w:ascii="Arial" w:hAnsi="Arial" w:cs="Arial"/>
                <w:bCs/>
              </w:rPr>
            </w:pPr>
          </w:p>
          <w:p w14:paraId="406F5087"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45</w:t>
            </w:r>
          </w:p>
          <w:p w14:paraId="09712436" w14:textId="77777777" w:rsidR="00360825" w:rsidRPr="00DE1AA1" w:rsidRDefault="00360825" w:rsidP="00C04569">
            <w:pPr>
              <w:keepNext/>
              <w:spacing w:after="0" w:line="300" w:lineRule="auto"/>
              <w:jc w:val="center"/>
              <w:rPr>
                <w:rFonts w:ascii="Arial" w:hAnsi="Arial" w:cs="Arial"/>
                <w:bCs/>
              </w:rPr>
            </w:pPr>
          </w:p>
        </w:tc>
      </w:tr>
    </w:tbl>
    <w:p w14:paraId="5609A34D"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Range of sources as identified</w:t>
      </w:r>
    </w:p>
    <w:p w14:paraId="4ACAB230"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lastRenderedPageBreak/>
        <w:t>In interpreting the different potential prevalence rates it is clear that:</w:t>
      </w:r>
    </w:p>
    <w:p w14:paraId="5C0444FF" w14:textId="77777777" w:rsidR="00DC02E5" w:rsidRPr="00D556DB" w:rsidRDefault="00DC02E5" w:rsidP="00DC02E5">
      <w:pPr>
        <w:pStyle w:val="BodyText"/>
        <w:numPr>
          <w:ilvl w:val="0"/>
          <w:numId w:val="34"/>
        </w:numPr>
        <w:tabs>
          <w:tab w:val="left" w:pos="720"/>
        </w:tabs>
        <w:spacing w:line="300" w:lineRule="auto"/>
        <w:ind w:left="714" w:hanging="357"/>
        <w:jc w:val="left"/>
        <w:rPr>
          <w:rFonts w:ascii="Arial" w:hAnsi="Arial" w:cs="Arial"/>
        </w:rPr>
      </w:pPr>
      <w:bookmarkStart w:id="45" w:name="_Hlk97672728"/>
      <w:r w:rsidRPr="00D556DB">
        <w:rPr>
          <w:rFonts w:ascii="Arial" w:hAnsi="Arial" w:cs="Arial"/>
        </w:rPr>
        <w:t xml:space="preserve">The prevalence rates used should be considered and assessed taking account of an authority’s strategy for delivering specialist housing for older people. The degree for instance which the Council want to require extra care housing as an alternative to residential care provision would influence the relative balance of need between these two housing types; </w:t>
      </w:r>
      <w:r>
        <w:rPr>
          <w:rFonts w:ascii="Arial" w:hAnsi="Arial" w:cs="Arial"/>
        </w:rPr>
        <w:t>and</w:t>
      </w:r>
    </w:p>
    <w:p w14:paraId="2AD7DD0E" w14:textId="77777777" w:rsidR="00DC02E5" w:rsidRPr="00D556DB" w:rsidRDefault="00DC02E5" w:rsidP="00DC02E5">
      <w:pPr>
        <w:pStyle w:val="BodyText"/>
        <w:numPr>
          <w:ilvl w:val="0"/>
          <w:numId w:val="34"/>
        </w:numPr>
        <w:tabs>
          <w:tab w:val="left" w:pos="720"/>
        </w:tabs>
        <w:spacing w:line="300" w:lineRule="auto"/>
        <w:ind w:left="714" w:hanging="357"/>
        <w:jc w:val="left"/>
        <w:rPr>
          <w:rFonts w:ascii="Arial" w:hAnsi="Arial" w:cs="Arial"/>
        </w:rPr>
      </w:pPr>
      <w:r w:rsidRPr="00D556DB">
        <w:rPr>
          <w:rFonts w:ascii="Arial" w:hAnsi="Arial" w:cs="Arial"/>
        </w:rPr>
        <w:t>The Housing LIN model has been influenced by existing levels of provision and their view on what future level of provision might be reasonable taking account of how the market is developing, funding availability etc. It is more focused towards publicly commissioned provision. There is a degree to which the model and assumptions within it may not fully capture the growing recent private sector interest and involvement in the sector, particularly in extra care</w:t>
      </w:r>
      <w:r>
        <w:rPr>
          <w:rFonts w:ascii="Arial" w:hAnsi="Arial" w:cs="Arial"/>
        </w:rPr>
        <w:t>.</w:t>
      </w:r>
    </w:p>
    <w:bookmarkEnd w:id="45"/>
    <w:p w14:paraId="0A0CDDA4"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Iceni and JGC have therefore sought to consider these issues and the appropriate modelling assumptions for assessing future needs. Nationally, there has been a clear focus on strengthening a community-led approach and reducing reliance on residential and nursing care – in particular focussing where possible on providing households with care in their own home. This could however be provision of care within general needs housing; but also care which is provided in a housing with care development such as in extra care housing.</w:t>
      </w:r>
    </w:p>
    <w:p w14:paraId="2A9F9274" w14:textId="3F7CB121" w:rsidR="00360825" w:rsidRDefault="00360825" w:rsidP="001A7584">
      <w:pPr>
        <w:pStyle w:val="BodyText"/>
        <w:numPr>
          <w:ilvl w:val="1"/>
          <w:numId w:val="6"/>
        </w:numPr>
        <w:ind w:left="0" w:hanging="709"/>
        <w:rPr>
          <w:rFonts w:ascii="Arial" w:hAnsi="Arial" w:cs="Arial"/>
        </w:rPr>
      </w:pPr>
      <w:r w:rsidRPr="00D556DB">
        <w:rPr>
          <w:rFonts w:ascii="Arial" w:hAnsi="Arial" w:cs="Arial"/>
        </w:rPr>
        <w:t>We consider that the prevalence rates shown in the 2016 Housing LIN Review is an appropriate starting point; but that the corollary of lower care home provision should be a greater focus on delivery of housing with care. Having regard to market growth in this sector in recent years, and since the above studies were prepared, we consider that the starting point for housing with care should be the higher rate shown in the SHOP@ report (this is the figure that would align with the PPG).</w:t>
      </w:r>
    </w:p>
    <w:p w14:paraId="61E747AA" w14:textId="77777777" w:rsidR="003A5763" w:rsidRDefault="00DC02E5" w:rsidP="00DC02E5">
      <w:pPr>
        <w:pStyle w:val="BodyText"/>
        <w:numPr>
          <w:ilvl w:val="1"/>
          <w:numId w:val="6"/>
        </w:numPr>
        <w:ind w:left="0" w:hanging="709"/>
        <w:rPr>
          <w:rFonts w:ascii="Arial" w:hAnsi="Arial" w:cs="Arial"/>
        </w:rPr>
      </w:pPr>
      <w:r>
        <w:rPr>
          <w:rFonts w:ascii="Arial" w:hAnsi="Arial" w:cs="Arial"/>
        </w:rPr>
        <w:t>Within both the housing with support and housing with care categories, the analysis has additionally looked at a tenure split between market and affordable housing</w:t>
      </w:r>
      <w:r w:rsidRPr="00D556DB">
        <w:rPr>
          <w:rFonts w:ascii="Arial" w:hAnsi="Arial" w:cs="Arial"/>
        </w:rPr>
        <w:t xml:space="preserve">. This again draws on suggestions in the 2016 Review which suggests that less deprived local authorities could expect a higher proportion of their specialist housing to be in the market sector. </w:t>
      </w:r>
    </w:p>
    <w:p w14:paraId="5E54987F" w14:textId="79800DD7" w:rsidR="00DC02E5" w:rsidRPr="00D556DB" w:rsidRDefault="00DC02E5" w:rsidP="00DC02E5">
      <w:pPr>
        <w:pStyle w:val="BodyText"/>
        <w:numPr>
          <w:ilvl w:val="1"/>
          <w:numId w:val="6"/>
        </w:numPr>
        <w:ind w:left="0" w:hanging="709"/>
        <w:rPr>
          <w:rFonts w:ascii="Arial" w:hAnsi="Arial" w:cs="Arial"/>
        </w:rPr>
      </w:pPr>
      <w:r w:rsidRPr="00D556DB">
        <w:rPr>
          <w:rFonts w:ascii="Arial" w:hAnsi="Arial" w:cs="Arial"/>
        </w:rPr>
        <w:t>Using</w:t>
      </w:r>
      <w:r w:rsidR="003A5763">
        <w:rPr>
          <w:rFonts w:ascii="Arial" w:hAnsi="Arial" w:cs="Arial"/>
        </w:rPr>
        <w:t xml:space="preserve"> the</w:t>
      </w:r>
      <w:r w:rsidRPr="00D556DB">
        <w:rPr>
          <w:rFonts w:ascii="Arial" w:hAnsi="Arial" w:cs="Arial"/>
        </w:rPr>
        <w:t xml:space="preserve"> 2019 Index of Multiple Deprivation (IMD) data, the analysis suggests Chichester is the 213</w:t>
      </w:r>
      <w:r w:rsidRPr="00D556DB">
        <w:rPr>
          <w:rFonts w:ascii="Arial" w:hAnsi="Arial" w:cs="Arial"/>
          <w:vertAlign w:val="superscript"/>
        </w:rPr>
        <w:t>th</w:t>
      </w:r>
      <w:r w:rsidRPr="00D556DB">
        <w:rPr>
          <w:rFonts w:ascii="Arial" w:hAnsi="Arial" w:cs="Arial"/>
        </w:rPr>
        <w:t xml:space="preserve"> deprived local authority in England (out of 317). This suggests a slightly higher proportion of market housing than for an authority in the middle of the range. To be clear this is market housing within the categories described above (e.g. housing with support and housing with care).</w:t>
      </w:r>
    </w:p>
    <w:p w14:paraId="20EA025D"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table below shows estimated needs for different types of housing linked to the population projections. The analysis is separated into the various different types and tenures although it should be recognised that there could be some overlap between categories (i.e. some households might be suited to more than one type of accommodation).</w:t>
      </w:r>
    </w:p>
    <w:p w14:paraId="4C6977EF"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lastRenderedPageBreak/>
        <w:t>Overall, the analysis suggests that there will be a notable need for both housing with support and housing with care (in both market and affordable sectors for housing with support and focussing on market homes for housing with care), as well as some additional nursing and residential care bedspaces.</w:t>
      </w:r>
    </w:p>
    <w:p w14:paraId="052AF6FA" w14:textId="77777777" w:rsidR="00360825" w:rsidRPr="00821ADC" w:rsidRDefault="00360825" w:rsidP="001A7584">
      <w:pPr>
        <w:pStyle w:val="Heading4"/>
        <w:ind w:firstLine="0"/>
        <w:rPr>
          <w:color w:val="auto"/>
        </w:rPr>
      </w:pPr>
      <w:r w:rsidRPr="00821ADC">
        <w:rPr>
          <w:color w:val="auto"/>
        </w:rPr>
        <w:t xml:space="preserve">Specialist Housing Need using adjusted </w:t>
      </w:r>
      <w:proofErr w:type="spellStart"/>
      <w:r w:rsidRPr="00821ADC">
        <w:rPr>
          <w:color w:val="auto"/>
        </w:rPr>
        <w:t>SHOP@Review</w:t>
      </w:r>
      <w:proofErr w:type="spellEnd"/>
      <w:r w:rsidRPr="00821ADC">
        <w:rPr>
          <w:color w:val="auto"/>
        </w:rPr>
        <w:t xml:space="preserve"> Assumptions, 2021-39 – Chichester (linked to 638 dpa outside SDNP)</w:t>
      </w:r>
    </w:p>
    <w:tbl>
      <w:tblPr>
        <w:tblW w:w="9645" w:type="dxa"/>
        <w:tblInd w:w="-709" w:type="dxa"/>
        <w:tblLayout w:type="fixed"/>
        <w:tblLook w:val="04A0" w:firstRow="1" w:lastRow="0" w:firstColumn="1" w:lastColumn="0" w:noHBand="0" w:noVBand="1"/>
      </w:tblPr>
      <w:tblGrid>
        <w:gridCol w:w="1843"/>
        <w:gridCol w:w="1146"/>
        <w:gridCol w:w="1109"/>
        <w:gridCol w:w="1109"/>
        <w:gridCol w:w="1110"/>
        <w:gridCol w:w="1109"/>
        <w:gridCol w:w="1109"/>
        <w:gridCol w:w="1110"/>
      </w:tblGrid>
      <w:tr w:rsidR="00360825" w:rsidRPr="001C6405" w14:paraId="7F90EA80" w14:textId="77777777" w:rsidTr="00C04569">
        <w:trPr>
          <w:trHeight w:val="264"/>
        </w:trPr>
        <w:tc>
          <w:tcPr>
            <w:tcW w:w="1843" w:type="dxa"/>
            <w:tcBorders>
              <w:top w:val="single" w:sz="4" w:space="0" w:color="auto"/>
              <w:left w:val="single" w:sz="4" w:space="0" w:color="auto"/>
              <w:bottom w:val="single" w:sz="4" w:space="0" w:color="auto"/>
              <w:right w:val="single" w:sz="4" w:space="0" w:color="auto"/>
            </w:tcBorders>
            <w:shd w:val="clear" w:color="auto" w:fill="002060"/>
            <w:noWrap/>
          </w:tcPr>
          <w:p w14:paraId="5C517E8E" w14:textId="77777777" w:rsidR="00360825" w:rsidRPr="00D556DB" w:rsidRDefault="00360825" w:rsidP="00C04569">
            <w:pPr>
              <w:keepNext/>
              <w:spacing w:after="0" w:line="300" w:lineRule="auto"/>
              <w:rPr>
                <w:rFonts w:ascii="Arial" w:hAnsi="Arial" w:cs="Arial"/>
                <w:color w:val="FFFFFF" w:themeColor="background1"/>
              </w:rPr>
            </w:pPr>
          </w:p>
        </w:tc>
        <w:tc>
          <w:tcPr>
            <w:tcW w:w="1146" w:type="dxa"/>
            <w:tcBorders>
              <w:top w:val="single" w:sz="4" w:space="0" w:color="auto"/>
              <w:left w:val="single" w:sz="4" w:space="0" w:color="auto"/>
              <w:bottom w:val="single" w:sz="4" w:space="0" w:color="auto"/>
              <w:right w:val="single" w:sz="4" w:space="0" w:color="auto"/>
            </w:tcBorders>
            <w:shd w:val="clear" w:color="auto" w:fill="002060"/>
            <w:noWrap/>
          </w:tcPr>
          <w:p w14:paraId="3D70EE18" w14:textId="77777777" w:rsidR="00360825" w:rsidRPr="00D556DB" w:rsidRDefault="00360825" w:rsidP="00C04569">
            <w:pPr>
              <w:keepNext/>
              <w:spacing w:after="0" w:line="300" w:lineRule="auto"/>
              <w:rPr>
                <w:rFonts w:ascii="Arial" w:hAnsi="Arial" w:cs="Arial"/>
                <w:color w:val="FFFFFF" w:themeColor="background1"/>
              </w:rPr>
            </w:pP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306AE6C3"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Housing demand per 1,000 75+</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10238ABA"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supply</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3E8DCAC7"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demand</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60A8F986"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shortfall/ surplus (-</w:t>
            </w:r>
            <w:proofErr w:type="spellStart"/>
            <w:r w:rsidRPr="00D556DB">
              <w:rPr>
                <w:rFonts w:ascii="Arial" w:hAnsi="Arial" w:cs="Arial"/>
                <w:color w:val="FFFFFF" w:themeColor="background1"/>
              </w:rPr>
              <w:t>ve</w:t>
            </w:r>
            <w:proofErr w:type="spellEnd"/>
            <w:r w:rsidRPr="00D556DB">
              <w:rPr>
                <w:rFonts w:ascii="Arial" w:hAnsi="Arial" w:cs="Arial"/>
                <w:color w:val="FFFFFF" w:themeColor="background1"/>
              </w:rPr>
              <w:t>)</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4D798396"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Addition-al demand to 2039</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49B9FFA3"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Shortfall /surplus by 2039</w:t>
            </w:r>
          </w:p>
        </w:tc>
      </w:tr>
      <w:tr w:rsidR="00DC02E5" w:rsidRPr="001C6405" w14:paraId="5494BB6D" w14:textId="77777777" w:rsidTr="00C04569">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75812BFB"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Housing with support</w:t>
            </w:r>
          </w:p>
        </w:tc>
        <w:tc>
          <w:tcPr>
            <w:tcW w:w="1146" w:type="dxa"/>
            <w:tcBorders>
              <w:top w:val="single" w:sz="4" w:space="0" w:color="auto"/>
              <w:left w:val="single" w:sz="4" w:space="0" w:color="auto"/>
              <w:bottom w:val="single" w:sz="4" w:space="0" w:color="auto"/>
              <w:right w:val="single" w:sz="4" w:space="0" w:color="auto"/>
            </w:tcBorders>
            <w:noWrap/>
            <w:hideMark/>
          </w:tcPr>
          <w:p w14:paraId="77812335"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0309F2B" w14:textId="34912AC2"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456F249" w14:textId="40222540"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864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699C72B" w14:textId="78FBDABE"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1,083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47A7EA1" w14:textId="7103AAB3"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219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A58E7AB" w14:textId="34B882A6"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608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FBC444A" w14:textId="2578EA41"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826</w:t>
            </w:r>
          </w:p>
        </w:tc>
      </w:tr>
      <w:tr w:rsidR="00DC02E5" w:rsidRPr="001C6405" w14:paraId="67292193" w14:textId="77777777" w:rsidTr="00C04569">
        <w:trPr>
          <w:trHeight w:val="264"/>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68E717B1" w14:textId="77777777" w:rsidR="00DC02E5" w:rsidRPr="00D556DB" w:rsidRDefault="00DC02E5" w:rsidP="00DC02E5">
            <w:pPr>
              <w:spacing w:after="0" w:line="240" w:lineRule="auto"/>
              <w:jc w:val="left"/>
              <w:rPr>
                <w:rFonts w:ascii="Arial" w:hAnsi="Arial" w:cs="Arial"/>
                <w:color w:val="000000"/>
              </w:rPr>
            </w:pPr>
          </w:p>
        </w:tc>
        <w:tc>
          <w:tcPr>
            <w:tcW w:w="1146" w:type="dxa"/>
            <w:tcBorders>
              <w:top w:val="single" w:sz="4" w:space="0" w:color="auto"/>
              <w:left w:val="single" w:sz="4" w:space="0" w:color="auto"/>
              <w:bottom w:val="single" w:sz="4" w:space="0" w:color="auto"/>
              <w:right w:val="single" w:sz="4" w:space="0" w:color="auto"/>
            </w:tcBorders>
            <w:noWrap/>
            <w:hideMark/>
          </w:tcPr>
          <w:p w14:paraId="0484CC01"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592E8A6" w14:textId="2ABF9230"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62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FF4218A" w14:textId="1257F55C"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758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3B78113" w14:textId="536C8D8F"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1,069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1DF9CDA" w14:textId="067F7734"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311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A914736" w14:textId="630CA79B"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600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265D1AA" w14:textId="7786DB78"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911</w:t>
            </w:r>
          </w:p>
        </w:tc>
      </w:tr>
      <w:tr w:rsidR="00DC02E5" w:rsidRPr="001C6405" w14:paraId="3372DC59" w14:textId="77777777" w:rsidTr="00C04569">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2FF9F4CC"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Total (housing with support)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330FB45" w14:textId="77777777" w:rsidR="00DC02E5" w:rsidRPr="00D556DB" w:rsidRDefault="00DC02E5" w:rsidP="00DC02E5">
            <w:pPr>
              <w:keepNext/>
              <w:spacing w:after="0" w:line="300" w:lineRule="auto"/>
              <w:jc w:val="center"/>
              <w:rPr>
                <w:rFonts w:ascii="Arial" w:hAnsi="Arial" w:cs="Arial"/>
                <w:color w:val="000000"/>
              </w:rPr>
            </w:pPr>
            <w:r w:rsidRPr="001C6405">
              <w:rPr>
                <w:rFonts w:ascii="Arial" w:hAnsi="Arial" w:cs="Arial"/>
                <w:color w:val="000000"/>
              </w:rPr>
              <w:t>105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92452A5" w14:textId="0B9E7598"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125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1834FD7" w14:textId="59120A61"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1,622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59AEB62" w14:textId="242513FD"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2,151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344E73E" w14:textId="3D7CA834"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529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5680ACA" w14:textId="724D9DD1"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1,208</w:t>
            </w:r>
          </w:p>
        </w:tc>
      </w:tr>
      <w:tr w:rsidR="00DC02E5" w:rsidRPr="001C6405" w14:paraId="263F8F68" w14:textId="77777777" w:rsidTr="00C04569">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587C0AA3"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Housing with care</w:t>
            </w:r>
          </w:p>
        </w:tc>
        <w:tc>
          <w:tcPr>
            <w:tcW w:w="1146" w:type="dxa"/>
            <w:tcBorders>
              <w:top w:val="single" w:sz="4" w:space="0" w:color="auto"/>
              <w:left w:val="single" w:sz="4" w:space="0" w:color="auto"/>
              <w:bottom w:val="single" w:sz="4" w:space="0" w:color="auto"/>
              <w:right w:val="single" w:sz="4" w:space="0" w:color="auto"/>
            </w:tcBorders>
            <w:noWrap/>
            <w:hideMark/>
          </w:tcPr>
          <w:p w14:paraId="29B0F3EC"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48A5D02" w14:textId="26AC4D58"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30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B1ED903" w14:textId="3B1FEA88"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9782646" w14:textId="52753AC6"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520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16131A3" w14:textId="765C8FD3"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520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8B9E466" w14:textId="58067FF2"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292</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E7C0102" w14:textId="0C674F25"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812</w:t>
            </w:r>
          </w:p>
        </w:tc>
      </w:tr>
      <w:tr w:rsidR="00DC02E5" w:rsidRPr="001C6405" w14:paraId="683FC363" w14:textId="77777777" w:rsidTr="00C04569">
        <w:trPr>
          <w:trHeight w:val="264"/>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6F6D4EFD" w14:textId="77777777" w:rsidR="00DC02E5" w:rsidRPr="00D556DB" w:rsidRDefault="00DC02E5" w:rsidP="00DC02E5">
            <w:pPr>
              <w:spacing w:after="0" w:line="240" w:lineRule="auto"/>
              <w:jc w:val="left"/>
              <w:rPr>
                <w:rFonts w:ascii="Arial" w:hAnsi="Arial" w:cs="Arial"/>
                <w:color w:val="000000"/>
              </w:rPr>
            </w:pPr>
          </w:p>
        </w:tc>
        <w:tc>
          <w:tcPr>
            <w:tcW w:w="1146" w:type="dxa"/>
            <w:tcBorders>
              <w:top w:val="single" w:sz="4" w:space="0" w:color="auto"/>
              <w:left w:val="single" w:sz="4" w:space="0" w:color="auto"/>
              <w:bottom w:val="single" w:sz="4" w:space="0" w:color="auto"/>
              <w:right w:val="single" w:sz="4" w:space="0" w:color="auto"/>
            </w:tcBorders>
            <w:noWrap/>
            <w:hideMark/>
          </w:tcPr>
          <w:p w14:paraId="4F7C2151"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816FF5C" w14:textId="7253E4F4"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54F4B94" w14:textId="17834C6B"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E1360D4" w14:textId="23176E61"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254</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8768CB8" w14:textId="54F239FB"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180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701314E" w14:textId="6BA73B9B"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143</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33CD5B99" w14:textId="09A698F5"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323</w:t>
            </w:r>
          </w:p>
        </w:tc>
      </w:tr>
      <w:tr w:rsidR="00DC02E5" w:rsidRPr="001C6405" w14:paraId="7A0FABC1" w14:textId="77777777" w:rsidTr="00C04569">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71379FC1" w14:textId="77777777" w:rsidR="00DC02E5" w:rsidRPr="00D556DB" w:rsidRDefault="00DC02E5" w:rsidP="00DC02E5">
            <w:pPr>
              <w:keepNext/>
              <w:spacing w:after="0" w:line="300" w:lineRule="auto"/>
              <w:rPr>
                <w:rFonts w:ascii="Arial" w:hAnsi="Arial" w:cs="Arial"/>
                <w:color w:val="000000"/>
              </w:rPr>
            </w:pPr>
            <w:r w:rsidRPr="00D556DB">
              <w:rPr>
                <w:rFonts w:ascii="Arial" w:hAnsi="Arial" w:cs="Arial"/>
                <w:color w:val="000000"/>
              </w:rPr>
              <w:t>Total (housing with care)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DF89370" w14:textId="574694FE"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45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43D3848" w14:textId="49CEB1A2"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BA50116" w14:textId="19817A22"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775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427AE85" w14:textId="17371B82"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701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15ECBCF" w14:textId="382703B3"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435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CBD6D1D" w14:textId="4BC5A9B7"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1,135</w:t>
            </w:r>
          </w:p>
        </w:tc>
      </w:tr>
      <w:tr w:rsidR="00DC02E5" w:rsidRPr="001C6405" w14:paraId="30434CC3" w14:textId="77777777" w:rsidTr="00C04569">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463CF5A0" w14:textId="77777777" w:rsidR="00DC02E5" w:rsidRPr="00D556DB" w:rsidRDefault="00DC02E5" w:rsidP="00DC02E5">
            <w:pPr>
              <w:keepNext/>
              <w:spacing w:after="0" w:line="300" w:lineRule="auto"/>
              <w:rPr>
                <w:rFonts w:ascii="Arial" w:hAnsi="Arial" w:cs="Arial"/>
                <w:color w:val="000000"/>
              </w:rPr>
            </w:pPr>
            <w:r w:rsidRPr="00D556DB">
              <w:rPr>
                <w:rFonts w:ascii="Arial" w:hAnsi="Arial" w:cs="Arial"/>
                <w:color w:val="000000"/>
              </w:rPr>
              <w:t>Residential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BA7C994" w14:textId="790CBA74"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40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EECED0F" w14:textId="7859E055"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840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24F3E6D" w14:textId="2B00282C"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688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51ABD9A" w14:textId="4011ED3C"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-152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DE8AD44" w14:textId="0AC6FB0E"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386</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24BC7F9" w14:textId="0E99FCEA"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235</w:t>
            </w:r>
          </w:p>
        </w:tc>
      </w:tr>
      <w:tr w:rsidR="00DC02E5" w:rsidRPr="001C6405" w14:paraId="59AE26C0" w14:textId="77777777" w:rsidTr="00C04569">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20E49C40" w14:textId="77777777" w:rsidR="00DC02E5" w:rsidRPr="00D556DB" w:rsidRDefault="00DC02E5" w:rsidP="00DC02E5">
            <w:pPr>
              <w:keepNext/>
              <w:spacing w:after="0" w:line="300" w:lineRule="auto"/>
              <w:rPr>
                <w:rFonts w:ascii="Arial" w:hAnsi="Arial" w:cs="Arial"/>
                <w:color w:val="000000"/>
              </w:rPr>
            </w:pPr>
            <w:r w:rsidRPr="00D556DB">
              <w:rPr>
                <w:rFonts w:ascii="Arial" w:hAnsi="Arial" w:cs="Arial"/>
                <w:color w:val="000000"/>
              </w:rPr>
              <w:t>Nursing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D4B11B2" w14:textId="448852A8"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45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3F2E0AF" w14:textId="3CD7D2F8"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644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7A27FB3" w14:textId="3EC54910"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775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009E5F9" w14:textId="3190C3E7"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131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6C8432B" w14:textId="19B84DA3"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435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BC5ADED" w14:textId="4E871C16"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565</w:t>
            </w:r>
          </w:p>
        </w:tc>
      </w:tr>
      <w:tr w:rsidR="00DC02E5" w:rsidRPr="001C6405" w14:paraId="71503D4E" w14:textId="77777777" w:rsidTr="00C04569">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091182CC" w14:textId="77777777" w:rsidR="00DC02E5" w:rsidRPr="00D556DB" w:rsidRDefault="00DC02E5" w:rsidP="00DC02E5">
            <w:pPr>
              <w:keepNext/>
              <w:spacing w:after="0" w:line="300" w:lineRule="auto"/>
              <w:rPr>
                <w:rFonts w:ascii="Arial" w:hAnsi="Arial" w:cs="Arial"/>
                <w:color w:val="000000"/>
              </w:rPr>
            </w:pPr>
            <w:r w:rsidRPr="00D556DB">
              <w:rPr>
                <w:rFonts w:ascii="Arial" w:hAnsi="Arial" w:cs="Arial"/>
                <w:color w:val="000000"/>
              </w:rPr>
              <w:t>Total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FD386ED" w14:textId="304D68D6"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85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0EC227D" w14:textId="24BBA25A"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1,484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DF400EF" w14:textId="4D500A8C"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1,463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4D49D7B" w14:textId="12B16B03"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BAA2430" w14:textId="3B6316E0"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821</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93B4197" w14:textId="63715F79"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800</w:t>
            </w:r>
          </w:p>
        </w:tc>
      </w:tr>
    </w:tbl>
    <w:p w14:paraId="2E4CD87E"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Demographic Projections and Housing LIN/EAC</w:t>
      </w:r>
    </w:p>
    <w:p w14:paraId="03798298" w14:textId="77777777" w:rsidR="00DC02E5" w:rsidRPr="007B2DBA" w:rsidRDefault="00DC02E5" w:rsidP="00DC02E5">
      <w:pPr>
        <w:pStyle w:val="BodyText"/>
        <w:numPr>
          <w:ilvl w:val="1"/>
          <w:numId w:val="6"/>
        </w:numPr>
        <w:ind w:left="0" w:hanging="709"/>
        <w:rPr>
          <w:rFonts w:ascii="Arial" w:hAnsi="Arial" w:cs="Arial"/>
        </w:rPr>
      </w:pPr>
      <w:r w:rsidRPr="007B2DBA">
        <w:rPr>
          <w:rFonts w:ascii="Arial" w:hAnsi="Arial" w:cs="Arial"/>
        </w:rPr>
        <w:t xml:space="preserve">The assumptions </w:t>
      </w:r>
      <w:r>
        <w:rPr>
          <w:rFonts w:ascii="Arial" w:hAnsi="Arial" w:cs="Arial"/>
        </w:rPr>
        <w:t xml:space="preserve">used in the analysis above </w:t>
      </w:r>
      <w:r w:rsidRPr="007B2DBA">
        <w:rPr>
          <w:rFonts w:ascii="Arial" w:hAnsi="Arial" w:cs="Arial"/>
        </w:rPr>
        <w:t>look at the situation nationally</w:t>
      </w:r>
      <w:r>
        <w:rPr>
          <w:rFonts w:ascii="Arial" w:hAnsi="Arial" w:cs="Arial"/>
        </w:rPr>
        <w:t xml:space="preserve"> (with an adjustment for relative deprivation impacting on the tenure split)</w:t>
      </w:r>
      <w:r w:rsidRPr="007B2DBA">
        <w:rPr>
          <w:rFonts w:ascii="Arial" w:hAnsi="Arial" w:cs="Arial"/>
        </w:rPr>
        <w:t xml:space="preserve">. At a more local level, the relative health of an area’s population is </w:t>
      </w:r>
      <w:r>
        <w:rPr>
          <w:rFonts w:ascii="Arial" w:hAnsi="Arial" w:cs="Arial"/>
        </w:rPr>
        <w:t xml:space="preserve">also </w:t>
      </w:r>
      <w:r w:rsidRPr="007B2DBA">
        <w:rPr>
          <w:rFonts w:ascii="Arial" w:hAnsi="Arial" w:cs="Arial"/>
        </w:rPr>
        <w:t>likely to influence the need for specialist housing with better levels of health likely to mean residents are able to stay in their own homes for longer</w:t>
      </w:r>
      <w:r>
        <w:rPr>
          <w:rFonts w:ascii="Arial" w:hAnsi="Arial" w:cs="Arial"/>
        </w:rPr>
        <w:t>.</w:t>
      </w:r>
    </w:p>
    <w:p w14:paraId="52F6E913" w14:textId="77777777" w:rsidR="003A5763" w:rsidRDefault="00DC02E5" w:rsidP="00DC02E5">
      <w:pPr>
        <w:pStyle w:val="BodyText"/>
        <w:numPr>
          <w:ilvl w:val="1"/>
          <w:numId w:val="6"/>
        </w:numPr>
        <w:ind w:left="0" w:hanging="709"/>
        <w:rPr>
          <w:rFonts w:ascii="Arial" w:hAnsi="Arial" w:cs="Arial"/>
        </w:rPr>
      </w:pPr>
      <w:r>
        <w:rPr>
          <w:rFonts w:ascii="Arial" w:hAnsi="Arial" w:cs="Arial"/>
        </w:rPr>
        <w:t>A further sensitivity has therefore been developed where r</w:t>
      </w:r>
      <w:r w:rsidRPr="004C7B56">
        <w:rPr>
          <w:rFonts w:ascii="Arial" w:hAnsi="Arial" w:cs="Arial"/>
        </w:rPr>
        <w:t xml:space="preserve">ather than simply taking the base prevalence rates, an adjustment has been made to reflect the relative health of the local older person population. This has been based on Census data about the proportion of the population aged 65 and over who have a long-term health problem or disability (LTHPD) compared with the England average. </w:t>
      </w:r>
    </w:p>
    <w:p w14:paraId="6793B18C" w14:textId="4BF6B7D3" w:rsidR="00DC02E5" w:rsidRDefault="00DC02E5" w:rsidP="00DC02E5">
      <w:pPr>
        <w:pStyle w:val="BodyText"/>
        <w:numPr>
          <w:ilvl w:val="1"/>
          <w:numId w:val="6"/>
        </w:numPr>
        <w:ind w:left="0" w:hanging="709"/>
        <w:rPr>
          <w:rFonts w:ascii="Arial" w:hAnsi="Arial" w:cs="Arial"/>
        </w:rPr>
      </w:pPr>
      <w:r w:rsidRPr="004C7B56">
        <w:rPr>
          <w:rFonts w:ascii="Arial" w:hAnsi="Arial" w:cs="Arial"/>
        </w:rPr>
        <w:t>In Chichester district, the data shows better health in the older person population and so the prevalence rates used have been decreased (by an average of about 16%) – these figures are based on comparing the proportion of people aged 65 and over with a LTHPD in Chichester (44.5%) with the equivalent figure for England (53.1%).</w:t>
      </w:r>
    </w:p>
    <w:p w14:paraId="280F3EC3" w14:textId="77777777" w:rsidR="00DC02E5" w:rsidRPr="004C7B56" w:rsidRDefault="00DC02E5" w:rsidP="00DC02E5">
      <w:pPr>
        <w:pStyle w:val="BodyText"/>
        <w:numPr>
          <w:ilvl w:val="1"/>
          <w:numId w:val="6"/>
        </w:numPr>
        <w:ind w:left="0" w:hanging="709"/>
        <w:rPr>
          <w:rFonts w:ascii="Arial" w:hAnsi="Arial" w:cs="Arial"/>
        </w:rPr>
      </w:pPr>
      <w:r>
        <w:rPr>
          <w:rFonts w:ascii="Arial" w:hAnsi="Arial" w:cs="Arial"/>
        </w:rPr>
        <w:t>This analysis, in the table below, continues to show a need by 2039 for all types of housing studied, although the levels are calculated to be somewhat lower.</w:t>
      </w:r>
    </w:p>
    <w:p w14:paraId="6BE79382" w14:textId="77777777" w:rsidR="00DC02E5" w:rsidRDefault="00DC02E5" w:rsidP="00DC02E5">
      <w:pPr>
        <w:pStyle w:val="BodyText"/>
        <w:numPr>
          <w:ilvl w:val="0"/>
          <w:numId w:val="0"/>
        </w:numPr>
        <w:rPr>
          <w:rFonts w:ascii="Arial" w:hAnsi="Arial" w:cs="Arial"/>
        </w:rPr>
      </w:pPr>
    </w:p>
    <w:p w14:paraId="2E12C5CF" w14:textId="77777777" w:rsidR="00DC02E5" w:rsidRPr="007B2DBA" w:rsidRDefault="00DC02E5" w:rsidP="00DC02E5">
      <w:pPr>
        <w:pStyle w:val="Heading4"/>
        <w:ind w:left="1049" w:hanging="1049"/>
        <w:rPr>
          <w:rFonts w:ascii="Arial" w:hAnsi="Arial" w:cs="Arial"/>
          <w:color w:val="808080" w:themeColor="background1" w:themeShade="80"/>
        </w:rPr>
      </w:pPr>
      <w:r w:rsidRPr="00821ADC">
        <w:rPr>
          <w:rFonts w:ascii="Arial" w:hAnsi="Arial" w:cs="Arial"/>
          <w:color w:val="auto"/>
        </w:rPr>
        <w:lastRenderedPageBreak/>
        <w:t xml:space="preserve">Specialist Housing Need using adjusted </w:t>
      </w:r>
      <w:proofErr w:type="spellStart"/>
      <w:r w:rsidRPr="00821ADC">
        <w:rPr>
          <w:rFonts w:ascii="Arial" w:hAnsi="Arial" w:cs="Arial"/>
          <w:color w:val="auto"/>
        </w:rPr>
        <w:t>SHOP@Review</w:t>
      </w:r>
      <w:proofErr w:type="spellEnd"/>
      <w:r w:rsidRPr="00821ADC">
        <w:rPr>
          <w:rFonts w:ascii="Arial" w:hAnsi="Arial" w:cs="Arial"/>
          <w:color w:val="auto"/>
        </w:rPr>
        <w:t xml:space="preserve"> Assumptions, 2021-39 – Chichester (linked to 638 dpa outside SDNP) and with a health adjustment</w:t>
      </w:r>
    </w:p>
    <w:tbl>
      <w:tblPr>
        <w:tblW w:w="9645" w:type="dxa"/>
        <w:tblInd w:w="-709" w:type="dxa"/>
        <w:tblLayout w:type="fixed"/>
        <w:tblLook w:val="04A0" w:firstRow="1" w:lastRow="0" w:firstColumn="1" w:lastColumn="0" w:noHBand="0" w:noVBand="1"/>
      </w:tblPr>
      <w:tblGrid>
        <w:gridCol w:w="1843"/>
        <w:gridCol w:w="1146"/>
        <w:gridCol w:w="1109"/>
        <w:gridCol w:w="1109"/>
        <w:gridCol w:w="1110"/>
        <w:gridCol w:w="1109"/>
        <w:gridCol w:w="1109"/>
        <w:gridCol w:w="1110"/>
      </w:tblGrid>
      <w:tr w:rsidR="00DC02E5" w:rsidRPr="001C6405" w14:paraId="4DCA3F7C" w14:textId="77777777" w:rsidTr="005A027F">
        <w:trPr>
          <w:trHeight w:val="264"/>
        </w:trPr>
        <w:tc>
          <w:tcPr>
            <w:tcW w:w="1843" w:type="dxa"/>
            <w:tcBorders>
              <w:top w:val="single" w:sz="4" w:space="0" w:color="auto"/>
              <w:left w:val="single" w:sz="4" w:space="0" w:color="auto"/>
              <w:bottom w:val="single" w:sz="4" w:space="0" w:color="auto"/>
              <w:right w:val="single" w:sz="4" w:space="0" w:color="auto"/>
            </w:tcBorders>
            <w:shd w:val="clear" w:color="auto" w:fill="002060"/>
            <w:noWrap/>
          </w:tcPr>
          <w:p w14:paraId="213B591D" w14:textId="77777777" w:rsidR="00DC02E5" w:rsidRPr="00D556DB" w:rsidRDefault="00DC02E5" w:rsidP="005A027F">
            <w:pPr>
              <w:keepNext/>
              <w:spacing w:after="0" w:line="300" w:lineRule="auto"/>
              <w:rPr>
                <w:rFonts w:ascii="Arial" w:hAnsi="Arial" w:cs="Arial"/>
                <w:color w:val="FFFFFF" w:themeColor="background1"/>
              </w:rPr>
            </w:pPr>
          </w:p>
        </w:tc>
        <w:tc>
          <w:tcPr>
            <w:tcW w:w="1146" w:type="dxa"/>
            <w:tcBorders>
              <w:top w:val="single" w:sz="4" w:space="0" w:color="auto"/>
              <w:left w:val="single" w:sz="4" w:space="0" w:color="auto"/>
              <w:bottom w:val="single" w:sz="4" w:space="0" w:color="auto"/>
              <w:right w:val="single" w:sz="4" w:space="0" w:color="auto"/>
            </w:tcBorders>
            <w:shd w:val="clear" w:color="auto" w:fill="002060"/>
            <w:noWrap/>
          </w:tcPr>
          <w:p w14:paraId="7CD668E0" w14:textId="77777777" w:rsidR="00DC02E5" w:rsidRPr="00D556DB" w:rsidRDefault="00DC02E5" w:rsidP="005A027F">
            <w:pPr>
              <w:keepNext/>
              <w:spacing w:after="0" w:line="300" w:lineRule="auto"/>
              <w:rPr>
                <w:rFonts w:ascii="Arial" w:hAnsi="Arial" w:cs="Arial"/>
                <w:color w:val="FFFFFF" w:themeColor="background1"/>
              </w:rPr>
            </w:pP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4882542F"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Housing demand per 1,000 75+</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4AE45DD3"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supply</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35F03DD2"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demand</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5C8076C8"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shortfall/ surplus (-</w:t>
            </w:r>
            <w:proofErr w:type="spellStart"/>
            <w:r w:rsidRPr="00D556DB">
              <w:rPr>
                <w:rFonts w:ascii="Arial" w:hAnsi="Arial" w:cs="Arial"/>
                <w:color w:val="FFFFFF" w:themeColor="background1"/>
              </w:rPr>
              <w:t>ve</w:t>
            </w:r>
            <w:proofErr w:type="spellEnd"/>
            <w:r w:rsidRPr="00D556DB">
              <w:rPr>
                <w:rFonts w:ascii="Arial" w:hAnsi="Arial" w:cs="Arial"/>
                <w:color w:val="FFFFFF" w:themeColor="background1"/>
              </w:rPr>
              <w:t>)</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4759BA29"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Addition-al demand to 2039</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58479920"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Shortfall /surplus by 2039</w:t>
            </w:r>
          </w:p>
        </w:tc>
      </w:tr>
      <w:tr w:rsidR="00DC02E5" w:rsidRPr="001C6405" w14:paraId="0B0ACB65" w14:textId="77777777" w:rsidTr="005A027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62F2503C"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Housing with support</w:t>
            </w:r>
          </w:p>
        </w:tc>
        <w:tc>
          <w:tcPr>
            <w:tcW w:w="1146" w:type="dxa"/>
            <w:tcBorders>
              <w:top w:val="single" w:sz="4" w:space="0" w:color="auto"/>
              <w:left w:val="single" w:sz="4" w:space="0" w:color="auto"/>
              <w:bottom w:val="single" w:sz="4" w:space="0" w:color="auto"/>
              <w:right w:val="single" w:sz="4" w:space="0" w:color="auto"/>
            </w:tcBorders>
            <w:noWrap/>
            <w:hideMark/>
          </w:tcPr>
          <w:p w14:paraId="04FD05FC"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9DB5582"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E6C4892"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864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B28FC0E"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907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E5A7807"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43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FBBA7AA"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509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D1C202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552</w:t>
            </w:r>
          </w:p>
        </w:tc>
      </w:tr>
      <w:tr w:rsidR="00DC02E5" w:rsidRPr="001C6405" w14:paraId="175981D2" w14:textId="77777777" w:rsidTr="005A027F">
        <w:trPr>
          <w:trHeight w:val="264"/>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382996E4" w14:textId="77777777" w:rsidR="00DC02E5" w:rsidRPr="00D556DB" w:rsidRDefault="00DC02E5" w:rsidP="005A027F">
            <w:pPr>
              <w:keepNext/>
              <w:spacing w:after="0" w:line="240" w:lineRule="auto"/>
              <w:jc w:val="left"/>
              <w:rPr>
                <w:rFonts w:ascii="Arial" w:hAnsi="Arial" w:cs="Arial"/>
                <w:color w:val="000000"/>
              </w:rPr>
            </w:pPr>
          </w:p>
        </w:tc>
        <w:tc>
          <w:tcPr>
            <w:tcW w:w="1146" w:type="dxa"/>
            <w:tcBorders>
              <w:top w:val="single" w:sz="4" w:space="0" w:color="auto"/>
              <w:left w:val="single" w:sz="4" w:space="0" w:color="auto"/>
              <w:bottom w:val="single" w:sz="4" w:space="0" w:color="auto"/>
              <w:right w:val="single" w:sz="4" w:space="0" w:color="auto"/>
            </w:tcBorders>
            <w:noWrap/>
            <w:hideMark/>
          </w:tcPr>
          <w:p w14:paraId="2E8E8152"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C03EE1F"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DD2F21B"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758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09EBD4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895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4D0A4AA"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137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349CCFF"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503</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14A382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640</w:t>
            </w:r>
          </w:p>
        </w:tc>
      </w:tr>
      <w:tr w:rsidR="00DC02E5" w:rsidRPr="001C6405" w14:paraId="4B2B2CAA" w14:textId="77777777" w:rsidTr="005A027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5FD6119B"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Total (housing with support)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26E551E"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105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DC42DF9"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1,622</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A248DA2"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1,802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75A7A6F"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180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517D476"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1,011</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E3E6811"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1,192</w:t>
            </w:r>
          </w:p>
        </w:tc>
      </w:tr>
      <w:tr w:rsidR="00DC02E5" w:rsidRPr="001C6405" w14:paraId="67DEA370" w14:textId="77777777" w:rsidTr="005A027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525D6374"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Housing with care</w:t>
            </w:r>
          </w:p>
        </w:tc>
        <w:tc>
          <w:tcPr>
            <w:tcW w:w="1146" w:type="dxa"/>
            <w:tcBorders>
              <w:top w:val="single" w:sz="4" w:space="0" w:color="auto"/>
              <w:left w:val="single" w:sz="4" w:space="0" w:color="auto"/>
              <w:bottom w:val="single" w:sz="4" w:space="0" w:color="auto"/>
              <w:right w:val="single" w:sz="4" w:space="0" w:color="auto"/>
            </w:tcBorders>
            <w:noWrap/>
            <w:hideMark/>
          </w:tcPr>
          <w:p w14:paraId="63BD2FFB"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BE69E07"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9495753"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DA7CA77"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436</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90F23B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436</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4DA7103"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245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B2E3CC8"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680</w:t>
            </w:r>
          </w:p>
        </w:tc>
      </w:tr>
      <w:tr w:rsidR="00DC02E5" w:rsidRPr="001C6405" w14:paraId="60A9BE03" w14:textId="77777777" w:rsidTr="005A027F">
        <w:trPr>
          <w:trHeight w:val="264"/>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6330F759" w14:textId="77777777" w:rsidR="00DC02E5" w:rsidRPr="00D556DB" w:rsidRDefault="00DC02E5" w:rsidP="005A027F">
            <w:pPr>
              <w:keepNext/>
              <w:spacing w:after="0" w:line="240" w:lineRule="auto"/>
              <w:jc w:val="left"/>
              <w:rPr>
                <w:rFonts w:ascii="Arial" w:hAnsi="Arial" w:cs="Arial"/>
                <w:color w:val="000000"/>
              </w:rPr>
            </w:pPr>
          </w:p>
        </w:tc>
        <w:tc>
          <w:tcPr>
            <w:tcW w:w="1146" w:type="dxa"/>
            <w:tcBorders>
              <w:top w:val="single" w:sz="4" w:space="0" w:color="auto"/>
              <w:left w:val="single" w:sz="4" w:space="0" w:color="auto"/>
              <w:bottom w:val="single" w:sz="4" w:space="0" w:color="auto"/>
              <w:right w:val="single" w:sz="4" w:space="0" w:color="auto"/>
            </w:tcBorders>
            <w:noWrap/>
            <w:hideMark/>
          </w:tcPr>
          <w:p w14:paraId="688DEE3E"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7F9A35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EFCA3F0"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D2A0BC6"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213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1127FC0"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139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DBBB3E6"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120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4F185E1"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259</w:t>
            </w:r>
          </w:p>
        </w:tc>
      </w:tr>
      <w:tr w:rsidR="00DC02E5" w:rsidRPr="001C6405" w14:paraId="18D35912" w14:textId="77777777" w:rsidTr="005A027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6AEB588C" w14:textId="77777777" w:rsidR="00DC02E5" w:rsidRPr="00D556DB" w:rsidRDefault="00DC02E5" w:rsidP="005A027F">
            <w:pPr>
              <w:keepNext/>
              <w:spacing w:after="0" w:line="300" w:lineRule="auto"/>
              <w:rPr>
                <w:rFonts w:ascii="Arial" w:hAnsi="Arial" w:cs="Arial"/>
                <w:color w:val="000000"/>
              </w:rPr>
            </w:pPr>
            <w:r w:rsidRPr="00D556DB">
              <w:rPr>
                <w:rFonts w:ascii="Arial" w:hAnsi="Arial" w:cs="Arial"/>
                <w:color w:val="000000"/>
              </w:rPr>
              <w:t>Total (housing with care)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1B0DC6E"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905659D"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3F182954"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649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CF64792"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F246D87"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38AA471"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939</w:t>
            </w:r>
          </w:p>
        </w:tc>
      </w:tr>
      <w:tr w:rsidR="00DC02E5" w:rsidRPr="001C6405" w14:paraId="7EE74DEF" w14:textId="77777777" w:rsidTr="005A027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7F0CCF18" w14:textId="77777777" w:rsidR="00DC02E5" w:rsidRPr="00D556DB" w:rsidRDefault="00DC02E5" w:rsidP="005A027F">
            <w:pPr>
              <w:keepNext/>
              <w:spacing w:after="0" w:line="300" w:lineRule="auto"/>
              <w:rPr>
                <w:rFonts w:ascii="Arial" w:hAnsi="Arial" w:cs="Arial"/>
                <w:color w:val="000000"/>
              </w:rPr>
            </w:pPr>
            <w:r w:rsidRPr="00D556DB">
              <w:rPr>
                <w:rFonts w:ascii="Arial" w:hAnsi="Arial" w:cs="Arial"/>
                <w:color w:val="000000"/>
              </w:rPr>
              <w:t>Residential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971B778"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34</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A9831DE"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840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BBDB8C4"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577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865E3A4"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7DAB30A"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324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C1363C5"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60</w:t>
            </w:r>
          </w:p>
        </w:tc>
      </w:tr>
      <w:tr w:rsidR="00DC02E5" w:rsidRPr="001C6405" w14:paraId="4AAE0CC7" w14:textId="77777777" w:rsidTr="005A027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0AA5D412" w14:textId="77777777" w:rsidR="00DC02E5" w:rsidRPr="00D556DB" w:rsidRDefault="00DC02E5" w:rsidP="005A027F">
            <w:pPr>
              <w:keepNext/>
              <w:spacing w:after="0" w:line="300" w:lineRule="auto"/>
              <w:rPr>
                <w:rFonts w:ascii="Arial" w:hAnsi="Arial" w:cs="Arial"/>
                <w:color w:val="000000"/>
              </w:rPr>
            </w:pPr>
            <w:r w:rsidRPr="00D556DB">
              <w:rPr>
                <w:rFonts w:ascii="Arial" w:hAnsi="Arial" w:cs="Arial"/>
                <w:color w:val="000000"/>
              </w:rPr>
              <w:t>Nursing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6C56EF7"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F3EA497"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644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13D0ACD"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649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DD41B0F"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D1EFE50"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90F4A9C"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369</w:t>
            </w:r>
          </w:p>
        </w:tc>
      </w:tr>
      <w:tr w:rsidR="00DC02E5" w:rsidRPr="001C6405" w14:paraId="17EFB945" w14:textId="77777777" w:rsidTr="005A027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122CFA6C" w14:textId="77777777" w:rsidR="00DC02E5" w:rsidRPr="00D556DB" w:rsidRDefault="00DC02E5" w:rsidP="005A027F">
            <w:pPr>
              <w:keepNext/>
              <w:spacing w:after="0" w:line="300" w:lineRule="auto"/>
              <w:rPr>
                <w:rFonts w:ascii="Arial" w:hAnsi="Arial" w:cs="Arial"/>
                <w:color w:val="000000"/>
              </w:rPr>
            </w:pPr>
            <w:r w:rsidRPr="00D556DB">
              <w:rPr>
                <w:rFonts w:ascii="Arial" w:hAnsi="Arial" w:cs="Arial"/>
                <w:color w:val="000000"/>
              </w:rPr>
              <w:t>Total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28FC9B0"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71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1395794"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1,484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FE19F28"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1,225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DA3ABEF"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-259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B07A09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688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EA9174C"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429</w:t>
            </w:r>
          </w:p>
        </w:tc>
      </w:tr>
    </w:tbl>
    <w:p w14:paraId="62A34CCD" w14:textId="77777777" w:rsidR="00DC02E5" w:rsidRPr="00D556DB" w:rsidRDefault="00DC02E5" w:rsidP="00DC02E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Demographic Projections and Housing LIN/EAC</w:t>
      </w:r>
    </w:p>
    <w:p w14:paraId="679A461A" w14:textId="77777777" w:rsidR="003A5763" w:rsidRDefault="00DC02E5" w:rsidP="00DC02E5">
      <w:pPr>
        <w:pStyle w:val="BodyText"/>
        <w:numPr>
          <w:ilvl w:val="1"/>
          <w:numId w:val="6"/>
        </w:numPr>
        <w:ind w:left="0" w:hanging="709"/>
        <w:rPr>
          <w:rFonts w:ascii="Arial" w:hAnsi="Arial" w:cs="Arial"/>
        </w:rPr>
      </w:pPr>
      <w:r w:rsidRPr="00D556DB">
        <w:rPr>
          <w:rFonts w:ascii="Arial" w:hAnsi="Arial" w:cs="Arial"/>
        </w:rPr>
        <w:t xml:space="preserve">It can be seen by 2039 there is an estimated need for </w:t>
      </w:r>
      <w:r>
        <w:rPr>
          <w:rFonts w:ascii="Arial" w:hAnsi="Arial" w:cs="Arial"/>
        </w:rPr>
        <w:t xml:space="preserve">between </w:t>
      </w:r>
      <w:r w:rsidRPr="00D556DB">
        <w:rPr>
          <w:rFonts w:ascii="Arial" w:hAnsi="Arial" w:cs="Arial"/>
        </w:rPr>
        <w:t xml:space="preserve">2,131 </w:t>
      </w:r>
      <w:r>
        <w:rPr>
          <w:rFonts w:ascii="Arial" w:hAnsi="Arial" w:cs="Arial"/>
        </w:rPr>
        <w:t xml:space="preserve">and 2,872 </w:t>
      </w:r>
      <w:r w:rsidRPr="00D556DB">
        <w:rPr>
          <w:rFonts w:ascii="Arial" w:hAnsi="Arial" w:cs="Arial"/>
        </w:rPr>
        <w:t>additional dwellings with support or care across the whole study area. In addition, there is a need for 429</w:t>
      </w:r>
      <w:r>
        <w:rPr>
          <w:rFonts w:ascii="Arial" w:hAnsi="Arial" w:cs="Arial"/>
        </w:rPr>
        <w:t>-800</w:t>
      </w:r>
      <w:r w:rsidRPr="00D556DB">
        <w:rPr>
          <w:rFonts w:ascii="Arial" w:hAnsi="Arial" w:cs="Arial"/>
        </w:rPr>
        <w:t xml:space="preserve"> additional nursing and residential care bedspaces. </w:t>
      </w:r>
    </w:p>
    <w:p w14:paraId="2DC65247" w14:textId="5ADCE717" w:rsidR="00DC02E5" w:rsidRDefault="00DC02E5" w:rsidP="00DC02E5">
      <w:pPr>
        <w:pStyle w:val="BodyText"/>
        <w:numPr>
          <w:ilvl w:val="1"/>
          <w:numId w:val="6"/>
        </w:numPr>
        <w:ind w:left="0" w:hanging="709"/>
        <w:rPr>
          <w:rFonts w:ascii="Arial" w:hAnsi="Arial" w:cs="Arial"/>
        </w:rPr>
      </w:pPr>
      <w:r w:rsidRPr="00D556DB">
        <w:rPr>
          <w:rFonts w:ascii="Arial" w:hAnsi="Arial" w:cs="Arial"/>
        </w:rPr>
        <w:t>Typically for bedspaces it is conventional to convert to dwellings using a standard multiplier (1.80 bedspaces per dwelling for older persons accommodation) and this would therefore equate to around 238</w:t>
      </w:r>
      <w:r>
        <w:rPr>
          <w:rFonts w:ascii="Arial" w:hAnsi="Arial" w:cs="Arial"/>
        </w:rPr>
        <w:t>-445</w:t>
      </w:r>
      <w:r w:rsidRPr="00D556DB">
        <w:rPr>
          <w:rFonts w:ascii="Arial" w:hAnsi="Arial" w:cs="Arial"/>
        </w:rPr>
        <w:t xml:space="preserve"> dwellings. </w:t>
      </w:r>
    </w:p>
    <w:p w14:paraId="2C4F46A9" w14:textId="77777777" w:rsidR="00DC02E5" w:rsidRDefault="00DC02E5" w:rsidP="00DC02E5">
      <w:pPr>
        <w:pStyle w:val="BodyText"/>
        <w:numPr>
          <w:ilvl w:val="1"/>
          <w:numId w:val="6"/>
        </w:numPr>
        <w:ind w:left="0" w:hanging="709"/>
        <w:rPr>
          <w:rFonts w:ascii="Arial" w:hAnsi="Arial" w:cs="Arial"/>
        </w:rPr>
      </w:pPr>
      <w:r w:rsidRPr="00D556DB">
        <w:rPr>
          <w:rFonts w:ascii="Arial" w:hAnsi="Arial" w:cs="Arial"/>
        </w:rPr>
        <w:t>In total, the older persons analysis points towards a need for around 2,369</w:t>
      </w:r>
      <w:r>
        <w:rPr>
          <w:rFonts w:ascii="Arial" w:hAnsi="Arial" w:cs="Arial"/>
        </w:rPr>
        <w:t>-3,317</w:t>
      </w:r>
      <w:r w:rsidRPr="00D556DB">
        <w:rPr>
          <w:rFonts w:ascii="Arial" w:hAnsi="Arial" w:cs="Arial"/>
        </w:rPr>
        <w:t xml:space="preserve"> units over the 2021-39 period (132</w:t>
      </w:r>
      <w:r>
        <w:rPr>
          <w:rFonts w:ascii="Arial" w:hAnsi="Arial" w:cs="Arial"/>
        </w:rPr>
        <w:t>-184</w:t>
      </w:r>
      <w:r w:rsidRPr="00D556DB">
        <w:rPr>
          <w:rFonts w:ascii="Arial" w:hAnsi="Arial" w:cs="Arial"/>
        </w:rPr>
        <w:t xml:space="preserve"> per annum) – the older person need equates to some 17</w:t>
      </w:r>
      <w:r>
        <w:rPr>
          <w:rFonts w:ascii="Arial" w:hAnsi="Arial" w:cs="Arial"/>
        </w:rPr>
        <w:t>-24%</w:t>
      </w:r>
      <w:r w:rsidRPr="00D556DB">
        <w:rPr>
          <w:rFonts w:ascii="Arial" w:hAnsi="Arial" w:cs="Arial"/>
        </w:rPr>
        <w:t xml:space="preserve"> of all homes needing to be some form of specialist accommodation for older people.</w:t>
      </w:r>
    </w:p>
    <w:p w14:paraId="64E551A0"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provision of a choice of attractive housing options to older households is a component of achieving good housing mix. The availability of such housing options for the growing older population may enable some older households to downsize from homes which no longer meet their housing needs or are expensive to run. The availability of housing options which are accessible to older people will also provide the opportunity for older households to ‘</w:t>
      </w:r>
      <w:proofErr w:type="spellStart"/>
      <w:r w:rsidRPr="00D556DB">
        <w:rPr>
          <w:rFonts w:ascii="Arial" w:hAnsi="Arial" w:cs="Arial"/>
        </w:rPr>
        <w:t>rightsize</w:t>
      </w:r>
      <w:proofErr w:type="spellEnd"/>
      <w:r w:rsidRPr="00D556DB">
        <w:rPr>
          <w:rFonts w:ascii="Arial" w:hAnsi="Arial" w:cs="Arial"/>
        </w:rPr>
        <w:t>’ which can help improve their quality of life.</w:t>
      </w:r>
    </w:p>
    <w:p w14:paraId="4805AC46" w14:textId="77777777" w:rsidR="001A7584" w:rsidRDefault="00360825" w:rsidP="001A7584">
      <w:pPr>
        <w:pStyle w:val="BodyText"/>
        <w:numPr>
          <w:ilvl w:val="1"/>
          <w:numId w:val="6"/>
        </w:numPr>
        <w:ind w:left="0" w:hanging="709"/>
        <w:rPr>
          <w:rFonts w:ascii="Arial" w:hAnsi="Arial" w:cs="Arial"/>
        </w:rPr>
      </w:pPr>
      <w:r w:rsidRPr="00D556DB">
        <w:rPr>
          <w:rFonts w:ascii="Arial" w:hAnsi="Arial" w:cs="Arial"/>
        </w:rPr>
        <w:t xml:space="preserve">It should also be noted that within any category of need there may be a range of products. For example, many recent market extra-care schemes have tended to be focused towards the ‘top-end’ of the market and may have significant service charges (due to the level and quality of facilities and services). </w:t>
      </w:r>
    </w:p>
    <w:p w14:paraId="4C795259" w14:textId="1CAEDBE3" w:rsidR="00360825" w:rsidRDefault="00360825" w:rsidP="001A7584">
      <w:pPr>
        <w:pStyle w:val="BodyText"/>
        <w:numPr>
          <w:ilvl w:val="1"/>
          <w:numId w:val="6"/>
        </w:numPr>
        <w:ind w:left="0" w:hanging="709"/>
        <w:rPr>
          <w:rFonts w:ascii="Arial" w:hAnsi="Arial" w:cs="Arial"/>
        </w:rPr>
      </w:pPr>
      <w:r w:rsidRPr="00D556DB">
        <w:rPr>
          <w:rFonts w:ascii="Arial" w:hAnsi="Arial" w:cs="Arial"/>
        </w:rPr>
        <w:lastRenderedPageBreak/>
        <w:t>Such homes may therefore only be affordable to a small proportion of the potential market, and it will be important for the Council to seek a range of products that will be accessible to a wider number of households if needs are to be met.</w:t>
      </w:r>
    </w:p>
    <w:p w14:paraId="4B3754FC" w14:textId="02B64DB1" w:rsidR="001A7584" w:rsidRDefault="00A4147B" w:rsidP="001A7584">
      <w:pPr>
        <w:pStyle w:val="BodyText"/>
        <w:numPr>
          <w:ilvl w:val="1"/>
          <w:numId w:val="6"/>
        </w:numPr>
        <w:ind w:left="0" w:hanging="709"/>
        <w:rPr>
          <w:rFonts w:ascii="Arial" w:hAnsi="Arial" w:cs="Arial"/>
        </w:rPr>
      </w:pPr>
      <w:r>
        <w:rPr>
          <w:rFonts w:ascii="Arial" w:hAnsi="Arial" w:cs="Arial"/>
        </w:rPr>
        <w:t>It is also the case that for Extra Care additional units will</w:t>
      </w:r>
      <w:r w:rsidR="00F31875">
        <w:rPr>
          <w:rFonts w:ascii="Arial" w:hAnsi="Arial" w:cs="Arial"/>
        </w:rPr>
        <w:t>,</w:t>
      </w:r>
      <w:r>
        <w:rPr>
          <w:rFonts w:ascii="Arial" w:hAnsi="Arial" w:cs="Arial"/>
        </w:rPr>
        <w:t xml:space="preserve"> to some degree</w:t>
      </w:r>
      <w:r w:rsidR="00F31875">
        <w:rPr>
          <w:rFonts w:ascii="Arial" w:hAnsi="Arial" w:cs="Arial"/>
        </w:rPr>
        <w:t>,</w:t>
      </w:r>
      <w:r>
        <w:rPr>
          <w:rFonts w:ascii="Arial" w:hAnsi="Arial" w:cs="Arial"/>
        </w:rPr>
        <w:t xml:space="preserve"> take pressure o</w:t>
      </w:r>
      <w:r w:rsidR="00F31875">
        <w:rPr>
          <w:rFonts w:ascii="Arial" w:hAnsi="Arial" w:cs="Arial"/>
        </w:rPr>
        <w:t>f</w:t>
      </w:r>
      <w:r>
        <w:rPr>
          <w:rFonts w:ascii="Arial" w:hAnsi="Arial" w:cs="Arial"/>
        </w:rPr>
        <w:t>f the demand for residential care. This is because such housing can provide services and facilities to allow people to live in their homes for longer. It also has the added benefit of being more cost effective for the public purse.</w:t>
      </w:r>
    </w:p>
    <w:p w14:paraId="7B3660DD" w14:textId="21B2D1B8" w:rsidR="001A7584" w:rsidRPr="00D556DB" w:rsidRDefault="001A7584" w:rsidP="001A7584">
      <w:pPr>
        <w:pStyle w:val="BodyText"/>
        <w:numPr>
          <w:ilvl w:val="1"/>
          <w:numId w:val="6"/>
        </w:numPr>
        <w:ind w:left="0" w:hanging="709"/>
        <w:rPr>
          <w:rFonts w:ascii="Arial" w:hAnsi="Arial" w:cs="Arial"/>
        </w:rPr>
      </w:pPr>
      <w:r>
        <w:rPr>
          <w:rFonts w:ascii="Arial" w:hAnsi="Arial" w:cs="Arial"/>
        </w:rPr>
        <w:t>The Council may also wish to consider allocating specific sites for housing with care as this type of specialist housing can rarely compete with other forms of housing in purchasing land.</w:t>
      </w:r>
    </w:p>
    <w:p w14:paraId="6558F766" w14:textId="77777777" w:rsidR="00360825" w:rsidRPr="00D556DB" w:rsidRDefault="00360825" w:rsidP="00360825">
      <w:pPr>
        <w:pStyle w:val="Heading2"/>
        <w:rPr>
          <w:rFonts w:ascii="Arial" w:eastAsiaTheme="majorEastAsia" w:hAnsi="Arial" w:cs="Arial"/>
        </w:rPr>
      </w:pPr>
      <w:r w:rsidRPr="00D556DB">
        <w:rPr>
          <w:rFonts w:ascii="Arial" w:hAnsi="Arial" w:cs="Arial"/>
          <w:bCs/>
        </w:rPr>
        <w:t>Older Persons’ Housing, Planning Use Classes and Affordable Housing Policies</w:t>
      </w:r>
    </w:p>
    <w:p w14:paraId="2117E072"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The issue of use classes and affordable housing generally arises in respect of extra care/ assisted living development schemes. The Planning Practice Guidance defines extra care housing or housing with care as follows: </w:t>
      </w:r>
    </w:p>
    <w:p w14:paraId="2C0A2778" w14:textId="77777777" w:rsidR="00360825" w:rsidRPr="00DE1AA1" w:rsidRDefault="00360825" w:rsidP="00360825">
      <w:pPr>
        <w:spacing w:line="240" w:lineRule="auto"/>
        <w:ind w:left="720"/>
        <w:rPr>
          <w:rFonts w:ascii="Arial" w:hAnsi="Arial" w:cs="Arial"/>
          <w:i/>
          <w:iCs/>
        </w:rPr>
      </w:pPr>
      <w:r w:rsidRPr="00DE1AA1">
        <w:rPr>
          <w:rFonts w:ascii="Arial" w:hAnsi="Arial" w:cs="Arial"/>
          <w:i/>
          <w:iCs/>
        </w:rPr>
        <w:t>“This usually consists of purpose-built or adapted flats or bungalows with a medium to high level of care available if required, through an onsite care agency registered through the Care Quality Commission (CQC). Residents are able to live independently with 24 hour access to support services and staff, and meals are also available. There are often extensive communal areas, such as space to socialise or a wellbeing centre. In some cases, these developments are known as retirement communities or villages - the intention is for residents to benefit from varying levels of care as time progresses.”</w:t>
      </w:r>
    </w:p>
    <w:p w14:paraId="1C98E6F6"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There is a degree to which different terms can be used for this type of development inter-changeably, with reference sometimes made to extra care, assisted living, continuing care retirement communities, or retirement villages. Accommodation units typically include sleeping and living accommodation, bathrooms and kitchens; and have their own front door. Properties having their own front doors is not however determinative of use.</w:t>
      </w:r>
    </w:p>
    <w:p w14:paraId="30E11FF8"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distinguishing features of housing with care is the provision of personal care through an agency registered with the Care Quality Commission, and the inclusion of extensive facilities and communal space within these forms of development, which distinguish them from blocks of retirement flats.</w:t>
      </w:r>
    </w:p>
    <w:p w14:paraId="47943433" w14:textId="77777777" w:rsidR="00360825" w:rsidRPr="00D556DB" w:rsidRDefault="00360825" w:rsidP="00360825">
      <w:pPr>
        <w:pStyle w:val="Heading3"/>
        <w:spacing w:after="120"/>
        <w:rPr>
          <w:rFonts w:ascii="Arial" w:hAnsi="Arial" w:cs="Arial"/>
          <w:b w:val="0"/>
          <w:bCs/>
        </w:rPr>
      </w:pPr>
      <w:r w:rsidRPr="00D556DB">
        <w:rPr>
          <w:rStyle w:val="Emphasis"/>
          <w:rFonts w:ascii="Arial" w:hAnsi="Arial" w:cs="Arial"/>
          <w:b w:val="0"/>
          <w:bCs/>
        </w:rPr>
        <w:t>Use Classes</w:t>
      </w:r>
    </w:p>
    <w:p w14:paraId="1BA370D4"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Use classes are defined in the Town and Country Planning (Use Classes) Order 1987. Use Class C2: Residential Institutions is defined as</w:t>
      </w:r>
      <w:r w:rsidRPr="00D556DB">
        <w:rPr>
          <w:rFonts w:ascii="Arial" w:hAnsi="Arial" w:cs="Arial"/>
          <w:i/>
          <w:iCs/>
        </w:rPr>
        <w:t xml:space="preserve"> “use for the provision of residential accommodation and care to people in need of care (other than a use within class C3 (dwelling houses)</w:t>
      </w:r>
      <w:r w:rsidRPr="00D556DB">
        <w:rPr>
          <w:rFonts w:ascii="Arial" w:hAnsi="Arial" w:cs="Arial"/>
        </w:rPr>
        <w:t>.” C3 (dwelling houses) are defined as “</w:t>
      </w:r>
      <w:r w:rsidRPr="00D556DB">
        <w:rPr>
          <w:rFonts w:ascii="Arial" w:hAnsi="Arial" w:cs="Arial"/>
          <w:i/>
          <w:iCs/>
        </w:rPr>
        <w:t xml:space="preserve">use as a dwelling house (whether or not as a sole or main residence) a) by </w:t>
      </w:r>
      <w:r w:rsidRPr="00D556DB">
        <w:rPr>
          <w:rFonts w:ascii="Arial" w:hAnsi="Arial" w:cs="Arial"/>
          <w:i/>
          <w:iCs/>
        </w:rPr>
        <w:lastRenderedPageBreak/>
        <w:t>a single person or by people living together as a family; or b) by no more than 6 residents living together as a single household (including a household where care is provided for residents)</w:t>
      </w:r>
      <w:r w:rsidRPr="00D556DB">
        <w:rPr>
          <w:rFonts w:ascii="Arial" w:hAnsi="Arial" w:cs="Arial"/>
        </w:rPr>
        <w:t>.”</w:t>
      </w:r>
    </w:p>
    <w:p w14:paraId="682C48DC"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Care is defined in the Use Class Order as meaning “personal care for people in need of such care by reason of old age, disablement, past or present dependence on alcohol or drugs or past or present mental disorder, and in class C2 also includes the personal care of children and medical care and treatment.”</w:t>
      </w:r>
    </w:p>
    <w:p w14:paraId="05F40395"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Personal care has been defined in Regulations</w:t>
      </w:r>
      <w:r w:rsidRPr="00D556DB">
        <w:rPr>
          <w:rStyle w:val="BalloonTextChar"/>
          <w:rFonts w:ascii="Arial" w:eastAsiaTheme="minorEastAsia" w:hAnsi="Arial" w:cs="Arial"/>
        </w:rPr>
        <w:footnoteReference w:id="12"/>
      </w:r>
      <w:r w:rsidRPr="00D556DB">
        <w:rPr>
          <w:rFonts w:ascii="Arial" w:hAnsi="Arial" w:cs="Arial"/>
        </w:rPr>
        <w:t xml:space="preserve"> as “the provision of personal care for persons who, by reasons of old age, illness or disability are unable to provide it for themselves, and which is provided in a place where those persons are living at the time the care is provided.”</w:t>
      </w:r>
    </w:p>
    <w:p w14:paraId="7D3A0E91"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 xml:space="preserve">Government has released new Planning Practice Guidance of </w:t>
      </w:r>
      <w:r w:rsidRPr="00D556DB">
        <w:rPr>
          <w:rFonts w:ascii="Arial" w:hAnsi="Arial" w:cs="Arial"/>
          <w:i/>
          <w:iCs/>
        </w:rPr>
        <w:t>Housing for Older and Disabled People</w:t>
      </w:r>
      <w:r w:rsidRPr="00D556DB">
        <w:rPr>
          <w:rFonts w:ascii="Arial" w:hAnsi="Arial" w:cs="Arial"/>
        </w:rPr>
        <w:t xml:space="preserve"> in June 2019. In respect of Use Classes, Para 63-014 therein states that: </w:t>
      </w:r>
    </w:p>
    <w:p w14:paraId="374DCDA8" w14:textId="77777777" w:rsidR="00360825" w:rsidRPr="00DE1AA1" w:rsidRDefault="00360825" w:rsidP="00360825">
      <w:pPr>
        <w:widowControl w:val="0"/>
        <w:spacing w:line="240" w:lineRule="auto"/>
        <w:ind w:left="720"/>
        <w:rPr>
          <w:rFonts w:ascii="Arial" w:hAnsi="Arial" w:cs="Arial"/>
          <w:i/>
          <w:iCs/>
        </w:rPr>
      </w:pPr>
      <w:r w:rsidRPr="00DE1AA1">
        <w:rPr>
          <w:rFonts w:ascii="Arial" w:hAnsi="Arial" w:cs="Arial"/>
          <w:i/>
          <w:iCs/>
        </w:rPr>
        <w:t>“It is for a local planning authority to consider into which use class a particular development may fall. When determining whether a development for specialist housing for older people falls within C2 (Residential Institutions) or C3 (Dwelling house) of the Use Classes Order, consideration could, for example, be given to the level of care and scale of communal facilities provided.”</w:t>
      </w:r>
    </w:p>
    <w:p w14:paraId="3ED77EF9"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 xml:space="preserve">The relevant factors identified herein are the level of care which is provided, and the scale of communal facilities. It is notable that no reference is made to whether units of accommodation have separate front doors. This is consistent with the Use Class Order, where </w:t>
      </w:r>
      <w:r w:rsidRPr="00D556DB">
        <w:rPr>
          <w:rFonts w:ascii="Arial" w:hAnsi="Arial" w:cs="Arial"/>
          <w:u w:val="single"/>
        </w:rPr>
        <w:t>it is the ongoing provision of care which is the distinguishing feature within the C2 definition</w:t>
      </w:r>
      <w:r w:rsidRPr="00D556DB">
        <w:rPr>
          <w:rFonts w:ascii="Arial" w:hAnsi="Arial" w:cs="Arial"/>
        </w:rPr>
        <w:t>. In a C2 use, the provision of care is an essential and ongoing characteristic of the development and would normally be secured as such through the S106 Agreement.</w:t>
      </w:r>
    </w:p>
    <w:p w14:paraId="6C2EE13C"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A range of appeal decisions have addressed issues relating to how to define the use class of a development. These are fact specific, and there is a need to consider the particular nature of the scheme. What arises from this, is that schemes which have been accepted as a C2 use commonly demonstrate the following characteristics:</w:t>
      </w:r>
    </w:p>
    <w:p w14:paraId="5D839F46" w14:textId="77777777" w:rsidR="00360825" w:rsidRPr="00DE1AA1" w:rsidRDefault="00360825" w:rsidP="001A7584">
      <w:pPr>
        <w:numPr>
          <w:ilvl w:val="0"/>
          <w:numId w:val="35"/>
        </w:numPr>
        <w:spacing w:line="300" w:lineRule="auto"/>
        <w:ind w:left="714" w:hanging="357"/>
        <w:jc w:val="left"/>
        <w:rPr>
          <w:rFonts w:ascii="Arial" w:hAnsi="Arial" w:cs="Arial"/>
        </w:rPr>
      </w:pPr>
      <w:r w:rsidRPr="00DE1AA1">
        <w:rPr>
          <w:rFonts w:ascii="Arial" w:hAnsi="Arial" w:cs="Arial"/>
        </w:rPr>
        <w:t xml:space="preserve">Occupation restricted to people (at least one within a household) in need of personal care, with an obligation for such residents to subscribe to a minimum care package. Whilst there has been debate about the minimum level of care to which residents must sign-up to, it is considered that this should not be determinative given that a) residents’ care needs would typically change over time, and in most cases increase; and b) for those without a care need the relative costs associated with the care package would be off-putting. </w:t>
      </w:r>
    </w:p>
    <w:p w14:paraId="1D82309A" w14:textId="77777777" w:rsidR="00360825" w:rsidRPr="00DE1AA1" w:rsidRDefault="00360825" w:rsidP="001A7584">
      <w:pPr>
        <w:numPr>
          <w:ilvl w:val="0"/>
          <w:numId w:val="35"/>
        </w:numPr>
        <w:spacing w:line="300" w:lineRule="auto"/>
        <w:ind w:left="714" w:hanging="357"/>
        <w:jc w:val="left"/>
        <w:rPr>
          <w:rFonts w:ascii="Arial" w:hAnsi="Arial" w:cs="Arial"/>
        </w:rPr>
      </w:pPr>
      <w:r w:rsidRPr="00DE1AA1">
        <w:rPr>
          <w:rFonts w:ascii="Arial" w:hAnsi="Arial" w:cs="Arial"/>
        </w:rPr>
        <w:lastRenderedPageBreak/>
        <w:t>Provision of access to a range of communal areas and facilities, typically beyond that of simply a communal lounge, with the access to these facilities typically reflected in the service charge.</w:t>
      </w:r>
    </w:p>
    <w:p w14:paraId="268F3433" w14:textId="77777777" w:rsidR="00360825" w:rsidRPr="00D556DB" w:rsidRDefault="00360825" w:rsidP="00360825">
      <w:pPr>
        <w:pStyle w:val="Heading3"/>
        <w:rPr>
          <w:rFonts w:ascii="Arial" w:hAnsi="Arial" w:cs="Arial"/>
        </w:rPr>
      </w:pPr>
      <w:r w:rsidRPr="00D556DB">
        <w:rPr>
          <w:rStyle w:val="Emphasis"/>
          <w:rFonts w:ascii="Arial" w:hAnsi="Arial" w:cs="Arial"/>
          <w:i w:val="0"/>
          <w:iCs w:val="0"/>
        </w:rPr>
        <w:t>NPPF Policies on Affordable Housing</w:t>
      </w:r>
    </w:p>
    <w:p w14:paraId="5ED26177"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For the purposes of developing planning policies in a new Local Plan, use class on its own need not be determinative on whether affordable housing provision could be applied. In all cases we are dealing with residential accommodation. But nor is there a clear policy basis for seeking affordable housing provision or contributions from a C2 use in the absence of a development plan policy which seeks to do so.</w:t>
      </w:r>
    </w:p>
    <w:p w14:paraId="47F2035F"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The NPPF (July 2021) sets out in paragraph 34 that Plans should set out the contributions expected from development, including levels of affordable housing. Such policies should not undermine the deliverability of the Plan. Paragraph 63 states that where a need for affordable housing is identified, planning policies should specify the type of affordable housing required, and expect it to be met on-site unless off-site provision or a financial contribution can be robustly justified; and the agreed approach contributes to the objective of creating mixed and balanced communities.</w:t>
      </w:r>
    </w:p>
    <w:p w14:paraId="2A7837FE"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Paragraph 64 states that affordable housing should not be sought from residential developments that are not major developments. Paragraph 65 sets out that specialist accommodation for a group of people with specific needs (such as purpose-built accommodation for the elderly or students) are exempt from the requirement for 10% of homes (as part of the affordable housing contribution) to be for affordable home ownership. But neither of these paragraphs set out that certain types of specialist accommodation for older persons are exempt from affordable housing contributions.</w:t>
      </w:r>
    </w:p>
    <w:p w14:paraId="6108D500"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The implication for Chichester is that:</w:t>
      </w:r>
    </w:p>
    <w:p w14:paraId="2AE05703" w14:textId="77777777" w:rsidR="00360825" w:rsidRPr="00DE1AA1" w:rsidRDefault="00360825" w:rsidP="001A7584">
      <w:pPr>
        <w:numPr>
          <w:ilvl w:val="0"/>
          <w:numId w:val="36"/>
        </w:numPr>
        <w:spacing w:line="300" w:lineRule="auto"/>
        <w:ind w:left="714" w:hanging="357"/>
        <w:jc w:val="left"/>
        <w:rPr>
          <w:rFonts w:ascii="Arial" w:hAnsi="Arial" w:cs="Arial"/>
        </w:rPr>
      </w:pPr>
      <w:r w:rsidRPr="00DE1AA1">
        <w:rPr>
          <w:rFonts w:ascii="Arial" w:hAnsi="Arial" w:cs="Arial"/>
        </w:rPr>
        <w:t xml:space="preserve">The ability to seek affordable housing contributions from a C2 use </w:t>
      </w:r>
      <w:r w:rsidRPr="00DE1AA1">
        <w:rPr>
          <w:rFonts w:ascii="Arial" w:hAnsi="Arial" w:cs="Arial"/>
          <w:u w:val="single"/>
        </w:rPr>
        <w:t>at the current time</w:t>
      </w:r>
      <w:r w:rsidRPr="00DE1AA1">
        <w:rPr>
          <w:rFonts w:ascii="Arial" w:hAnsi="Arial" w:cs="Arial"/>
        </w:rPr>
        <w:t xml:space="preserve"> is influenced by how its current development plan policies were constructed and evidenced; and</w:t>
      </w:r>
    </w:p>
    <w:p w14:paraId="7B76EB26" w14:textId="77777777" w:rsidR="00360825" w:rsidRPr="00DE1AA1" w:rsidRDefault="00360825" w:rsidP="001A7584">
      <w:pPr>
        <w:widowControl w:val="0"/>
        <w:numPr>
          <w:ilvl w:val="0"/>
          <w:numId w:val="36"/>
        </w:numPr>
        <w:spacing w:line="300" w:lineRule="auto"/>
        <w:ind w:left="714" w:hanging="357"/>
        <w:jc w:val="left"/>
        <w:rPr>
          <w:rFonts w:ascii="Arial" w:hAnsi="Arial" w:cs="Arial"/>
        </w:rPr>
      </w:pPr>
      <w:r w:rsidRPr="00DE1AA1">
        <w:rPr>
          <w:rFonts w:ascii="Arial" w:hAnsi="Arial" w:cs="Arial"/>
        </w:rPr>
        <w:t xml:space="preserve">If policies in a new development plan are appropriately crafted and supported by the necessary evidence on need and viability, affordable housing contributions could be sought from a C2 use through policies in a new Local Plan. </w:t>
      </w:r>
    </w:p>
    <w:p w14:paraId="1C280193"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Within the local plan, it would be possible to craft a policy in such a way that affordable housing could be sought on extra care housing from both C2 and C3 use classes and it should be noted that in July 2020 the High Court rejected claims</w:t>
      </w:r>
      <w:r w:rsidRPr="00D556DB">
        <w:rPr>
          <w:rFonts w:ascii="Arial" w:hAnsi="Arial" w:cs="Arial"/>
          <w:color w:val="141414"/>
        </w:rPr>
        <w:t xml:space="preserve"> that ‘extra care’ housing should not contribute affordable homes because it falls outside C3 use (</w:t>
      </w:r>
      <w:r w:rsidRPr="00D556DB">
        <w:rPr>
          <w:rFonts w:ascii="Arial" w:hAnsi="Arial" w:cs="Arial"/>
        </w:rPr>
        <w:t>CO/4682/2019). It is however important to recognise that the viability of extra care housing will differ from general mixed tenure development schemes, and there are practical issues associated with how mixed tenure schemes may operate.</w:t>
      </w:r>
    </w:p>
    <w:p w14:paraId="45D1261D" w14:textId="77777777" w:rsidR="00360825" w:rsidRPr="00D556DB" w:rsidRDefault="00360825" w:rsidP="00360825">
      <w:pPr>
        <w:pStyle w:val="Heading3"/>
        <w:rPr>
          <w:rFonts w:ascii="Arial" w:hAnsi="Arial" w:cs="Arial"/>
        </w:rPr>
      </w:pPr>
      <w:r w:rsidRPr="00D556DB">
        <w:rPr>
          <w:rStyle w:val="Emphasis"/>
          <w:rFonts w:ascii="Arial" w:hAnsi="Arial" w:cs="Arial"/>
          <w:i w:val="0"/>
          <w:iCs w:val="0"/>
        </w:rPr>
        <w:lastRenderedPageBreak/>
        <w:t>Viability</w:t>
      </w:r>
    </w:p>
    <w:p w14:paraId="03B00BD8"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 xml:space="preserve">There are a number of features of a typical extra care housing scheme which can result in substantively different viability characteristics relative to general housing. In particular: </w:t>
      </w:r>
    </w:p>
    <w:p w14:paraId="13C300C3" w14:textId="77777777" w:rsidR="00360825" w:rsidRPr="00DE1AA1" w:rsidRDefault="00360825" w:rsidP="001A7584">
      <w:pPr>
        <w:widowControl w:val="0"/>
        <w:numPr>
          <w:ilvl w:val="0"/>
          <w:numId w:val="37"/>
        </w:numPr>
        <w:tabs>
          <w:tab w:val="left" w:pos="720"/>
        </w:tabs>
        <w:spacing w:line="300" w:lineRule="auto"/>
        <w:ind w:left="714" w:hanging="357"/>
        <w:jc w:val="left"/>
        <w:rPr>
          <w:rFonts w:ascii="Arial" w:hAnsi="Arial" w:cs="Arial"/>
        </w:rPr>
      </w:pPr>
      <w:r w:rsidRPr="00DE1AA1">
        <w:rPr>
          <w:rFonts w:ascii="Arial" w:hAnsi="Arial" w:cs="Arial"/>
        </w:rPr>
        <w:t xml:space="preserve">Schemes typically include a significant level of communal space and on-site facilities, such that the floorspace of individual units might equate to 65% of the total floorspace, compared to 100% for a scheme of houses and perhaps 85% for typical flatted development. There is a significant proportion of space from which value is not generated through sales (although individual units may be smaller); </w:t>
      </w:r>
    </w:p>
    <w:p w14:paraId="3B010185" w14:textId="77777777" w:rsidR="00360825" w:rsidRPr="00DE1AA1" w:rsidRDefault="00360825" w:rsidP="001A7584">
      <w:pPr>
        <w:widowControl w:val="0"/>
        <w:numPr>
          <w:ilvl w:val="0"/>
          <w:numId w:val="37"/>
        </w:numPr>
        <w:tabs>
          <w:tab w:val="left" w:pos="720"/>
        </w:tabs>
        <w:spacing w:line="300" w:lineRule="auto"/>
        <w:ind w:left="714" w:hanging="357"/>
        <w:jc w:val="left"/>
        <w:rPr>
          <w:rFonts w:ascii="Arial" w:hAnsi="Arial" w:cs="Arial"/>
        </w:rPr>
      </w:pPr>
      <w:r w:rsidRPr="00DE1AA1">
        <w:rPr>
          <w:rFonts w:ascii="Arial" w:hAnsi="Arial" w:cs="Arial"/>
        </w:rPr>
        <w:t xml:space="preserve">Higher construction and fit out-costs as schemes need to achieve higher accessibility requirements and often include lifts, specially adapted bathrooms, treatment rooms etc. In many instances, developers need to employ third party building contractors are also not able to secure the same economies of scale as the larger volume housebuilders; </w:t>
      </w:r>
    </w:p>
    <w:p w14:paraId="30A42C80" w14:textId="77777777" w:rsidR="00360825" w:rsidRPr="00DE1AA1" w:rsidRDefault="00360825" w:rsidP="001A7584">
      <w:pPr>
        <w:widowControl w:val="0"/>
        <w:numPr>
          <w:ilvl w:val="0"/>
          <w:numId w:val="37"/>
        </w:numPr>
        <w:tabs>
          <w:tab w:val="left" w:pos="720"/>
        </w:tabs>
        <w:spacing w:line="300" w:lineRule="auto"/>
        <w:ind w:left="714" w:hanging="357"/>
        <w:jc w:val="left"/>
        <w:rPr>
          <w:rFonts w:ascii="Arial" w:hAnsi="Arial" w:cs="Arial"/>
        </w:rPr>
      </w:pPr>
      <w:r w:rsidRPr="00DE1AA1">
        <w:rPr>
          <w:rFonts w:ascii="Arial" w:hAnsi="Arial" w:cs="Arial"/>
        </w:rPr>
        <w:t xml:space="preserve">Sales rates are also typically slower for extra care schemes, not least as older residents are less likely to buy ‘off plan.’ The combination of this and the limited ability to phase flatted schemes to sales rates can result in higher finance costs for a development. </w:t>
      </w:r>
    </w:p>
    <w:p w14:paraId="254BF488"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There are a number of implications arising from this. Firstly, there is a need for viability evidence to specifically test and consider what level of affordable housing could be applied to different forms of older persons accommodation, potentially making a distinction between general market housing; retirement living/sheltered housing; and extra care/housing with care. It may well be that a differential and lower affordable housing policy is justified for housing with care.</w:t>
      </w:r>
    </w:p>
    <w:p w14:paraId="6DF0CA90"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 xml:space="preserve">Secondly, developers of extra care schemes can struggle to secure land when competing against mainstream housebuilders or strategic land promoters. One way of dealing with this is to allocate sites specifically for specialist older persons housing, and this may be something that the Council wishes to consider through the preparation of a new Local Plan. There could be benefits of doing this through achieving relatively high-density development of land at accessible locations, and in doing so, releasing larger family housing elsewhere as residents move out. </w:t>
      </w:r>
    </w:p>
    <w:p w14:paraId="4997E941" w14:textId="77777777" w:rsidR="00360825" w:rsidRPr="00D556DB" w:rsidRDefault="00360825" w:rsidP="00360825">
      <w:pPr>
        <w:pStyle w:val="Heading3"/>
        <w:rPr>
          <w:rFonts w:ascii="Arial" w:hAnsi="Arial" w:cs="Arial"/>
        </w:rPr>
      </w:pPr>
      <w:r w:rsidRPr="00D556DB">
        <w:rPr>
          <w:rStyle w:val="Emphasis"/>
          <w:rFonts w:ascii="Arial" w:hAnsi="Arial" w:cs="Arial"/>
          <w:i w:val="0"/>
          <w:iCs w:val="0"/>
        </w:rPr>
        <w:t>Practical Issues</w:t>
      </w:r>
    </w:p>
    <w:p w14:paraId="63DC2EAA"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In considering policies for affordable housing provision on housing with care schemes, there is one further factor which warrants consideration relating to the practicalities of mixed-tenure schemes. The market for extra care development schemes is currently focused particularly on providers at the affordable and higher ends of the market, with limited providers currently delivering within the ‘mid-market.’ At the higher ends of the market, the level of facilities and services/support available can be significant, and the management model is often to recharge this through service charges.</w:t>
      </w:r>
    </w:p>
    <w:p w14:paraId="10F7179D"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 xml:space="preserve">Whilst recognising the benefits associated with mixed income/tenure development, in considering whether mixed tenure schemes can work it is important to consider the degree to which service </w:t>
      </w:r>
      <w:r w:rsidRPr="00D556DB">
        <w:rPr>
          <w:rFonts w:ascii="Arial" w:hAnsi="Arial" w:cs="Arial"/>
        </w:rPr>
        <w:lastRenderedPageBreak/>
        <w:t>charges will be affordable to those on lower incomes and whether Registered Providers will want or be able to support access to the range of services/facilities on site. In a range of instances, this has meant that authorities have accepted off-site contributions to affordable housing provision.</w:t>
      </w:r>
    </w:p>
    <w:p w14:paraId="72518C11" w14:textId="77777777" w:rsidR="00360825" w:rsidRPr="00D556DB" w:rsidRDefault="00360825" w:rsidP="00360825">
      <w:pPr>
        <w:pStyle w:val="Heading2"/>
        <w:rPr>
          <w:rFonts w:ascii="Arial" w:eastAsiaTheme="majorEastAsia" w:hAnsi="Arial" w:cs="Arial"/>
        </w:rPr>
      </w:pPr>
      <w:r w:rsidRPr="00D556DB">
        <w:rPr>
          <w:rFonts w:ascii="Arial" w:hAnsi="Arial" w:cs="Arial"/>
          <w:bCs/>
        </w:rPr>
        <w:t>Wheelchair User Housing</w:t>
      </w:r>
    </w:p>
    <w:p w14:paraId="3D77648F"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The analysis below draws on a range of secondary data sources to estimate the number of current and future wheelchair users and to estimate the number of wheelchair accessible/adaptable dwellings that might be required in the future. Estimates of need produced in this report draw on data from the English Housing Survey (EHS) which provides a range of relevant data, but often for different time periods. The EHS data used includes the age structure of wheelchair users, information about work needed to </w:t>
      </w:r>
      <w:proofErr w:type="gramStart"/>
      <w:r w:rsidRPr="00D556DB">
        <w:rPr>
          <w:rFonts w:ascii="Arial" w:hAnsi="Arial" w:cs="Arial"/>
        </w:rPr>
        <w:t>homes</w:t>
      </w:r>
      <w:proofErr w:type="gramEnd"/>
      <w:r w:rsidRPr="00D556DB">
        <w:rPr>
          <w:rFonts w:ascii="Arial" w:hAnsi="Arial" w:cs="Arial"/>
        </w:rPr>
        <w:t xml:space="preserve"> to make them ‘visitable’ for wheelchair users and data about wheelchair users by tenure.</w:t>
      </w:r>
    </w:p>
    <w:p w14:paraId="28598982"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analysis below sets out estimates of the number of wheelchair users in the District; this has been based on estimating prevalence rates from the 2011-12 EHS (Annex Table 6.11) combined with Census data. At the time, the EHS showed there were 184,000 households in England</w:t>
      </w:r>
      <w:r>
        <w:rPr>
          <w:rFonts w:ascii="Arial" w:hAnsi="Arial" w:cs="Arial"/>
        </w:rPr>
        <w:t xml:space="preserve"> </w:t>
      </w:r>
      <w:r w:rsidRPr="00D556DB">
        <w:rPr>
          <w:rFonts w:ascii="Arial" w:hAnsi="Arial" w:cs="Arial"/>
        </w:rPr>
        <w:t>with a wheelchair user and the oldest person in the household was aged under 60; the 2011 Census showed a household population of around 40.6 million people aged under 60 and therefore a base prevalence rate of 0.005 has been calculated for this group – essentially for every 1,000 people aged under 60 there are around 5 wheelchair user households. The table below shows data for a full range of age groups; it should be noted that whilst the prevalence rates mix households and population they will provide a reasonable estimate of the number of wheelchair user households.</w:t>
      </w:r>
    </w:p>
    <w:p w14:paraId="0DFD059D" w14:textId="77777777" w:rsidR="00360825" w:rsidRPr="00821ADC" w:rsidRDefault="00360825" w:rsidP="001A7584">
      <w:pPr>
        <w:pStyle w:val="Heading4"/>
        <w:ind w:firstLine="0"/>
        <w:rPr>
          <w:color w:val="auto"/>
        </w:rPr>
      </w:pPr>
      <w:r w:rsidRPr="00821ADC">
        <w:rPr>
          <w:color w:val="auto"/>
        </w:rPr>
        <w:t>Baseline prevalence rates by age used to estimate wheelchair user households – England</w:t>
      </w:r>
    </w:p>
    <w:tbl>
      <w:tblPr>
        <w:tblW w:w="5000" w:type="pct"/>
        <w:tblLook w:val="04A0" w:firstRow="1" w:lastRow="0" w:firstColumn="1" w:lastColumn="0" w:noHBand="0" w:noVBand="1"/>
      </w:tblPr>
      <w:tblGrid>
        <w:gridCol w:w="2194"/>
        <w:gridCol w:w="2194"/>
        <w:gridCol w:w="2194"/>
        <w:gridCol w:w="2195"/>
      </w:tblGrid>
      <w:tr w:rsidR="00360825" w:rsidRPr="00DE1AA1" w14:paraId="0352394A"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3ECD1327" w14:textId="77777777" w:rsidR="00360825" w:rsidRPr="00D556DB" w:rsidRDefault="00360825" w:rsidP="00C04569">
            <w:pPr>
              <w:keepNext/>
              <w:spacing w:after="0" w:line="240" w:lineRule="auto"/>
              <w:jc w:val="left"/>
              <w:rPr>
                <w:rFonts w:ascii="Arial" w:hAnsi="Arial" w:cs="Arial"/>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64A5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Number of wheelchair user households</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1D7E9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Household population</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28DC1D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Prevalence (per 1,000 population)</w:t>
            </w:r>
          </w:p>
        </w:tc>
      </w:tr>
      <w:tr w:rsidR="00360825" w:rsidRPr="00DE1AA1" w14:paraId="5D2E4F60"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046C79B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Under 60 years</w:t>
            </w:r>
          </w:p>
        </w:tc>
        <w:tc>
          <w:tcPr>
            <w:tcW w:w="2194" w:type="dxa"/>
            <w:tcBorders>
              <w:top w:val="single" w:sz="4" w:space="0" w:color="auto"/>
              <w:left w:val="single" w:sz="4" w:space="0" w:color="auto"/>
              <w:bottom w:val="single" w:sz="4" w:space="0" w:color="auto"/>
              <w:right w:val="single" w:sz="4" w:space="0" w:color="auto"/>
            </w:tcBorders>
            <w:vAlign w:val="center"/>
            <w:hideMark/>
          </w:tcPr>
          <w:p w14:paraId="508727C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184,000</w:t>
            </w:r>
          </w:p>
        </w:tc>
        <w:tc>
          <w:tcPr>
            <w:tcW w:w="2194" w:type="dxa"/>
            <w:tcBorders>
              <w:top w:val="single" w:sz="4" w:space="0" w:color="auto"/>
              <w:left w:val="single" w:sz="4" w:space="0" w:color="auto"/>
              <w:bottom w:val="single" w:sz="4" w:space="0" w:color="auto"/>
              <w:right w:val="single" w:sz="4" w:space="0" w:color="auto"/>
            </w:tcBorders>
            <w:vAlign w:val="center"/>
            <w:hideMark/>
          </w:tcPr>
          <w:p w14:paraId="6C0E894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40,562,000</w:t>
            </w:r>
          </w:p>
        </w:tc>
        <w:tc>
          <w:tcPr>
            <w:tcW w:w="2195" w:type="dxa"/>
            <w:tcBorders>
              <w:top w:val="single" w:sz="4" w:space="0" w:color="auto"/>
              <w:left w:val="single" w:sz="4" w:space="0" w:color="auto"/>
              <w:bottom w:val="single" w:sz="4" w:space="0" w:color="auto"/>
              <w:right w:val="single" w:sz="4" w:space="0" w:color="auto"/>
            </w:tcBorders>
            <w:vAlign w:val="center"/>
            <w:hideMark/>
          </w:tcPr>
          <w:p w14:paraId="04B6357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5</w:t>
            </w:r>
          </w:p>
        </w:tc>
      </w:tr>
      <w:tr w:rsidR="00360825" w:rsidRPr="00DE1AA1" w14:paraId="5788DEA9"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54A80FB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60 - 74 years</w:t>
            </w:r>
          </w:p>
        </w:tc>
        <w:tc>
          <w:tcPr>
            <w:tcW w:w="2194" w:type="dxa"/>
            <w:tcBorders>
              <w:top w:val="single" w:sz="4" w:space="0" w:color="auto"/>
              <w:left w:val="single" w:sz="4" w:space="0" w:color="auto"/>
              <w:bottom w:val="single" w:sz="4" w:space="0" w:color="auto"/>
              <w:right w:val="single" w:sz="4" w:space="0" w:color="auto"/>
            </w:tcBorders>
            <w:vAlign w:val="center"/>
            <w:hideMark/>
          </w:tcPr>
          <w:p w14:paraId="4E6F79E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205,000</w:t>
            </w:r>
          </w:p>
        </w:tc>
        <w:tc>
          <w:tcPr>
            <w:tcW w:w="2194" w:type="dxa"/>
            <w:tcBorders>
              <w:top w:val="single" w:sz="4" w:space="0" w:color="auto"/>
              <w:left w:val="single" w:sz="4" w:space="0" w:color="auto"/>
              <w:bottom w:val="single" w:sz="4" w:space="0" w:color="auto"/>
              <w:right w:val="single" w:sz="4" w:space="0" w:color="auto"/>
            </w:tcBorders>
            <w:vAlign w:val="center"/>
            <w:hideMark/>
          </w:tcPr>
          <w:p w14:paraId="25A57DD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7,668,000</w:t>
            </w:r>
          </w:p>
        </w:tc>
        <w:tc>
          <w:tcPr>
            <w:tcW w:w="2195" w:type="dxa"/>
            <w:tcBorders>
              <w:top w:val="single" w:sz="4" w:space="0" w:color="auto"/>
              <w:left w:val="single" w:sz="4" w:space="0" w:color="auto"/>
              <w:bottom w:val="single" w:sz="4" w:space="0" w:color="auto"/>
              <w:right w:val="single" w:sz="4" w:space="0" w:color="auto"/>
            </w:tcBorders>
            <w:vAlign w:val="center"/>
            <w:hideMark/>
          </w:tcPr>
          <w:p w14:paraId="58DAA8C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27</w:t>
            </w:r>
          </w:p>
        </w:tc>
      </w:tr>
      <w:tr w:rsidR="00360825" w:rsidRPr="00DE1AA1" w14:paraId="5F2E182E"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38D2DE7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75 - 84 years</w:t>
            </w:r>
          </w:p>
        </w:tc>
        <w:tc>
          <w:tcPr>
            <w:tcW w:w="2194" w:type="dxa"/>
            <w:tcBorders>
              <w:top w:val="single" w:sz="4" w:space="0" w:color="auto"/>
              <w:left w:val="single" w:sz="4" w:space="0" w:color="auto"/>
              <w:bottom w:val="single" w:sz="4" w:space="0" w:color="auto"/>
              <w:right w:val="single" w:sz="4" w:space="0" w:color="auto"/>
            </w:tcBorders>
            <w:vAlign w:val="center"/>
            <w:hideMark/>
          </w:tcPr>
          <w:p w14:paraId="0CADA31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191,000</w:t>
            </w:r>
          </w:p>
        </w:tc>
        <w:tc>
          <w:tcPr>
            <w:tcW w:w="2194" w:type="dxa"/>
            <w:tcBorders>
              <w:top w:val="single" w:sz="4" w:space="0" w:color="auto"/>
              <w:left w:val="single" w:sz="4" w:space="0" w:color="auto"/>
              <w:bottom w:val="single" w:sz="4" w:space="0" w:color="auto"/>
              <w:right w:val="single" w:sz="4" w:space="0" w:color="auto"/>
            </w:tcBorders>
            <w:vAlign w:val="center"/>
            <w:hideMark/>
          </w:tcPr>
          <w:p w14:paraId="7C55BE9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2,832,000</w:t>
            </w:r>
          </w:p>
        </w:tc>
        <w:tc>
          <w:tcPr>
            <w:tcW w:w="2195" w:type="dxa"/>
            <w:tcBorders>
              <w:top w:val="single" w:sz="4" w:space="0" w:color="auto"/>
              <w:left w:val="single" w:sz="4" w:space="0" w:color="auto"/>
              <w:bottom w:val="single" w:sz="4" w:space="0" w:color="auto"/>
              <w:right w:val="single" w:sz="4" w:space="0" w:color="auto"/>
            </w:tcBorders>
            <w:vAlign w:val="center"/>
            <w:hideMark/>
          </w:tcPr>
          <w:p w14:paraId="007D3A3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68</w:t>
            </w:r>
          </w:p>
        </w:tc>
      </w:tr>
      <w:tr w:rsidR="00360825" w:rsidRPr="00DE1AA1" w14:paraId="03415D20"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06628744"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85 years or over</w:t>
            </w:r>
          </w:p>
        </w:tc>
        <w:tc>
          <w:tcPr>
            <w:tcW w:w="2194" w:type="dxa"/>
            <w:tcBorders>
              <w:top w:val="single" w:sz="4" w:space="0" w:color="auto"/>
              <w:left w:val="single" w:sz="4" w:space="0" w:color="auto"/>
              <w:bottom w:val="single" w:sz="4" w:space="0" w:color="auto"/>
              <w:right w:val="single" w:sz="4" w:space="0" w:color="auto"/>
            </w:tcBorders>
            <w:vAlign w:val="center"/>
            <w:hideMark/>
          </w:tcPr>
          <w:p w14:paraId="0CEBDF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146,000</w:t>
            </w:r>
          </w:p>
        </w:tc>
        <w:tc>
          <w:tcPr>
            <w:tcW w:w="2194" w:type="dxa"/>
            <w:tcBorders>
              <w:top w:val="single" w:sz="4" w:space="0" w:color="auto"/>
              <w:left w:val="single" w:sz="4" w:space="0" w:color="auto"/>
              <w:bottom w:val="single" w:sz="4" w:space="0" w:color="auto"/>
              <w:right w:val="single" w:sz="4" w:space="0" w:color="auto"/>
            </w:tcBorders>
            <w:vAlign w:val="center"/>
            <w:hideMark/>
          </w:tcPr>
          <w:p w14:paraId="4FEAC46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997,000</w:t>
            </w:r>
          </w:p>
        </w:tc>
        <w:tc>
          <w:tcPr>
            <w:tcW w:w="2195" w:type="dxa"/>
            <w:tcBorders>
              <w:top w:val="single" w:sz="4" w:space="0" w:color="auto"/>
              <w:left w:val="single" w:sz="4" w:space="0" w:color="auto"/>
              <w:bottom w:val="single" w:sz="4" w:space="0" w:color="auto"/>
              <w:right w:val="single" w:sz="4" w:space="0" w:color="auto"/>
            </w:tcBorders>
            <w:vAlign w:val="center"/>
            <w:hideMark/>
          </w:tcPr>
          <w:p w14:paraId="7C7DDAD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146</w:t>
            </w:r>
          </w:p>
        </w:tc>
      </w:tr>
    </w:tbl>
    <w:p w14:paraId="7D9E4134"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EHS (2011-12) and 2011 Census</w:t>
      </w:r>
    </w:p>
    <w:p w14:paraId="3B386B05"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analysis also considers the relative health of the population of Chichester. For this, data has been taken from the 2011 Census for the household population with ‘day to day activities limited a lot’ by their disability. The table below shows this information by age in Chichester and England, and also shows the adjustment made to reflect differences in heath between the areas. Due to the age bands used in the Census, there has been some degree of adjustment for the under 60 and 60-74 age groups. The data shows lower levels of disability for all age groups in Chichester District, pointing to a slightly lower than average proportion of wheelchair user households.</w:t>
      </w:r>
    </w:p>
    <w:p w14:paraId="7E6E646C" w14:textId="77777777" w:rsidR="00360825" w:rsidRPr="00D556DB" w:rsidRDefault="00360825" w:rsidP="001A7584">
      <w:pPr>
        <w:pStyle w:val="Heading4"/>
        <w:ind w:firstLine="0"/>
        <w:rPr>
          <w:color w:val="808080" w:themeColor="background1" w:themeShade="80"/>
        </w:rPr>
      </w:pPr>
      <w:r w:rsidRPr="00D556DB">
        <w:lastRenderedPageBreak/>
        <w:t>Proportion of people with day to day activities limited a lot (by age) – 2011 – Chichester</w:t>
      </w:r>
      <w:r>
        <w:t xml:space="preserve"> </w:t>
      </w:r>
      <w:r w:rsidRPr="00D556DB">
        <w:t>District</w:t>
      </w:r>
    </w:p>
    <w:tbl>
      <w:tblPr>
        <w:tblW w:w="5000" w:type="pct"/>
        <w:tblLook w:val="04A0" w:firstRow="1" w:lastRow="0" w:firstColumn="1" w:lastColumn="0" w:noHBand="0" w:noVBand="1"/>
      </w:tblPr>
      <w:tblGrid>
        <w:gridCol w:w="1815"/>
        <w:gridCol w:w="1739"/>
        <w:gridCol w:w="1741"/>
        <w:gridCol w:w="1741"/>
        <w:gridCol w:w="1741"/>
      </w:tblGrid>
      <w:tr w:rsidR="00360825" w:rsidRPr="00DE1AA1" w14:paraId="46D8E1D6" w14:textId="77777777" w:rsidTr="00C04569">
        <w:tc>
          <w:tcPr>
            <w:tcW w:w="1815" w:type="dxa"/>
            <w:vMerge w:val="restart"/>
            <w:tcBorders>
              <w:top w:val="single" w:sz="4" w:space="0" w:color="auto"/>
              <w:left w:val="single" w:sz="4" w:space="0" w:color="auto"/>
              <w:bottom w:val="single" w:sz="4" w:space="0" w:color="auto"/>
              <w:right w:val="single" w:sz="4" w:space="0" w:color="auto"/>
            </w:tcBorders>
            <w:shd w:val="clear" w:color="auto" w:fill="002060"/>
          </w:tcPr>
          <w:p w14:paraId="6C0F799E" w14:textId="77777777" w:rsidR="00360825" w:rsidRPr="00D556DB" w:rsidRDefault="00360825" w:rsidP="00C04569">
            <w:pPr>
              <w:keepNext/>
              <w:spacing w:after="0" w:line="240" w:lineRule="auto"/>
              <w:jc w:val="left"/>
              <w:rPr>
                <w:rFonts w:ascii="Arial" w:hAnsi="Arial" w:cs="Arial"/>
                <w:color w:val="FFFFFF" w:themeColor="background1"/>
              </w:rPr>
            </w:pPr>
          </w:p>
        </w:tc>
        <w:tc>
          <w:tcPr>
            <w:tcW w:w="348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28B9A24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FFFFFF" w:themeColor="background1"/>
              </w:rPr>
            </w:pPr>
            <w:r w:rsidRPr="00D556DB">
              <w:rPr>
                <w:rFonts w:ascii="Arial" w:hAnsi="Arial" w:cs="Arial"/>
                <w:color w:val="FFFFFF" w:themeColor="background1"/>
              </w:rPr>
              <w:t>% of age group with day to day activities limited a lot</w:t>
            </w:r>
          </w:p>
        </w:tc>
        <w:tc>
          <w:tcPr>
            <w:tcW w:w="174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494403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FFFFFF" w:themeColor="background1"/>
              </w:rPr>
            </w:pPr>
            <w:r w:rsidRPr="00D556DB">
              <w:rPr>
                <w:rFonts w:ascii="Arial" w:hAnsi="Arial" w:cs="Arial"/>
                <w:color w:val="FFFFFF" w:themeColor="background1"/>
              </w:rPr>
              <w:t>Chichester District as % of England</w:t>
            </w:r>
          </w:p>
        </w:tc>
        <w:tc>
          <w:tcPr>
            <w:tcW w:w="174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670221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FFFFFF" w:themeColor="background1"/>
              </w:rPr>
            </w:pPr>
            <w:r w:rsidRPr="00D556DB">
              <w:rPr>
                <w:rFonts w:ascii="Arial" w:hAnsi="Arial" w:cs="Arial"/>
                <w:color w:val="FFFFFF" w:themeColor="background1"/>
              </w:rPr>
              <w:t>Prevalence rate (per 1,000 population)</w:t>
            </w:r>
          </w:p>
        </w:tc>
      </w:tr>
      <w:tr w:rsidR="00360825" w:rsidRPr="00DE1AA1" w14:paraId="4AE9A0FB"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095CB6F9" w14:textId="77777777" w:rsidR="00360825" w:rsidRPr="00D556DB" w:rsidRDefault="00360825" w:rsidP="00C04569">
            <w:pPr>
              <w:spacing w:after="0" w:line="240" w:lineRule="auto"/>
              <w:jc w:val="left"/>
              <w:rPr>
                <w:rFonts w:ascii="Arial" w:hAnsi="Arial" w:cs="Arial"/>
                <w:color w:val="FFFFFF" w:themeColor="background1"/>
              </w:rPr>
            </w:pPr>
          </w:p>
        </w:tc>
        <w:tc>
          <w:tcPr>
            <w:tcW w:w="173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4E414F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Chichester</w:t>
            </w:r>
            <w:r>
              <w:rPr>
                <w:rFonts w:ascii="Arial" w:hAnsi="Arial" w:cs="Arial"/>
              </w:rPr>
              <w:t xml:space="preserve"> </w:t>
            </w:r>
            <w:r w:rsidRPr="00D556DB">
              <w:rPr>
                <w:rFonts w:ascii="Arial" w:hAnsi="Arial" w:cs="Arial"/>
              </w:rPr>
              <w:t>District</w:t>
            </w:r>
          </w:p>
        </w:tc>
        <w:tc>
          <w:tcPr>
            <w:tcW w:w="174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0555D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England</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BC1571" w14:textId="77777777" w:rsidR="00360825" w:rsidRPr="00D556DB" w:rsidRDefault="00360825" w:rsidP="00C04569">
            <w:pPr>
              <w:spacing w:after="0" w:line="240" w:lineRule="auto"/>
              <w:jc w:val="left"/>
              <w:rPr>
                <w:rFonts w:ascii="Arial" w:hAnsi="Arial" w:cs="Arial"/>
                <w:color w:val="FFFFFF" w:themeColor="background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8F6A30" w14:textId="77777777" w:rsidR="00360825" w:rsidRPr="00D556DB" w:rsidRDefault="00360825" w:rsidP="00C04569">
            <w:pPr>
              <w:spacing w:after="0" w:line="240" w:lineRule="auto"/>
              <w:jc w:val="left"/>
              <w:rPr>
                <w:rFonts w:ascii="Arial" w:hAnsi="Arial" w:cs="Arial"/>
                <w:color w:val="FFFFFF" w:themeColor="background1"/>
              </w:rPr>
            </w:pPr>
          </w:p>
        </w:tc>
      </w:tr>
      <w:tr w:rsidR="00360825" w:rsidRPr="00DE1AA1" w14:paraId="2BA5AC8B" w14:textId="77777777" w:rsidTr="00C04569">
        <w:tc>
          <w:tcPr>
            <w:tcW w:w="1815" w:type="dxa"/>
            <w:tcBorders>
              <w:top w:val="single" w:sz="4" w:space="0" w:color="auto"/>
              <w:left w:val="single" w:sz="4" w:space="0" w:color="auto"/>
              <w:bottom w:val="single" w:sz="4" w:space="0" w:color="auto"/>
              <w:right w:val="single" w:sz="4" w:space="0" w:color="auto"/>
            </w:tcBorders>
            <w:hideMark/>
          </w:tcPr>
          <w:p w14:paraId="7FD1AC7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Under 60 years</w:t>
            </w:r>
          </w:p>
        </w:tc>
        <w:tc>
          <w:tcPr>
            <w:tcW w:w="1739" w:type="dxa"/>
            <w:tcBorders>
              <w:top w:val="single" w:sz="4" w:space="0" w:color="auto"/>
              <w:left w:val="single" w:sz="4" w:space="0" w:color="auto"/>
              <w:bottom w:val="single" w:sz="4" w:space="0" w:color="auto"/>
              <w:right w:val="single" w:sz="4" w:space="0" w:color="auto"/>
            </w:tcBorders>
            <w:vAlign w:val="bottom"/>
            <w:hideMark/>
          </w:tcPr>
          <w:p w14:paraId="29D1ADD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3.0%</w:t>
            </w:r>
          </w:p>
        </w:tc>
        <w:tc>
          <w:tcPr>
            <w:tcW w:w="1741" w:type="dxa"/>
            <w:tcBorders>
              <w:top w:val="single" w:sz="4" w:space="0" w:color="auto"/>
              <w:left w:val="single" w:sz="4" w:space="0" w:color="auto"/>
              <w:bottom w:val="single" w:sz="4" w:space="0" w:color="auto"/>
              <w:right w:val="single" w:sz="4" w:space="0" w:color="auto"/>
            </w:tcBorders>
            <w:vAlign w:val="bottom"/>
            <w:hideMark/>
          </w:tcPr>
          <w:p w14:paraId="6C07DB5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4.2%</w:t>
            </w:r>
          </w:p>
        </w:tc>
        <w:tc>
          <w:tcPr>
            <w:tcW w:w="1741" w:type="dxa"/>
            <w:tcBorders>
              <w:top w:val="single" w:sz="4" w:space="0" w:color="auto"/>
              <w:left w:val="single" w:sz="4" w:space="0" w:color="auto"/>
              <w:bottom w:val="single" w:sz="4" w:space="0" w:color="auto"/>
              <w:right w:val="single" w:sz="4" w:space="0" w:color="auto"/>
            </w:tcBorders>
            <w:vAlign w:val="bottom"/>
            <w:hideMark/>
          </w:tcPr>
          <w:p w14:paraId="047578B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71.8%</w:t>
            </w:r>
          </w:p>
        </w:tc>
        <w:tc>
          <w:tcPr>
            <w:tcW w:w="1741" w:type="dxa"/>
            <w:tcBorders>
              <w:top w:val="single" w:sz="4" w:space="0" w:color="auto"/>
              <w:left w:val="single" w:sz="4" w:space="0" w:color="auto"/>
              <w:bottom w:val="single" w:sz="4" w:space="0" w:color="auto"/>
              <w:right w:val="single" w:sz="4" w:space="0" w:color="auto"/>
            </w:tcBorders>
            <w:vAlign w:val="bottom"/>
            <w:hideMark/>
          </w:tcPr>
          <w:p w14:paraId="29A4A04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w:t>
            </w:r>
          </w:p>
        </w:tc>
      </w:tr>
      <w:tr w:rsidR="00360825" w:rsidRPr="00DE1AA1" w14:paraId="295E6BCE" w14:textId="77777777" w:rsidTr="00C04569">
        <w:tc>
          <w:tcPr>
            <w:tcW w:w="1815" w:type="dxa"/>
            <w:tcBorders>
              <w:top w:val="single" w:sz="4" w:space="0" w:color="auto"/>
              <w:left w:val="single" w:sz="4" w:space="0" w:color="auto"/>
              <w:bottom w:val="single" w:sz="4" w:space="0" w:color="auto"/>
              <w:right w:val="single" w:sz="4" w:space="0" w:color="auto"/>
            </w:tcBorders>
            <w:hideMark/>
          </w:tcPr>
          <w:p w14:paraId="0DD927C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60-74 years</w:t>
            </w:r>
          </w:p>
        </w:tc>
        <w:tc>
          <w:tcPr>
            <w:tcW w:w="1739" w:type="dxa"/>
            <w:tcBorders>
              <w:top w:val="single" w:sz="4" w:space="0" w:color="auto"/>
              <w:left w:val="single" w:sz="4" w:space="0" w:color="auto"/>
              <w:bottom w:val="single" w:sz="4" w:space="0" w:color="auto"/>
              <w:right w:val="single" w:sz="4" w:space="0" w:color="auto"/>
            </w:tcBorders>
            <w:vAlign w:val="bottom"/>
            <w:hideMark/>
          </w:tcPr>
          <w:p w14:paraId="5ED83B4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7.8%</w:t>
            </w:r>
          </w:p>
        </w:tc>
        <w:tc>
          <w:tcPr>
            <w:tcW w:w="1741" w:type="dxa"/>
            <w:tcBorders>
              <w:top w:val="single" w:sz="4" w:space="0" w:color="auto"/>
              <w:left w:val="single" w:sz="4" w:space="0" w:color="auto"/>
              <w:bottom w:val="single" w:sz="4" w:space="0" w:color="auto"/>
              <w:right w:val="single" w:sz="4" w:space="0" w:color="auto"/>
            </w:tcBorders>
            <w:vAlign w:val="bottom"/>
            <w:hideMark/>
          </w:tcPr>
          <w:p w14:paraId="2868381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13.9%</w:t>
            </w:r>
          </w:p>
        </w:tc>
        <w:tc>
          <w:tcPr>
            <w:tcW w:w="1741" w:type="dxa"/>
            <w:tcBorders>
              <w:top w:val="single" w:sz="4" w:space="0" w:color="auto"/>
              <w:left w:val="single" w:sz="4" w:space="0" w:color="auto"/>
              <w:bottom w:val="single" w:sz="4" w:space="0" w:color="auto"/>
              <w:right w:val="single" w:sz="4" w:space="0" w:color="auto"/>
            </w:tcBorders>
            <w:vAlign w:val="bottom"/>
            <w:hideMark/>
          </w:tcPr>
          <w:p w14:paraId="413D986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55.9%</w:t>
            </w:r>
          </w:p>
        </w:tc>
        <w:tc>
          <w:tcPr>
            <w:tcW w:w="1741" w:type="dxa"/>
            <w:tcBorders>
              <w:top w:val="single" w:sz="4" w:space="0" w:color="auto"/>
              <w:left w:val="single" w:sz="4" w:space="0" w:color="auto"/>
              <w:bottom w:val="single" w:sz="4" w:space="0" w:color="auto"/>
              <w:right w:val="single" w:sz="4" w:space="0" w:color="auto"/>
            </w:tcBorders>
            <w:vAlign w:val="bottom"/>
            <w:hideMark/>
          </w:tcPr>
          <w:p w14:paraId="730BDE5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w:t>
            </w:r>
          </w:p>
        </w:tc>
      </w:tr>
      <w:tr w:rsidR="00360825" w:rsidRPr="00DE1AA1" w14:paraId="580210E2" w14:textId="77777777" w:rsidTr="00C04569">
        <w:tc>
          <w:tcPr>
            <w:tcW w:w="1815" w:type="dxa"/>
            <w:tcBorders>
              <w:top w:val="single" w:sz="4" w:space="0" w:color="auto"/>
              <w:left w:val="single" w:sz="4" w:space="0" w:color="auto"/>
              <w:bottom w:val="single" w:sz="4" w:space="0" w:color="auto"/>
              <w:right w:val="single" w:sz="4" w:space="0" w:color="auto"/>
            </w:tcBorders>
            <w:hideMark/>
          </w:tcPr>
          <w:p w14:paraId="265A856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75-84 years</w:t>
            </w:r>
          </w:p>
        </w:tc>
        <w:tc>
          <w:tcPr>
            <w:tcW w:w="1739" w:type="dxa"/>
            <w:tcBorders>
              <w:top w:val="single" w:sz="4" w:space="0" w:color="auto"/>
              <w:left w:val="single" w:sz="4" w:space="0" w:color="auto"/>
              <w:bottom w:val="single" w:sz="4" w:space="0" w:color="auto"/>
              <w:right w:val="single" w:sz="4" w:space="0" w:color="auto"/>
            </w:tcBorders>
            <w:vAlign w:val="bottom"/>
            <w:hideMark/>
          </w:tcPr>
          <w:p w14:paraId="79BC39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19.1%</w:t>
            </w:r>
          </w:p>
        </w:tc>
        <w:tc>
          <w:tcPr>
            <w:tcW w:w="1741" w:type="dxa"/>
            <w:tcBorders>
              <w:top w:val="single" w:sz="4" w:space="0" w:color="auto"/>
              <w:left w:val="single" w:sz="4" w:space="0" w:color="auto"/>
              <w:bottom w:val="single" w:sz="4" w:space="0" w:color="auto"/>
              <w:right w:val="single" w:sz="4" w:space="0" w:color="auto"/>
            </w:tcBorders>
            <w:vAlign w:val="bottom"/>
            <w:hideMark/>
          </w:tcPr>
          <w:p w14:paraId="44E66F6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29.1%</w:t>
            </w:r>
          </w:p>
        </w:tc>
        <w:tc>
          <w:tcPr>
            <w:tcW w:w="1741" w:type="dxa"/>
            <w:tcBorders>
              <w:top w:val="single" w:sz="4" w:space="0" w:color="auto"/>
              <w:left w:val="single" w:sz="4" w:space="0" w:color="auto"/>
              <w:bottom w:val="single" w:sz="4" w:space="0" w:color="auto"/>
              <w:right w:val="single" w:sz="4" w:space="0" w:color="auto"/>
            </w:tcBorders>
            <w:vAlign w:val="bottom"/>
            <w:hideMark/>
          </w:tcPr>
          <w:p w14:paraId="574BE89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65.7%</w:t>
            </w:r>
          </w:p>
        </w:tc>
        <w:tc>
          <w:tcPr>
            <w:tcW w:w="1741" w:type="dxa"/>
            <w:tcBorders>
              <w:top w:val="single" w:sz="4" w:space="0" w:color="auto"/>
              <w:left w:val="single" w:sz="4" w:space="0" w:color="auto"/>
              <w:bottom w:val="single" w:sz="4" w:space="0" w:color="auto"/>
              <w:right w:val="single" w:sz="4" w:space="0" w:color="auto"/>
            </w:tcBorders>
            <w:vAlign w:val="bottom"/>
            <w:hideMark/>
          </w:tcPr>
          <w:p w14:paraId="162657C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44</w:t>
            </w:r>
          </w:p>
        </w:tc>
      </w:tr>
      <w:tr w:rsidR="00360825" w:rsidRPr="00DE1AA1" w14:paraId="13D22ABE" w14:textId="77777777" w:rsidTr="00C04569">
        <w:tc>
          <w:tcPr>
            <w:tcW w:w="1815" w:type="dxa"/>
            <w:tcBorders>
              <w:top w:val="single" w:sz="4" w:space="0" w:color="auto"/>
              <w:left w:val="single" w:sz="4" w:space="0" w:color="auto"/>
              <w:bottom w:val="single" w:sz="4" w:space="0" w:color="auto"/>
              <w:right w:val="single" w:sz="4" w:space="0" w:color="auto"/>
            </w:tcBorders>
            <w:hideMark/>
          </w:tcPr>
          <w:p w14:paraId="624E92A7"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85 years or over</w:t>
            </w:r>
          </w:p>
        </w:tc>
        <w:tc>
          <w:tcPr>
            <w:tcW w:w="1739" w:type="dxa"/>
            <w:tcBorders>
              <w:top w:val="single" w:sz="4" w:space="0" w:color="auto"/>
              <w:left w:val="single" w:sz="4" w:space="0" w:color="auto"/>
              <w:bottom w:val="single" w:sz="4" w:space="0" w:color="auto"/>
              <w:right w:val="single" w:sz="4" w:space="0" w:color="auto"/>
            </w:tcBorders>
            <w:vAlign w:val="bottom"/>
            <w:hideMark/>
          </w:tcPr>
          <w:p w14:paraId="7B5D07B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42.7%</w:t>
            </w:r>
          </w:p>
        </w:tc>
        <w:tc>
          <w:tcPr>
            <w:tcW w:w="1741" w:type="dxa"/>
            <w:tcBorders>
              <w:top w:val="single" w:sz="4" w:space="0" w:color="auto"/>
              <w:left w:val="single" w:sz="4" w:space="0" w:color="auto"/>
              <w:bottom w:val="single" w:sz="4" w:space="0" w:color="auto"/>
              <w:right w:val="single" w:sz="4" w:space="0" w:color="auto"/>
            </w:tcBorders>
            <w:vAlign w:val="bottom"/>
            <w:hideMark/>
          </w:tcPr>
          <w:p w14:paraId="3AFE5C7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52.3%</w:t>
            </w:r>
          </w:p>
        </w:tc>
        <w:tc>
          <w:tcPr>
            <w:tcW w:w="1741" w:type="dxa"/>
            <w:tcBorders>
              <w:top w:val="single" w:sz="4" w:space="0" w:color="auto"/>
              <w:left w:val="single" w:sz="4" w:space="0" w:color="auto"/>
              <w:bottom w:val="single" w:sz="4" w:space="0" w:color="auto"/>
              <w:right w:val="single" w:sz="4" w:space="0" w:color="auto"/>
            </w:tcBorders>
            <w:vAlign w:val="bottom"/>
            <w:hideMark/>
          </w:tcPr>
          <w:p w14:paraId="4B2DF84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81.7%</w:t>
            </w:r>
          </w:p>
        </w:tc>
        <w:tc>
          <w:tcPr>
            <w:tcW w:w="1741" w:type="dxa"/>
            <w:tcBorders>
              <w:top w:val="single" w:sz="4" w:space="0" w:color="auto"/>
              <w:left w:val="single" w:sz="4" w:space="0" w:color="auto"/>
              <w:bottom w:val="single" w:sz="4" w:space="0" w:color="auto"/>
              <w:right w:val="single" w:sz="4" w:space="0" w:color="auto"/>
            </w:tcBorders>
            <w:vAlign w:val="bottom"/>
            <w:hideMark/>
          </w:tcPr>
          <w:p w14:paraId="3D9B8F3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119</w:t>
            </w:r>
          </w:p>
        </w:tc>
      </w:tr>
    </w:tbl>
    <w:p w14:paraId="00BE74DF"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2011 Census</w:t>
      </w:r>
    </w:p>
    <w:p w14:paraId="25964B2E"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local prevalence rate data can be brought together with information about the population age structure and how this is likely to change moving forward. The data estimates a total of 1,671 wheelchair user households in 2021, and that this will rise to 2,408 by 2039 (an increase of 737).</w:t>
      </w:r>
    </w:p>
    <w:p w14:paraId="11CEF816" w14:textId="0F188ACE" w:rsidR="00360825" w:rsidRPr="00D556DB" w:rsidRDefault="00360825" w:rsidP="001A7584">
      <w:pPr>
        <w:pStyle w:val="Heading4"/>
        <w:ind w:firstLine="0"/>
        <w:rPr>
          <w:color w:val="808080" w:themeColor="background1" w:themeShade="80"/>
        </w:rPr>
      </w:pPr>
      <w:r w:rsidRPr="00D556DB">
        <w:t>Estimated number of wheelchair user households (2021-39) – Chichester</w:t>
      </w:r>
      <w:r w:rsidR="00647A57">
        <w:t xml:space="preserve"> District</w:t>
      </w:r>
      <w:r w:rsidRPr="00D556DB">
        <w:t xml:space="preserve"> – linked to 638 dpa outside SDNP</w:t>
      </w:r>
    </w:p>
    <w:tbl>
      <w:tblPr>
        <w:tblW w:w="5000" w:type="pct"/>
        <w:tblLayout w:type="fixed"/>
        <w:tblLook w:val="04A0" w:firstRow="1" w:lastRow="0" w:firstColumn="1" w:lastColumn="0" w:noHBand="0" w:noVBand="1"/>
      </w:tblPr>
      <w:tblGrid>
        <w:gridCol w:w="1693"/>
        <w:gridCol w:w="1416"/>
        <w:gridCol w:w="1417"/>
        <w:gridCol w:w="1417"/>
        <w:gridCol w:w="1417"/>
        <w:gridCol w:w="1417"/>
      </w:tblGrid>
      <w:tr w:rsidR="00360825" w:rsidRPr="00456DF0" w14:paraId="6DD7B959" w14:textId="77777777" w:rsidTr="00C04569">
        <w:tc>
          <w:tcPr>
            <w:tcW w:w="1693" w:type="dxa"/>
            <w:tcBorders>
              <w:top w:val="single" w:sz="4" w:space="0" w:color="auto"/>
              <w:left w:val="single" w:sz="4" w:space="0" w:color="auto"/>
              <w:bottom w:val="single" w:sz="4" w:space="0" w:color="auto"/>
              <w:right w:val="single" w:sz="4" w:space="0" w:color="auto"/>
            </w:tcBorders>
            <w:shd w:val="clear" w:color="auto" w:fill="002060"/>
            <w:vAlign w:val="center"/>
          </w:tcPr>
          <w:p w14:paraId="4C1010D6" w14:textId="77777777" w:rsidR="00360825" w:rsidRPr="00D556DB" w:rsidRDefault="00360825" w:rsidP="00C04569">
            <w:pPr>
              <w:keepNext/>
              <w:spacing w:after="0" w:line="300" w:lineRule="auto"/>
              <w:jc w:val="left"/>
              <w:rPr>
                <w:rFonts w:ascii="Arial" w:hAnsi="Arial" w:cs="Arial"/>
              </w:rPr>
            </w:pPr>
          </w:p>
        </w:tc>
        <w:tc>
          <w:tcPr>
            <w:tcW w:w="141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F62C3B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Prevalence rate (per 1,000 population)</w:t>
            </w:r>
          </w:p>
        </w:tc>
        <w:tc>
          <w:tcPr>
            <w:tcW w:w="141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AFAF6B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Household population 2021</w:t>
            </w:r>
          </w:p>
        </w:tc>
        <w:tc>
          <w:tcPr>
            <w:tcW w:w="141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8D8471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Household population 2039</w:t>
            </w:r>
          </w:p>
        </w:tc>
        <w:tc>
          <w:tcPr>
            <w:tcW w:w="141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C2B1691"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Wheelchair user households (2021)</w:t>
            </w:r>
          </w:p>
        </w:tc>
        <w:tc>
          <w:tcPr>
            <w:tcW w:w="141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C0D85E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Wheelchair user households (2039)</w:t>
            </w:r>
          </w:p>
        </w:tc>
      </w:tr>
      <w:tr w:rsidR="00360825" w:rsidRPr="00456DF0" w14:paraId="5D8C7E0D" w14:textId="77777777" w:rsidTr="00C04569">
        <w:tc>
          <w:tcPr>
            <w:tcW w:w="1693" w:type="dxa"/>
            <w:tcBorders>
              <w:top w:val="single" w:sz="4" w:space="0" w:color="auto"/>
              <w:left w:val="single" w:sz="4" w:space="0" w:color="auto"/>
              <w:bottom w:val="single" w:sz="4" w:space="0" w:color="auto"/>
              <w:right w:val="single" w:sz="4" w:space="0" w:color="auto"/>
            </w:tcBorders>
            <w:vAlign w:val="center"/>
            <w:hideMark/>
          </w:tcPr>
          <w:p w14:paraId="07EE8CE3"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Under 60 years</w:t>
            </w:r>
          </w:p>
        </w:tc>
        <w:tc>
          <w:tcPr>
            <w:tcW w:w="1416" w:type="dxa"/>
            <w:tcBorders>
              <w:top w:val="single" w:sz="4" w:space="0" w:color="auto"/>
              <w:left w:val="single" w:sz="4" w:space="0" w:color="auto"/>
              <w:bottom w:val="single" w:sz="4" w:space="0" w:color="auto"/>
              <w:right w:val="single" w:sz="4" w:space="0" w:color="auto"/>
            </w:tcBorders>
            <w:noWrap/>
            <w:vAlign w:val="bottom"/>
            <w:hideMark/>
          </w:tcPr>
          <w:p w14:paraId="659F9630"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519258"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77,547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2680AD0"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84,528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C73CD65"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252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19B4AAC"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275</w:t>
            </w:r>
          </w:p>
        </w:tc>
      </w:tr>
      <w:tr w:rsidR="00360825" w:rsidRPr="00456DF0" w14:paraId="242372E6" w14:textId="77777777" w:rsidTr="00C04569">
        <w:tc>
          <w:tcPr>
            <w:tcW w:w="1693" w:type="dxa"/>
            <w:tcBorders>
              <w:top w:val="single" w:sz="4" w:space="0" w:color="auto"/>
              <w:left w:val="single" w:sz="4" w:space="0" w:color="auto"/>
              <w:bottom w:val="single" w:sz="4" w:space="0" w:color="auto"/>
              <w:right w:val="single" w:sz="4" w:space="0" w:color="auto"/>
            </w:tcBorders>
            <w:vAlign w:val="center"/>
            <w:hideMark/>
          </w:tcPr>
          <w:p w14:paraId="71CCA331"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60 - 74 years</w:t>
            </w:r>
          </w:p>
        </w:tc>
        <w:tc>
          <w:tcPr>
            <w:tcW w:w="1416" w:type="dxa"/>
            <w:tcBorders>
              <w:top w:val="single" w:sz="4" w:space="0" w:color="auto"/>
              <w:left w:val="single" w:sz="4" w:space="0" w:color="auto"/>
              <w:bottom w:val="single" w:sz="4" w:space="0" w:color="auto"/>
              <w:right w:val="single" w:sz="4" w:space="0" w:color="auto"/>
            </w:tcBorders>
            <w:noWrap/>
            <w:vAlign w:val="bottom"/>
            <w:hideMark/>
          </w:tcPr>
          <w:p w14:paraId="529D9346"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227C3AB"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25,736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A8A256D"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30,820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CAAA2E"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384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EF808C"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460</w:t>
            </w:r>
          </w:p>
        </w:tc>
      </w:tr>
      <w:tr w:rsidR="00360825" w:rsidRPr="00456DF0" w14:paraId="662974F8" w14:textId="77777777" w:rsidTr="00C04569">
        <w:tc>
          <w:tcPr>
            <w:tcW w:w="1693" w:type="dxa"/>
            <w:tcBorders>
              <w:top w:val="single" w:sz="4" w:space="0" w:color="auto"/>
              <w:left w:val="single" w:sz="4" w:space="0" w:color="auto"/>
              <w:bottom w:val="single" w:sz="4" w:space="0" w:color="auto"/>
              <w:right w:val="single" w:sz="4" w:space="0" w:color="auto"/>
            </w:tcBorders>
            <w:vAlign w:val="center"/>
            <w:hideMark/>
          </w:tcPr>
          <w:p w14:paraId="7EFB9494"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75 - 84 years</w:t>
            </w:r>
          </w:p>
        </w:tc>
        <w:tc>
          <w:tcPr>
            <w:tcW w:w="1416" w:type="dxa"/>
            <w:tcBorders>
              <w:top w:val="single" w:sz="4" w:space="0" w:color="auto"/>
              <w:left w:val="single" w:sz="4" w:space="0" w:color="auto"/>
              <w:bottom w:val="single" w:sz="4" w:space="0" w:color="auto"/>
              <w:right w:val="single" w:sz="4" w:space="0" w:color="auto"/>
            </w:tcBorders>
            <w:noWrap/>
            <w:vAlign w:val="bottom"/>
            <w:hideMark/>
          </w:tcPr>
          <w:p w14:paraId="147FE65B"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9B4FCD1"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11,540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F538389"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17,156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EA2604"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512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EC13C0C"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761</w:t>
            </w:r>
          </w:p>
        </w:tc>
      </w:tr>
      <w:tr w:rsidR="00360825" w:rsidRPr="00456DF0" w14:paraId="235846BF" w14:textId="77777777" w:rsidTr="00C04569">
        <w:tc>
          <w:tcPr>
            <w:tcW w:w="1693" w:type="dxa"/>
            <w:tcBorders>
              <w:top w:val="single" w:sz="4" w:space="0" w:color="auto"/>
              <w:left w:val="single" w:sz="4" w:space="0" w:color="auto"/>
              <w:bottom w:val="single" w:sz="4" w:space="0" w:color="auto"/>
              <w:right w:val="single" w:sz="4" w:space="0" w:color="auto"/>
            </w:tcBorders>
            <w:vAlign w:val="center"/>
            <w:hideMark/>
          </w:tcPr>
          <w:p w14:paraId="5F793B6A"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85 years or over</w:t>
            </w:r>
          </w:p>
        </w:tc>
        <w:tc>
          <w:tcPr>
            <w:tcW w:w="1416" w:type="dxa"/>
            <w:tcBorders>
              <w:top w:val="single" w:sz="4" w:space="0" w:color="auto"/>
              <w:left w:val="single" w:sz="4" w:space="0" w:color="auto"/>
              <w:bottom w:val="single" w:sz="4" w:space="0" w:color="auto"/>
              <w:right w:val="single" w:sz="4" w:space="0" w:color="auto"/>
            </w:tcBorders>
            <w:noWrap/>
            <w:vAlign w:val="bottom"/>
            <w:hideMark/>
          </w:tcPr>
          <w:p w14:paraId="48E92BDF"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44E61A"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4,378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23C2FFD"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7,631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09CDC1"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523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2764F2"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911</w:t>
            </w:r>
          </w:p>
        </w:tc>
      </w:tr>
      <w:tr w:rsidR="00360825" w:rsidRPr="00456DF0" w14:paraId="68A11B6F" w14:textId="77777777" w:rsidTr="00C04569">
        <w:tc>
          <w:tcPr>
            <w:tcW w:w="3109" w:type="dxa"/>
            <w:gridSpan w:val="2"/>
            <w:tcBorders>
              <w:top w:val="single" w:sz="4" w:space="0" w:color="auto"/>
              <w:left w:val="single" w:sz="4" w:space="0" w:color="auto"/>
              <w:bottom w:val="single" w:sz="4" w:space="0" w:color="auto"/>
              <w:right w:val="single" w:sz="4" w:space="0" w:color="auto"/>
            </w:tcBorders>
            <w:vAlign w:val="center"/>
            <w:hideMark/>
          </w:tcPr>
          <w:p w14:paraId="0C9ED506"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Total</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45EED2B"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119,202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BD67FC"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140,135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54AEE75"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1,671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6AAFC63"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2,408</w:t>
            </w:r>
          </w:p>
        </w:tc>
      </w:tr>
    </w:tbl>
    <w:p w14:paraId="07A65761"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a range of sources</w:t>
      </w:r>
    </w:p>
    <w:p w14:paraId="2F5D8908" w14:textId="77777777" w:rsidR="003A5763" w:rsidRDefault="00360825" w:rsidP="001A7584">
      <w:pPr>
        <w:pStyle w:val="BodyText"/>
        <w:numPr>
          <w:ilvl w:val="1"/>
          <w:numId w:val="6"/>
        </w:numPr>
        <w:ind w:left="0" w:hanging="709"/>
        <w:rPr>
          <w:rFonts w:ascii="Arial" w:hAnsi="Arial" w:cs="Arial"/>
        </w:rPr>
      </w:pPr>
      <w:r w:rsidRPr="00D556DB">
        <w:rPr>
          <w:rFonts w:ascii="Arial" w:hAnsi="Arial" w:cs="Arial"/>
        </w:rPr>
        <w:t xml:space="preserve">The finding of an estimated current number of wheelchair user households does not indicate how many homes might be needed for this group – some households will be living in a home that is suitable for wheelchair use, whilst others may need improvements to accommodation, or a move to an alternative home. </w:t>
      </w:r>
    </w:p>
    <w:p w14:paraId="1372E6DA" w14:textId="02165F95"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Data from the EHS (2014-15) shows that of the 814,000 wheelchair user households, some 200,000 live in a home that would either be problematic or not feasible to make fully ‘visitable’ – this is around 25% of wheelchair user households. Applying this to the current number of wheelchair user households and adding the additional number projected forward suggests a need for 1,150 additional wheelchair user homes in the 2021-39 period – this equates to 8% of all housing need (as set out in the table below).</w:t>
      </w:r>
    </w:p>
    <w:p w14:paraId="3A0EFF07" w14:textId="77777777" w:rsidR="00360825" w:rsidRPr="00D556DB" w:rsidRDefault="00360825" w:rsidP="001A7584">
      <w:pPr>
        <w:pStyle w:val="Heading4"/>
        <w:ind w:firstLine="0"/>
      </w:pPr>
      <w:r w:rsidRPr="00D556DB">
        <w:lastRenderedPageBreak/>
        <w:t>Estimated need for wheelchair user homes, 2021-39</w:t>
      </w:r>
    </w:p>
    <w:tbl>
      <w:tblPr>
        <w:tblW w:w="5000" w:type="pct"/>
        <w:tblLayout w:type="fixed"/>
        <w:tblLook w:val="04A0" w:firstRow="1" w:lastRow="0" w:firstColumn="1" w:lastColumn="0" w:noHBand="0" w:noVBand="1"/>
      </w:tblPr>
      <w:tblGrid>
        <w:gridCol w:w="1462"/>
        <w:gridCol w:w="1463"/>
        <w:gridCol w:w="1463"/>
        <w:gridCol w:w="1463"/>
        <w:gridCol w:w="1463"/>
        <w:gridCol w:w="1463"/>
      </w:tblGrid>
      <w:tr w:rsidR="00360825" w:rsidRPr="00456DF0" w14:paraId="5A048C10" w14:textId="77777777" w:rsidTr="00C04569">
        <w:tc>
          <w:tcPr>
            <w:tcW w:w="1462" w:type="dxa"/>
            <w:tcBorders>
              <w:top w:val="single" w:sz="4" w:space="0" w:color="auto"/>
              <w:left w:val="single" w:sz="4" w:space="0" w:color="auto"/>
              <w:bottom w:val="single" w:sz="4" w:space="0" w:color="auto"/>
              <w:right w:val="single" w:sz="4" w:space="0" w:color="auto"/>
            </w:tcBorders>
            <w:shd w:val="clear" w:color="auto" w:fill="002060"/>
            <w:vAlign w:val="center"/>
          </w:tcPr>
          <w:p w14:paraId="6C5A9478" w14:textId="77777777" w:rsidR="00360825" w:rsidRPr="00D556DB" w:rsidRDefault="00360825" w:rsidP="00C04569">
            <w:pPr>
              <w:keepNext/>
              <w:spacing w:after="0" w:line="300" w:lineRule="auto"/>
              <w:jc w:val="center"/>
              <w:rPr>
                <w:rFonts w:ascii="Arial" w:hAnsi="Arial" w:cs="Arial"/>
                <w:bCs/>
              </w:rPr>
            </w:pPr>
          </w:p>
        </w:tc>
        <w:tc>
          <w:tcPr>
            <w:tcW w:w="146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9FEB322" w14:textId="77777777" w:rsidR="00360825" w:rsidRPr="00D556DB" w:rsidRDefault="00360825" w:rsidP="00C04569">
            <w:pPr>
              <w:keepNext/>
              <w:spacing w:after="0" w:line="300" w:lineRule="auto"/>
              <w:jc w:val="center"/>
              <w:rPr>
                <w:rFonts w:ascii="Arial" w:hAnsi="Arial" w:cs="Arial"/>
                <w:bCs/>
              </w:rPr>
            </w:pPr>
            <w:r w:rsidRPr="00D556DB">
              <w:rPr>
                <w:rFonts w:ascii="Arial" w:hAnsi="Arial" w:cs="Arial"/>
                <w:bCs/>
              </w:rPr>
              <w:t>Current need</w:t>
            </w:r>
          </w:p>
        </w:tc>
        <w:tc>
          <w:tcPr>
            <w:tcW w:w="146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2AFCC9" w14:textId="77777777" w:rsidR="00360825" w:rsidRPr="00D556DB" w:rsidRDefault="00360825" w:rsidP="00C04569">
            <w:pPr>
              <w:keepNext/>
              <w:spacing w:after="0" w:line="300" w:lineRule="auto"/>
              <w:jc w:val="center"/>
              <w:rPr>
                <w:rFonts w:ascii="Arial" w:hAnsi="Arial" w:cs="Arial"/>
                <w:bCs/>
              </w:rPr>
            </w:pPr>
            <w:r w:rsidRPr="00D556DB">
              <w:rPr>
                <w:rFonts w:ascii="Arial" w:hAnsi="Arial" w:cs="Arial"/>
                <w:bCs/>
              </w:rPr>
              <w:t>Projected need (2021-39)</w:t>
            </w:r>
          </w:p>
        </w:tc>
        <w:tc>
          <w:tcPr>
            <w:tcW w:w="146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309843" w14:textId="77777777" w:rsidR="00360825" w:rsidRPr="00D556DB" w:rsidRDefault="00360825" w:rsidP="00C04569">
            <w:pPr>
              <w:keepNext/>
              <w:spacing w:after="0" w:line="300" w:lineRule="auto"/>
              <w:jc w:val="center"/>
              <w:rPr>
                <w:rFonts w:ascii="Arial" w:hAnsi="Arial" w:cs="Arial"/>
                <w:bCs/>
              </w:rPr>
            </w:pPr>
            <w:r w:rsidRPr="00D556DB">
              <w:rPr>
                <w:rFonts w:ascii="Arial" w:hAnsi="Arial" w:cs="Arial"/>
                <w:bCs/>
              </w:rPr>
              <w:t>Total current and future need</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24E3C40" w14:textId="77777777" w:rsidR="00360825" w:rsidRPr="00D556DB" w:rsidRDefault="00360825" w:rsidP="00C04569">
            <w:pPr>
              <w:keepNext/>
              <w:spacing w:after="0" w:line="300" w:lineRule="auto"/>
              <w:jc w:val="center"/>
              <w:rPr>
                <w:rFonts w:ascii="Arial" w:hAnsi="Arial" w:cs="Arial"/>
                <w:bCs/>
              </w:rPr>
            </w:pPr>
            <w:r w:rsidRPr="00D556DB">
              <w:rPr>
                <w:rFonts w:ascii="Arial" w:hAnsi="Arial" w:cs="Arial"/>
                <w:bCs/>
              </w:rPr>
              <w:t>Housing need (2021-39)</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E6A2B1B" w14:textId="77777777" w:rsidR="00360825" w:rsidRPr="00D556DB" w:rsidRDefault="00360825" w:rsidP="00C04569">
            <w:pPr>
              <w:keepNext/>
              <w:spacing w:after="0" w:line="300" w:lineRule="auto"/>
              <w:jc w:val="center"/>
              <w:rPr>
                <w:rFonts w:ascii="Arial" w:hAnsi="Arial" w:cs="Arial"/>
                <w:bCs/>
              </w:rPr>
            </w:pPr>
            <w:r w:rsidRPr="00D556DB">
              <w:rPr>
                <w:rFonts w:ascii="Arial" w:hAnsi="Arial" w:cs="Arial"/>
                <w:bCs/>
              </w:rPr>
              <w:t>% of Housing Need</w:t>
            </w:r>
          </w:p>
        </w:tc>
      </w:tr>
      <w:tr w:rsidR="00360825" w:rsidRPr="00456DF0" w14:paraId="14C0A0B6" w14:textId="77777777" w:rsidTr="00C04569">
        <w:tc>
          <w:tcPr>
            <w:tcW w:w="1462" w:type="dxa"/>
            <w:tcBorders>
              <w:top w:val="single" w:sz="4" w:space="0" w:color="auto"/>
              <w:left w:val="single" w:sz="4" w:space="0" w:color="auto"/>
              <w:bottom w:val="single" w:sz="4" w:space="0" w:color="auto"/>
              <w:right w:val="single" w:sz="4" w:space="0" w:color="auto"/>
            </w:tcBorders>
            <w:vAlign w:val="center"/>
            <w:hideMark/>
          </w:tcPr>
          <w:p w14:paraId="7B7E392C" w14:textId="77777777" w:rsidR="00360825" w:rsidRPr="00D556DB" w:rsidRDefault="00360825" w:rsidP="00C04569">
            <w:pPr>
              <w:pStyle w:val="BodyText"/>
              <w:keepNext/>
              <w:numPr>
                <w:ilvl w:val="0"/>
                <w:numId w:val="0"/>
              </w:numPr>
              <w:tabs>
                <w:tab w:val="left" w:pos="720"/>
              </w:tabs>
              <w:spacing w:after="0" w:line="300" w:lineRule="auto"/>
              <w:jc w:val="left"/>
              <w:rPr>
                <w:rFonts w:ascii="Arial" w:hAnsi="Arial" w:cs="Arial"/>
                <w:bCs/>
                <w:color w:val="000000"/>
              </w:rPr>
            </w:pPr>
            <w:r w:rsidRPr="00D556DB">
              <w:rPr>
                <w:rFonts w:ascii="Arial" w:hAnsi="Arial" w:cs="Arial"/>
              </w:rPr>
              <w:t>Chichester</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3464346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456DF0">
              <w:rPr>
                <w:rFonts w:ascii="Arial" w:hAnsi="Arial" w:cs="Arial"/>
                <w:color w:val="000000"/>
              </w:rPr>
              <w:t>411</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033A86E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456DF0">
              <w:rPr>
                <w:rFonts w:ascii="Arial" w:hAnsi="Arial" w:cs="Arial"/>
                <w:color w:val="000000"/>
              </w:rPr>
              <w:t>736</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7756ADC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456DF0">
              <w:rPr>
                <w:rFonts w:ascii="Arial" w:hAnsi="Arial" w:cs="Arial"/>
                <w:color w:val="000000"/>
              </w:rPr>
              <w:t>1,147</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3548A6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456DF0">
              <w:rPr>
                <w:rFonts w:ascii="Arial" w:hAnsi="Arial" w:cs="Arial"/>
                <w:color w:val="000000"/>
              </w:rPr>
              <w:t>13,734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6D4F42C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456DF0">
              <w:rPr>
                <w:rFonts w:ascii="Arial" w:hAnsi="Arial" w:cs="Arial"/>
                <w:color w:val="000000"/>
              </w:rPr>
              <w:t>8.4%</w:t>
            </w:r>
          </w:p>
        </w:tc>
      </w:tr>
    </w:tbl>
    <w:p w14:paraId="3CE21B64"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a range of sources</w:t>
      </w:r>
    </w:p>
    <w:p w14:paraId="4941AAC9"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Furthermore, information in the EHS (for 2017/18) also provides national data about wheelchair users by tenure. This showed that, at that time, around 7.1% of social tenants were wheelchair uses, compared with 2.7% of market households (owner-occupiers and private renters). Applying these national figures to the demographic change and need (as shown above) it is possible to estimate the potential need by tenure, as shown in the table below. This shows a need for around 7% of market homes to be M4(3) along with 17% of affordable.</w:t>
      </w:r>
    </w:p>
    <w:p w14:paraId="7741CA97" w14:textId="77777777" w:rsidR="00360825" w:rsidRPr="00D556DB" w:rsidRDefault="00360825" w:rsidP="001A7584">
      <w:pPr>
        <w:pStyle w:val="Heading4"/>
        <w:ind w:firstLine="0"/>
      </w:pPr>
      <w:r w:rsidRPr="00D556DB">
        <w:t>Estimated need for wheelchair user homes by tenure, 2021-39</w:t>
      </w:r>
    </w:p>
    <w:tbl>
      <w:tblPr>
        <w:tblW w:w="5000" w:type="pct"/>
        <w:tblLayout w:type="fixed"/>
        <w:tblLook w:val="04A0" w:firstRow="1" w:lastRow="0" w:firstColumn="1" w:lastColumn="0" w:noHBand="0" w:noVBand="1"/>
      </w:tblPr>
      <w:tblGrid>
        <w:gridCol w:w="2925"/>
        <w:gridCol w:w="2926"/>
        <w:gridCol w:w="2926"/>
      </w:tblGrid>
      <w:tr w:rsidR="00360825" w:rsidRPr="00456DF0" w14:paraId="489D0BCC" w14:textId="77777777" w:rsidTr="00C04569">
        <w:tc>
          <w:tcPr>
            <w:tcW w:w="2925" w:type="dxa"/>
            <w:tcBorders>
              <w:top w:val="single" w:sz="4" w:space="0" w:color="auto"/>
              <w:left w:val="single" w:sz="4" w:space="0" w:color="auto"/>
              <w:bottom w:val="single" w:sz="4" w:space="0" w:color="auto"/>
              <w:right w:val="single" w:sz="4" w:space="0" w:color="auto"/>
            </w:tcBorders>
            <w:shd w:val="clear" w:color="auto" w:fill="002060"/>
          </w:tcPr>
          <w:p w14:paraId="32060070" w14:textId="77777777" w:rsidR="00360825" w:rsidRPr="00D556DB" w:rsidRDefault="00360825" w:rsidP="00C04569">
            <w:pPr>
              <w:spacing w:before="60" w:after="60" w:line="300" w:lineRule="auto"/>
              <w:jc w:val="left"/>
              <w:rPr>
                <w:rFonts w:ascii="Arial" w:hAnsi="Arial" w:cs="Arial"/>
                <w:bCs/>
              </w:rPr>
            </w:pPr>
          </w:p>
        </w:tc>
        <w:tc>
          <w:tcPr>
            <w:tcW w:w="2926" w:type="dxa"/>
            <w:tcBorders>
              <w:top w:val="single" w:sz="4" w:space="0" w:color="auto"/>
              <w:left w:val="single" w:sz="4" w:space="0" w:color="auto"/>
              <w:bottom w:val="single" w:sz="4" w:space="0" w:color="auto"/>
              <w:right w:val="single" w:sz="4" w:space="0" w:color="auto"/>
            </w:tcBorders>
            <w:shd w:val="clear" w:color="auto" w:fill="002060"/>
            <w:noWrap/>
            <w:hideMark/>
          </w:tcPr>
          <w:p w14:paraId="2B4B8CA6" w14:textId="77777777" w:rsidR="00360825" w:rsidRPr="00D556DB" w:rsidRDefault="00360825" w:rsidP="00C04569">
            <w:pPr>
              <w:keepNext/>
              <w:spacing w:before="60" w:after="60" w:line="300" w:lineRule="auto"/>
              <w:jc w:val="center"/>
              <w:rPr>
                <w:rFonts w:ascii="Arial" w:hAnsi="Arial" w:cs="Arial"/>
                <w:bCs/>
              </w:rPr>
            </w:pPr>
            <w:r w:rsidRPr="00D556DB">
              <w:rPr>
                <w:rFonts w:ascii="Arial" w:hAnsi="Arial" w:cs="Arial"/>
                <w:bCs/>
              </w:rPr>
              <w:t>Market</w:t>
            </w:r>
          </w:p>
        </w:tc>
        <w:tc>
          <w:tcPr>
            <w:tcW w:w="2926" w:type="dxa"/>
            <w:tcBorders>
              <w:top w:val="single" w:sz="4" w:space="0" w:color="auto"/>
              <w:left w:val="single" w:sz="4" w:space="0" w:color="auto"/>
              <w:bottom w:val="single" w:sz="4" w:space="0" w:color="auto"/>
              <w:right w:val="single" w:sz="4" w:space="0" w:color="auto"/>
            </w:tcBorders>
            <w:shd w:val="clear" w:color="auto" w:fill="002060"/>
            <w:noWrap/>
            <w:hideMark/>
          </w:tcPr>
          <w:p w14:paraId="0C5F8C7B" w14:textId="77777777" w:rsidR="00360825" w:rsidRPr="00D556DB" w:rsidRDefault="00360825" w:rsidP="00C04569">
            <w:pPr>
              <w:keepNext/>
              <w:spacing w:before="60" w:after="60" w:line="300" w:lineRule="auto"/>
              <w:jc w:val="center"/>
              <w:rPr>
                <w:rFonts w:ascii="Arial" w:hAnsi="Arial" w:cs="Arial"/>
                <w:bCs/>
              </w:rPr>
            </w:pPr>
            <w:r w:rsidRPr="00D556DB">
              <w:rPr>
                <w:rFonts w:ascii="Arial" w:hAnsi="Arial" w:cs="Arial"/>
                <w:bCs/>
              </w:rPr>
              <w:t>Affordable</w:t>
            </w:r>
          </w:p>
        </w:tc>
      </w:tr>
      <w:tr w:rsidR="00360825" w:rsidRPr="00456DF0" w14:paraId="7ABB6A53" w14:textId="77777777" w:rsidTr="00C04569">
        <w:tc>
          <w:tcPr>
            <w:tcW w:w="2925" w:type="dxa"/>
            <w:tcBorders>
              <w:top w:val="single" w:sz="4" w:space="0" w:color="auto"/>
              <w:left w:val="single" w:sz="4" w:space="0" w:color="auto"/>
              <w:bottom w:val="single" w:sz="4" w:space="0" w:color="auto"/>
              <w:right w:val="single" w:sz="4" w:space="0" w:color="auto"/>
            </w:tcBorders>
            <w:vAlign w:val="center"/>
            <w:hideMark/>
          </w:tcPr>
          <w:p w14:paraId="4BDA6507"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color w:val="000000"/>
              </w:rPr>
            </w:pPr>
            <w:r w:rsidRPr="00D556DB">
              <w:rPr>
                <w:rFonts w:ascii="Arial" w:hAnsi="Arial" w:cs="Arial"/>
              </w:rPr>
              <w:t>Chichester</w:t>
            </w:r>
          </w:p>
        </w:tc>
        <w:tc>
          <w:tcPr>
            <w:tcW w:w="2926" w:type="dxa"/>
            <w:tcBorders>
              <w:top w:val="single" w:sz="4" w:space="0" w:color="auto"/>
              <w:left w:val="single" w:sz="4" w:space="0" w:color="auto"/>
              <w:bottom w:val="single" w:sz="4" w:space="0" w:color="auto"/>
              <w:right w:val="single" w:sz="4" w:space="0" w:color="auto"/>
            </w:tcBorders>
            <w:noWrap/>
            <w:vAlign w:val="bottom"/>
            <w:hideMark/>
          </w:tcPr>
          <w:p w14:paraId="1462A82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color w:val="000000"/>
              </w:rPr>
              <w:t>7%</w:t>
            </w:r>
          </w:p>
        </w:tc>
        <w:tc>
          <w:tcPr>
            <w:tcW w:w="2926" w:type="dxa"/>
            <w:tcBorders>
              <w:top w:val="single" w:sz="4" w:space="0" w:color="auto"/>
              <w:left w:val="single" w:sz="4" w:space="0" w:color="auto"/>
              <w:bottom w:val="single" w:sz="4" w:space="0" w:color="auto"/>
              <w:right w:val="single" w:sz="4" w:space="0" w:color="auto"/>
            </w:tcBorders>
            <w:noWrap/>
            <w:vAlign w:val="bottom"/>
            <w:hideMark/>
          </w:tcPr>
          <w:p w14:paraId="27DA3F4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color w:val="000000"/>
              </w:rPr>
              <w:t>17%</w:t>
            </w:r>
          </w:p>
        </w:tc>
      </w:tr>
    </w:tbl>
    <w:p w14:paraId="02EAEDF0" w14:textId="77777777" w:rsidR="00360825" w:rsidRPr="00D556DB" w:rsidRDefault="00360825" w:rsidP="00360825">
      <w:p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demographic projections and EHS prevalence rates</w:t>
      </w:r>
    </w:p>
    <w:p w14:paraId="09B6C65D"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To meet the identified need, the Council could seek a proportion (maybe up to 10%) of all new market homes to be M4(3) compliant and potentially around a quarter in the affordable sector. These figures reflect that not all sites would be able to deliver homes of this type. In the market sector these homes would be M4(3)A (adaptable) and M4(3)B (accessible) for affordable housing.</w:t>
      </w:r>
    </w:p>
    <w:p w14:paraId="43E49DC7"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As with M4(2) homes it may not be possible for some schemes to be built to these higher standards due to </w:t>
      </w:r>
      <w:proofErr w:type="spellStart"/>
      <w:r w:rsidRPr="00D556DB">
        <w:rPr>
          <w:rFonts w:ascii="Arial" w:hAnsi="Arial" w:cs="Arial"/>
        </w:rPr>
        <w:t>built</w:t>
      </w:r>
      <w:proofErr w:type="spellEnd"/>
      <w:r w:rsidRPr="00D556DB">
        <w:rPr>
          <w:rFonts w:ascii="Arial" w:hAnsi="Arial" w:cs="Arial"/>
        </w:rPr>
        <w:t>-form, topography, flooding etc. Furthermore, provision of this type of property may in some cases challenge the viability of delivery given the reasonably high build out costs (see table below).</w:t>
      </w:r>
    </w:p>
    <w:p w14:paraId="3485AA69" w14:textId="77777777" w:rsidR="00360825" w:rsidRPr="00DE1AA1" w:rsidRDefault="00360825" w:rsidP="001A7584">
      <w:pPr>
        <w:pStyle w:val="BodyText"/>
        <w:numPr>
          <w:ilvl w:val="1"/>
          <w:numId w:val="6"/>
        </w:numPr>
        <w:ind w:left="0" w:hanging="709"/>
        <w:rPr>
          <w:rFonts w:ascii="Arial" w:hAnsi="Arial" w:cs="Arial"/>
        </w:rPr>
      </w:pPr>
      <w:r w:rsidRPr="00D556DB">
        <w:rPr>
          <w:rFonts w:ascii="Arial" w:hAnsi="Arial" w:cs="Arial"/>
        </w:rPr>
        <w:t xml:space="preserve">It is worth noting that the Government is currently consulting on changes to the way the needs of people with disabilities and wheelchair users are planned </w:t>
      </w:r>
      <w:r w:rsidRPr="00DE1AA1">
        <w:rPr>
          <w:rFonts w:ascii="Arial" w:hAnsi="Arial" w:cs="Arial"/>
        </w:rPr>
        <w:t>for as a result of concerns that in the drive to achieve housing numbers, the delivery of housing that suits the needs of the households (in particular those with disabilities) is being compromised on viability grounds</w:t>
      </w:r>
      <w:r w:rsidRPr="00DE1AA1">
        <w:rPr>
          <w:rStyle w:val="BalloonTextChar"/>
          <w:rFonts w:ascii="Arial" w:eastAsiaTheme="majorEastAsia" w:hAnsi="Arial" w:cs="Arial"/>
          <w:vertAlign w:val="superscript"/>
        </w:rPr>
        <w:footnoteReference w:id="13"/>
      </w:r>
      <w:r w:rsidRPr="00DE1AA1">
        <w:rPr>
          <w:rFonts w:ascii="Arial" w:hAnsi="Arial" w:cs="Arial"/>
        </w:rPr>
        <w:t>.</w:t>
      </w:r>
    </w:p>
    <w:p w14:paraId="06E74182" w14:textId="77777777" w:rsidR="00360825" w:rsidRPr="00D556DB" w:rsidRDefault="00360825" w:rsidP="001A7584">
      <w:pPr>
        <w:pStyle w:val="BodyText"/>
        <w:numPr>
          <w:ilvl w:val="1"/>
          <w:numId w:val="6"/>
        </w:numPr>
        <w:ind w:left="0" w:hanging="709"/>
        <w:rPr>
          <w:rFonts w:ascii="Arial" w:hAnsi="Arial" w:cs="Arial"/>
        </w:rPr>
      </w:pPr>
      <w:r w:rsidRPr="00DE1AA1">
        <w:rPr>
          <w:rFonts w:ascii="Arial" w:hAnsi="Arial" w:cs="Arial"/>
        </w:rPr>
        <w:t>One of the policy options tabled in this document is to remove M4(1) altogether, so that all new homes will have to at least have the accessible and adaptable features of an M4(2)</w:t>
      </w:r>
      <w:r w:rsidRPr="00D556DB">
        <w:rPr>
          <w:rFonts w:ascii="Arial" w:hAnsi="Arial" w:cs="Arial"/>
        </w:rPr>
        <w:t xml:space="preserve"> home. M4(3) would apply where there is a local planning policy in place in which a need has been identified and </w:t>
      </w:r>
      <w:r w:rsidRPr="00D556DB">
        <w:rPr>
          <w:rFonts w:ascii="Arial" w:hAnsi="Arial" w:cs="Arial"/>
        </w:rPr>
        <w:lastRenderedPageBreak/>
        <w:t>evidenced. This is consistent with the evidence presented in this report, although the trade-off identified in the consultation paper between viability and the need to deliver sufficient numbers of market homes to meet general housing needs is unavoidable.</w:t>
      </w:r>
    </w:p>
    <w:p w14:paraId="532CCABB" w14:textId="4FFAA412" w:rsidR="001A7584" w:rsidRPr="00D3291F" w:rsidRDefault="00360825" w:rsidP="00D3291F">
      <w:pPr>
        <w:pStyle w:val="BodyText"/>
        <w:numPr>
          <w:ilvl w:val="1"/>
          <w:numId w:val="6"/>
        </w:numPr>
        <w:ind w:left="0" w:hanging="709"/>
        <w:rPr>
          <w:b/>
          <w:color w:val="646464" w:themeColor="background2"/>
        </w:rPr>
      </w:pPr>
      <w:r w:rsidRPr="00D556DB">
        <w:rPr>
          <w:rFonts w:ascii="Arial" w:hAnsi="Arial" w:cs="Arial"/>
        </w:rPr>
        <w:t>The viability challenge is particularly relevant for M4(3)(B) standards. These make properties accessible from the moment they are built and involve high additional costs that could in some cases challenge the feasibility of delivering all or any of a policy target.</w:t>
      </w:r>
    </w:p>
    <w:p w14:paraId="63ED9688" w14:textId="15540411" w:rsidR="00360825" w:rsidRPr="00DE1AA1" w:rsidRDefault="001A7584" w:rsidP="001A7584">
      <w:pPr>
        <w:pStyle w:val="Heading4"/>
        <w:ind w:firstLine="0"/>
      </w:pPr>
      <w:r>
        <w:t xml:space="preserve">- </w:t>
      </w:r>
      <w:r w:rsidR="00360825" w:rsidRPr="00DE1AA1">
        <w:t>Access Cost Summary</w:t>
      </w:r>
    </w:p>
    <w:tbl>
      <w:tblPr>
        <w:tblW w:w="5000" w:type="pct"/>
        <w:tblLayout w:type="fixed"/>
        <w:tblLook w:val="04A0" w:firstRow="1" w:lastRow="0" w:firstColumn="1" w:lastColumn="0" w:noHBand="0" w:noVBand="1"/>
      </w:tblPr>
      <w:tblGrid>
        <w:gridCol w:w="2422"/>
        <w:gridCol w:w="1270"/>
        <w:gridCol w:w="1271"/>
        <w:gridCol w:w="1271"/>
        <w:gridCol w:w="1271"/>
        <w:gridCol w:w="1272"/>
      </w:tblGrid>
      <w:tr w:rsidR="00360825" w:rsidRPr="00DE1AA1" w14:paraId="3FA70C41" w14:textId="77777777" w:rsidTr="00C04569">
        <w:tc>
          <w:tcPr>
            <w:tcW w:w="2263" w:type="dxa"/>
            <w:tcBorders>
              <w:top w:val="single" w:sz="4" w:space="0" w:color="auto"/>
              <w:left w:val="single" w:sz="4" w:space="0" w:color="auto"/>
              <w:bottom w:val="single" w:sz="4" w:space="0" w:color="auto"/>
              <w:right w:val="single" w:sz="4" w:space="0" w:color="auto"/>
            </w:tcBorders>
            <w:shd w:val="clear" w:color="auto" w:fill="002060"/>
            <w:hideMark/>
          </w:tcPr>
          <w:p w14:paraId="2CB4D6C5" w14:textId="77777777" w:rsidR="00360825" w:rsidRPr="00DE1AA1" w:rsidRDefault="00360825" w:rsidP="00C04569">
            <w:pPr>
              <w:rPr>
                <w:rFonts w:ascii="Arial" w:hAnsi="Arial" w:cs="Arial"/>
                <w:color w:val="808080" w:themeColor="background1" w:themeShade="80"/>
              </w:rPr>
            </w:pPr>
          </w:p>
        </w:tc>
        <w:tc>
          <w:tcPr>
            <w:tcW w:w="1187" w:type="dxa"/>
            <w:tcBorders>
              <w:top w:val="single" w:sz="4" w:space="0" w:color="auto"/>
              <w:left w:val="single" w:sz="4" w:space="0" w:color="auto"/>
              <w:bottom w:val="single" w:sz="4" w:space="0" w:color="auto"/>
              <w:right w:val="single" w:sz="4" w:space="0" w:color="auto"/>
            </w:tcBorders>
            <w:shd w:val="clear" w:color="auto" w:fill="002060"/>
            <w:hideMark/>
          </w:tcPr>
          <w:p w14:paraId="30A0049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1-Bed Apartment</w:t>
            </w:r>
          </w:p>
        </w:tc>
        <w:tc>
          <w:tcPr>
            <w:tcW w:w="1187" w:type="dxa"/>
            <w:tcBorders>
              <w:top w:val="single" w:sz="4" w:space="0" w:color="auto"/>
              <w:left w:val="single" w:sz="4" w:space="0" w:color="auto"/>
              <w:bottom w:val="single" w:sz="4" w:space="0" w:color="auto"/>
              <w:right w:val="single" w:sz="4" w:space="0" w:color="auto"/>
            </w:tcBorders>
            <w:shd w:val="clear" w:color="auto" w:fill="002060"/>
            <w:hideMark/>
          </w:tcPr>
          <w:p w14:paraId="05DD7B4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2-Bed Apartment</w:t>
            </w:r>
          </w:p>
        </w:tc>
        <w:tc>
          <w:tcPr>
            <w:tcW w:w="1187" w:type="dxa"/>
            <w:tcBorders>
              <w:top w:val="single" w:sz="4" w:space="0" w:color="auto"/>
              <w:left w:val="single" w:sz="4" w:space="0" w:color="auto"/>
              <w:bottom w:val="single" w:sz="4" w:space="0" w:color="auto"/>
              <w:right w:val="single" w:sz="4" w:space="0" w:color="auto"/>
            </w:tcBorders>
            <w:shd w:val="clear" w:color="auto" w:fill="002060"/>
            <w:hideMark/>
          </w:tcPr>
          <w:p w14:paraId="1CCE81B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2-Bed Terrace</w:t>
            </w:r>
          </w:p>
        </w:tc>
        <w:tc>
          <w:tcPr>
            <w:tcW w:w="1187" w:type="dxa"/>
            <w:tcBorders>
              <w:top w:val="single" w:sz="4" w:space="0" w:color="auto"/>
              <w:left w:val="single" w:sz="4" w:space="0" w:color="auto"/>
              <w:bottom w:val="single" w:sz="4" w:space="0" w:color="auto"/>
              <w:right w:val="single" w:sz="4" w:space="0" w:color="auto"/>
            </w:tcBorders>
            <w:shd w:val="clear" w:color="auto" w:fill="002060"/>
            <w:hideMark/>
          </w:tcPr>
          <w:p w14:paraId="39535B8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3-Bed Semi Detached</w:t>
            </w:r>
          </w:p>
        </w:tc>
        <w:tc>
          <w:tcPr>
            <w:tcW w:w="1188" w:type="dxa"/>
            <w:tcBorders>
              <w:top w:val="single" w:sz="4" w:space="0" w:color="auto"/>
              <w:left w:val="single" w:sz="4" w:space="0" w:color="auto"/>
              <w:bottom w:val="single" w:sz="4" w:space="0" w:color="auto"/>
              <w:right w:val="single" w:sz="4" w:space="0" w:color="auto"/>
            </w:tcBorders>
            <w:shd w:val="clear" w:color="auto" w:fill="002060"/>
            <w:hideMark/>
          </w:tcPr>
          <w:p w14:paraId="4DEAB17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4-Bed Semi-Detached</w:t>
            </w:r>
          </w:p>
        </w:tc>
      </w:tr>
      <w:tr w:rsidR="00360825" w:rsidRPr="00DE1AA1" w14:paraId="48ECBA2A" w14:textId="77777777" w:rsidTr="00C04569">
        <w:tc>
          <w:tcPr>
            <w:tcW w:w="2263" w:type="dxa"/>
            <w:tcBorders>
              <w:top w:val="single" w:sz="4" w:space="0" w:color="auto"/>
              <w:left w:val="single" w:sz="4" w:space="0" w:color="auto"/>
              <w:bottom w:val="single" w:sz="4" w:space="0" w:color="auto"/>
              <w:right w:val="single" w:sz="4" w:space="0" w:color="auto"/>
            </w:tcBorders>
            <w:noWrap/>
            <w:hideMark/>
          </w:tcPr>
          <w:p w14:paraId="068DF448" w14:textId="77777777" w:rsidR="00360825" w:rsidRPr="00DE1AA1" w:rsidRDefault="00360825" w:rsidP="00C04569">
            <w:pPr>
              <w:keepNext/>
              <w:spacing w:after="0" w:line="300" w:lineRule="auto"/>
              <w:rPr>
                <w:rFonts w:ascii="Arial" w:hAnsi="Arial" w:cs="Arial"/>
              </w:rPr>
            </w:pPr>
            <w:r w:rsidRPr="00DE1AA1">
              <w:rPr>
                <w:rFonts w:ascii="Arial" w:hAnsi="Arial" w:cs="Arial"/>
              </w:rPr>
              <w:t>M4(2)</w:t>
            </w:r>
          </w:p>
        </w:tc>
        <w:tc>
          <w:tcPr>
            <w:tcW w:w="1187" w:type="dxa"/>
            <w:tcBorders>
              <w:top w:val="single" w:sz="4" w:space="0" w:color="auto"/>
              <w:left w:val="single" w:sz="4" w:space="0" w:color="auto"/>
              <w:bottom w:val="single" w:sz="4" w:space="0" w:color="auto"/>
              <w:right w:val="single" w:sz="4" w:space="0" w:color="auto"/>
            </w:tcBorders>
            <w:noWrap/>
            <w:hideMark/>
          </w:tcPr>
          <w:p w14:paraId="0EE1196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£940</w:t>
            </w:r>
          </w:p>
        </w:tc>
        <w:tc>
          <w:tcPr>
            <w:tcW w:w="1187" w:type="dxa"/>
            <w:tcBorders>
              <w:top w:val="single" w:sz="4" w:space="0" w:color="auto"/>
              <w:left w:val="single" w:sz="4" w:space="0" w:color="auto"/>
              <w:bottom w:val="single" w:sz="4" w:space="0" w:color="auto"/>
              <w:right w:val="single" w:sz="4" w:space="0" w:color="auto"/>
            </w:tcBorders>
            <w:noWrap/>
            <w:hideMark/>
          </w:tcPr>
          <w:p w14:paraId="6C97E3B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£907</w:t>
            </w:r>
          </w:p>
        </w:tc>
        <w:tc>
          <w:tcPr>
            <w:tcW w:w="1187" w:type="dxa"/>
            <w:tcBorders>
              <w:top w:val="single" w:sz="4" w:space="0" w:color="auto"/>
              <w:left w:val="single" w:sz="4" w:space="0" w:color="auto"/>
              <w:bottom w:val="single" w:sz="4" w:space="0" w:color="auto"/>
              <w:right w:val="single" w:sz="4" w:space="0" w:color="auto"/>
            </w:tcBorders>
            <w:noWrap/>
            <w:hideMark/>
          </w:tcPr>
          <w:p w14:paraId="1A090F1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£523</w:t>
            </w:r>
          </w:p>
        </w:tc>
        <w:tc>
          <w:tcPr>
            <w:tcW w:w="1187" w:type="dxa"/>
            <w:tcBorders>
              <w:top w:val="single" w:sz="4" w:space="0" w:color="auto"/>
              <w:left w:val="single" w:sz="4" w:space="0" w:color="auto"/>
              <w:bottom w:val="single" w:sz="4" w:space="0" w:color="auto"/>
              <w:right w:val="single" w:sz="4" w:space="0" w:color="auto"/>
            </w:tcBorders>
            <w:noWrap/>
            <w:hideMark/>
          </w:tcPr>
          <w:p w14:paraId="6894FD8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£521</w:t>
            </w:r>
          </w:p>
        </w:tc>
        <w:tc>
          <w:tcPr>
            <w:tcW w:w="1188" w:type="dxa"/>
            <w:tcBorders>
              <w:top w:val="single" w:sz="4" w:space="0" w:color="auto"/>
              <w:left w:val="single" w:sz="4" w:space="0" w:color="auto"/>
              <w:bottom w:val="single" w:sz="4" w:space="0" w:color="auto"/>
              <w:right w:val="single" w:sz="4" w:space="0" w:color="auto"/>
            </w:tcBorders>
            <w:noWrap/>
            <w:hideMark/>
          </w:tcPr>
          <w:p w14:paraId="36CF473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£520</w:t>
            </w:r>
          </w:p>
        </w:tc>
      </w:tr>
      <w:tr w:rsidR="00360825" w:rsidRPr="00DE1AA1" w14:paraId="5943EBA1" w14:textId="77777777" w:rsidTr="00C04569">
        <w:tc>
          <w:tcPr>
            <w:tcW w:w="2263" w:type="dxa"/>
            <w:tcBorders>
              <w:top w:val="single" w:sz="4" w:space="0" w:color="auto"/>
              <w:left w:val="single" w:sz="4" w:space="0" w:color="auto"/>
              <w:bottom w:val="single" w:sz="4" w:space="0" w:color="auto"/>
              <w:right w:val="single" w:sz="4" w:space="0" w:color="auto"/>
            </w:tcBorders>
            <w:noWrap/>
            <w:hideMark/>
          </w:tcPr>
          <w:p w14:paraId="3CAEB047" w14:textId="77777777" w:rsidR="00360825" w:rsidRPr="00DE1AA1" w:rsidRDefault="00360825" w:rsidP="00C04569">
            <w:pPr>
              <w:keepNext/>
              <w:spacing w:after="0" w:line="300" w:lineRule="auto"/>
              <w:rPr>
                <w:rFonts w:ascii="Arial" w:hAnsi="Arial" w:cs="Arial"/>
              </w:rPr>
            </w:pPr>
            <w:r w:rsidRPr="00DE1AA1">
              <w:rPr>
                <w:rFonts w:ascii="Arial" w:hAnsi="Arial" w:cs="Arial"/>
              </w:rPr>
              <w:t>M4(3)(A) – Adaptable</w:t>
            </w:r>
          </w:p>
        </w:tc>
        <w:tc>
          <w:tcPr>
            <w:tcW w:w="1187" w:type="dxa"/>
            <w:tcBorders>
              <w:top w:val="single" w:sz="4" w:space="0" w:color="auto"/>
              <w:left w:val="single" w:sz="4" w:space="0" w:color="auto"/>
              <w:bottom w:val="single" w:sz="4" w:space="0" w:color="auto"/>
              <w:right w:val="single" w:sz="4" w:space="0" w:color="auto"/>
            </w:tcBorders>
            <w:noWrap/>
            <w:hideMark/>
          </w:tcPr>
          <w:p w14:paraId="14AD778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£7,607</w:t>
            </w:r>
          </w:p>
        </w:tc>
        <w:tc>
          <w:tcPr>
            <w:tcW w:w="1187" w:type="dxa"/>
            <w:tcBorders>
              <w:top w:val="single" w:sz="4" w:space="0" w:color="auto"/>
              <w:left w:val="single" w:sz="4" w:space="0" w:color="auto"/>
              <w:bottom w:val="single" w:sz="4" w:space="0" w:color="auto"/>
              <w:right w:val="single" w:sz="4" w:space="0" w:color="auto"/>
            </w:tcBorders>
            <w:noWrap/>
            <w:hideMark/>
          </w:tcPr>
          <w:p w14:paraId="5DCF207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£7,891</w:t>
            </w:r>
          </w:p>
        </w:tc>
        <w:tc>
          <w:tcPr>
            <w:tcW w:w="1187" w:type="dxa"/>
            <w:tcBorders>
              <w:top w:val="single" w:sz="4" w:space="0" w:color="auto"/>
              <w:left w:val="single" w:sz="4" w:space="0" w:color="auto"/>
              <w:bottom w:val="single" w:sz="4" w:space="0" w:color="auto"/>
              <w:right w:val="single" w:sz="4" w:space="0" w:color="auto"/>
            </w:tcBorders>
            <w:noWrap/>
            <w:hideMark/>
          </w:tcPr>
          <w:p w14:paraId="6E1CD4A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£9,754</w:t>
            </w:r>
          </w:p>
        </w:tc>
        <w:tc>
          <w:tcPr>
            <w:tcW w:w="1187" w:type="dxa"/>
            <w:tcBorders>
              <w:top w:val="single" w:sz="4" w:space="0" w:color="auto"/>
              <w:left w:val="single" w:sz="4" w:space="0" w:color="auto"/>
              <w:bottom w:val="single" w:sz="4" w:space="0" w:color="auto"/>
              <w:right w:val="single" w:sz="4" w:space="0" w:color="auto"/>
            </w:tcBorders>
            <w:noWrap/>
            <w:hideMark/>
          </w:tcPr>
          <w:p w14:paraId="63164A8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£10,307</w:t>
            </w:r>
          </w:p>
        </w:tc>
        <w:tc>
          <w:tcPr>
            <w:tcW w:w="1188" w:type="dxa"/>
            <w:tcBorders>
              <w:top w:val="single" w:sz="4" w:space="0" w:color="auto"/>
              <w:left w:val="single" w:sz="4" w:space="0" w:color="auto"/>
              <w:bottom w:val="single" w:sz="4" w:space="0" w:color="auto"/>
              <w:right w:val="single" w:sz="4" w:space="0" w:color="auto"/>
            </w:tcBorders>
            <w:noWrap/>
            <w:hideMark/>
          </w:tcPr>
          <w:p w14:paraId="69360AA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£10,568</w:t>
            </w:r>
          </w:p>
        </w:tc>
      </w:tr>
      <w:tr w:rsidR="00360825" w:rsidRPr="00DE1AA1" w14:paraId="73A8B32E" w14:textId="77777777" w:rsidTr="00C04569">
        <w:tc>
          <w:tcPr>
            <w:tcW w:w="2263" w:type="dxa"/>
            <w:tcBorders>
              <w:top w:val="single" w:sz="4" w:space="0" w:color="auto"/>
              <w:left w:val="single" w:sz="4" w:space="0" w:color="auto"/>
              <w:bottom w:val="single" w:sz="4" w:space="0" w:color="auto"/>
              <w:right w:val="single" w:sz="4" w:space="0" w:color="auto"/>
            </w:tcBorders>
            <w:noWrap/>
            <w:hideMark/>
          </w:tcPr>
          <w:p w14:paraId="1DB37175" w14:textId="77777777" w:rsidR="00360825" w:rsidRPr="00DE1AA1" w:rsidRDefault="00360825" w:rsidP="00C04569">
            <w:pPr>
              <w:keepNext/>
              <w:spacing w:after="0" w:line="300" w:lineRule="auto"/>
              <w:rPr>
                <w:rFonts w:ascii="Arial" w:hAnsi="Arial" w:cs="Arial"/>
              </w:rPr>
            </w:pPr>
            <w:r w:rsidRPr="00DE1AA1">
              <w:rPr>
                <w:rFonts w:ascii="Arial" w:hAnsi="Arial" w:cs="Arial"/>
              </w:rPr>
              <w:t>M4(3)(B) – Accessible</w:t>
            </w:r>
          </w:p>
        </w:tc>
        <w:tc>
          <w:tcPr>
            <w:tcW w:w="1187" w:type="dxa"/>
            <w:tcBorders>
              <w:top w:val="single" w:sz="4" w:space="0" w:color="auto"/>
              <w:left w:val="single" w:sz="4" w:space="0" w:color="auto"/>
              <w:bottom w:val="single" w:sz="4" w:space="0" w:color="auto"/>
              <w:right w:val="single" w:sz="4" w:space="0" w:color="auto"/>
            </w:tcBorders>
            <w:noWrap/>
            <w:hideMark/>
          </w:tcPr>
          <w:p w14:paraId="0814538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£7,764</w:t>
            </w:r>
          </w:p>
        </w:tc>
        <w:tc>
          <w:tcPr>
            <w:tcW w:w="1187" w:type="dxa"/>
            <w:tcBorders>
              <w:top w:val="single" w:sz="4" w:space="0" w:color="auto"/>
              <w:left w:val="single" w:sz="4" w:space="0" w:color="auto"/>
              <w:bottom w:val="single" w:sz="4" w:space="0" w:color="auto"/>
              <w:right w:val="single" w:sz="4" w:space="0" w:color="auto"/>
            </w:tcBorders>
            <w:noWrap/>
            <w:hideMark/>
          </w:tcPr>
          <w:p w14:paraId="0ED5E4A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£8,048</w:t>
            </w:r>
          </w:p>
        </w:tc>
        <w:tc>
          <w:tcPr>
            <w:tcW w:w="1187" w:type="dxa"/>
            <w:tcBorders>
              <w:top w:val="single" w:sz="4" w:space="0" w:color="auto"/>
              <w:left w:val="single" w:sz="4" w:space="0" w:color="auto"/>
              <w:bottom w:val="single" w:sz="4" w:space="0" w:color="auto"/>
              <w:right w:val="single" w:sz="4" w:space="0" w:color="auto"/>
            </w:tcBorders>
            <w:noWrap/>
            <w:hideMark/>
          </w:tcPr>
          <w:p w14:paraId="3EB07B8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£22,238</w:t>
            </w:r>
          </w:p>
        </w:tc>
        <w:tc>
          <w:tcPr>
            <w:tcW w:w="1187" w:type="dxa"/>
            <w:tcBorders>
              <w:top w:val="single" w:sz="4" w:space="0" w:color="auto"/>
              <w:left w:val="single" w:sz="4" w:space="0" w:color="auto"/>
              <w:bottom w:val="single" w:sz="4" w:space="0" w:color="auto"/>
              <w:right w:val="single" w:sz="4" w:space="0" w:color="auto"/>
            </w:tcBorders>
            <w:noWrap/>
            <w:hideMark/>
          </w:tcPr>
          <w:p w14:paraId="137FED1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£22,791</w:t>
            </w:r>
          </w:p>
        </w:tc>
        <w:tc>
          <w:tcPr>
            <w:tcW w:w="1188" w:type="dxa"/>
            <w:tcBorders>
              <w:top w:val="single" w:sz="4" w:space="0" w:color="auto"/>
              <w:left w:val="single" w:sz="4" w:space="0" w:color="auto"/>
              <w:bottom w:val="single" w:sz="4" w:space="0" w:color="auto"/>
              <w:right w:val="single" w:sz="4" w:space="0" w:color="auto"/>
            </w:tcBorders>
            <w:noWrap/>
            <w:hideMark/>
          </w:tcPr>
          <w:p w14:paraId="2DB77FA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£23,052</w:t>
            </w:r>
          </w:p>
        </w:tc>
      </w:tr>
    </w:tbl>
    <w:p w14:paraId="29EEEE8A" w14:textId="77777777" w:rsidR="00360825" w:rsidRPr="00D556DB" w:rsidRDefault="00360825" w:rsidP="00360825">
      <w:pPr>
        <w:tabs>
          <w:tab w:val="left" w:pos="720"/>
        </w:tabs>
        <w:spacing w:line="300" w:lineRule="auto"/>
        <w:rPr>
          <w:rFonts w:ascii="Arial" w:hAnsi="Arial" w:cs="Arial"/>
          <w:i/>
          <w:iCs/>
          <w:sz w:val="16"/>
          <w:szCs w:val="16"/>
        </w:rPr>
      </w:pPr>
      <w:r w:rsidRPr="00D556DB">
        <w:rPr>
          <w:rFonts w:ascii="Arial" w:hAnsi="Arial" w:cs="Arial"/>
          <w:i/>
          <w:iCs/>
          <w:sz w:val="16"/>
          <w:szCs w:val="16"/>
        </w:rPr>
        <w:t>Source: DCLG Housing Standards Review</w:t>
      </w:r>
      <w:r w:rsidRPr="00D556DB">
        <w:rPr>
          <w:rStyle w:val="FootnoteReference"/>
          <w:rFonts w:ascii="Arial" w:hAnsi="Arial" w:cs="Arial"/>
          <w:i/>
          <w:iCs/>
          <w:sz w:val="16"/>
          <w:szCs w:val="16"/>
        </w:rPr>
        <w:footnoteReference w:id="14"/>
      </w:r>
      <w:r w:rsidRPr="00D556DB">
        <w:rPr>
          <w:rFonts w:ascii="Arial" w:hAnsi="Arial" w:cs="Arial"/>
          <w:i/>
          <w:iCs/>
          <w:sz w:val="16"/>
          <w:szCs w:val="16"/>
        </w:rPr>
        <w:t>, EC Harris, 2014</w:t>
      </w:r>
    </w:p>
    <w:p w14:paraId="4E41DD4D"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However, local authorities only have the right to request M4(3)(B) accessible compliance from homes for which they have nomination rights. They can, however, request M4(3)(A) adaptable compliance from the wider (market) housing stock.</w:t>
      </w:r>
    </w:p>
    <w:p w14:paraId="4FD3C384"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A further option for the Council would be to consider seeking a higher contribution, where it is viable to do so, from those homes to which they have nomination rights. This would address any under delivery from other schemes (including schemes due to their size e.g. less than 10 units or 1,000 square metres) but also recognise the fact that there is a higher prevalence for wheelchair use within social rent tenures. This should be considered when setting policy.</w:t>
      </w:r>
    </w:p>
    <w:p w14:paraId="0A00720D" w14:textId="77777777" w:rsidR="00360825" w:rsidRPr="00D556DB" w:rsidRDefault="00360825" w:rsidP="00360825">
      <w:pPr>
        <w:pStyle w:val="Heading2"/>
        <w:rPr>
          <w:rFonts w:ascii="Arial" w:hAnsi="Arial" w:cs="Arial"/>
          <w:bCs/>
        </w:rPr>
      </w:pPr>
      <w:r w:rsidRPr="00D556DB">
        <w:rPr>
          <w:rFonts w:ascii="Arial" w:hAnsi="Arial" w:cs="Arial"/>
          <w:bCs/>
        </w:rPr>
        <w:t>Summary</w:t>
      </w:r>
    </w:p>
    <w:p w14:paraId="4E24210F" w14:textId="77777777" w:rsidR="00360825" w:rsidRPr="00DE1AA1" w:rsidRDefault="00360825" w:rsidP="001A7584">
      <w:pPr>
        <w:pStyle w:val="BodyText"/>
        <w:numPr>
          <w:ilvl w:val="1"/>
          <w:numId w:val="6"/>
        </w:numPr>
        <w:ind w:left="0" w:hanging="709"/>
        <w:rPr>
          <w:rFonts w:ascii="Arial" w:hAnsi="Arial" w:cs="Arial"/>
        </w:rPr>
      </w:pPr>
      <w:bookmarkStart w:id="46" w:name="_Hlk89090279"/>
      <w:r w:rsidRPr="00DE1AA1">
        <w:rPr>
          <w:rFonts w:ascii="Arial" w:hAnsi="Arial" w:cs="Arial"/>
        </w:rPr>
        <w:t xml:space="preserve">A range of data sources and statistics have been accessed to consider the characteristics and housing needs of the older person population and the population with some form of disability. The two groups are taken together as there is a clear link between age and disability. The analysis responds to Planning Practice Guidance on Housing for Older and Disabled People published by Government in June 2019 and includes an assessment of the need for specialist accommodation for </w:t>
      </w:r>
      <w:r w:rsidRPr="00DE1AA1">
        <w:rPr>
          <w:rFonts w:ascii="Arial" w:hAnsi="Arial" w:cs="Arial"/>
        </w:rPr>
        <w:lastRenderedPageBreak/>
        <w:t>older people and the potential requirements for housing to be built to M4(2) and M4(3) housing technical standards (accessibility and wheelchair standards).</w:t>
      </w:r>
    </w:p>
    <w:p w14:paraId="5B150919" w14:textId="77777777" w:rsidR="00360825" w:rsidRPr="00212944" w:rsidRDefault="00360825" w:rsidP="001A7584">
      <w:pPr>
        <w:pStyle w:val="BodyText"/>
        <w:numPr>
          <w:ilvl w:val="1"/>
          <w:numId w:val="6"/>
        </w:numPr>
        <w:ind w:left="0" w:hanging="709"/>
        <w:rPr>
          <w:rFonts w:ascii="Arial" w:hAnsi="Arial" w:cs="Arial"/>
        </w:rPr>
      </w:pPr>
      <w:r w:rsidRPr="00DE1AA1">
        <w:rPr>
          <w:rFonts w:ascii="Arial" w:hAnsi="Arial" w:cs="Arial"/>
        </w:rPr>
        <w:t xml:space="preserve">The data shows that Chichester has an older age structure and similar overall levels of disability compared with the national average – age specific rates of disability are consequently notably lower than seen nationally. The older person population has some distinct characteristics, including a high representation in the owner-occupied sector and is projected to increase notably in the future. An ageing population means </w:t>
      </w:r>
      <w:r w:rsidRPr="00212944">
        <w:rPr>
          <w:rFonts w:ascii="Arial" w:hAnsi="Arial" w:cs="Arial"/>
        </w:rPr>
        <w:t>that the number of people with disabilities is likely to increase substantially. Key findings for the 2021-39 period include:</w:t>
      </w:r>
    </w:p>
    <w:p w14:paraId="510AFD51" w14:textId="77777777" w:rsidR="00360825" w:rsidRPr="00D556DB" w:rsidRDefault="00360825" w:rsidP="001A7584">
      <w:pPr>
        <w:numPr>
          <w:ilvl w:val="0"/>
          <w:numId w:val="38"/>
        </w:numPr>
        <w:spacing w:after="120"/>
        <w:ind w:hanging="357"/>
        <w:rPr>
          <w:rFonts w:ascii="Arial" w:hAnsi="Arial" w:cs="Arial"/>
        </w:rPr>
      </w:pPr>
      <w:r w:rsidRPr="00D556DB">
        <w:rPr>
          <w:rFonts w:ascii="Arial" w:hAnsi="Arial" w:cs="Arial"/>
        </w:rPr>
        <w:t>A 42% increase in the population aged 65+ (potentially accounting for 67% of total population growth);</w:t>
      </w:r>
    </w:p>
    <w:p w14:paraId="2DA4E238" w14:textId="77777777" w:rsidR="00360825" w:rsidRPr="00D556DB" w:rsidRDefault="00360825" w:rsidP="001A7584">
      <w:pPr>
        <w:numPr>
          <w:ilvl w:val="0"/>
          <w:numId w:val="38"/>
        </w:numPr>
        <w:spacing w:after="120"/>
        <w:ind w:hanging="357"/>
        <w:rPr>
          <w:rFonts w:ascii="Arial" w:hAnsi="Arial" w:cs="Arial"/>
        </w:rPr>
      </w:pPr>
      <w:r w:rsidRPr="00D556DB">
        <w:rPr>
          <w:rFonts w:ascii="Arial" w:hAnsi="Arial" w:cs="Arial"/>
        </w:rPr>
        <w:t>A 58% increase in the number of people aged 65+ with dementia and a 51% increase in those aged 65+ with mobility problems;</w:t>
      </w:r>
    </w:p>
    <w:p w14:paraId="2987575C" w14:textId="5D753954" w:rsidR="00360825" w:rsidRPr="00D556DB" w:rsidRDefault="00360825" w:rsidP="001A7584">
      <w:pPr>
        <w:numPr>
          <w:ilvl w:val="0"/>
          <w:numId w:val="38"/>
        </w:numPr>
        <w:spacing w:after="120"/>
        <w:ind w:hanging="357"/>
        <w:rPr>
          <w:rFonts w:ascii="Arial" w:hAnsi="Arial" w:cs="Arial"/>
        </w:rPr>
      </w:pPr>
      <w:r w:rsidRPr="00D556DB">
        <w:rPr>
          <w:rFonts w:ascii="Arial" w:hAnsi="Arial" w:cs="Arial"/>
        </w:rPr>
        <w:t xml:space="preserve">A need for </w:t>
      </w:r>
      <w:r w:rsidR="004A7148">
        <w:rPr>
          <w:rFonts w:ascii="Arial" w:hAnsi="Arial" w:cs="Arial"/>
        </w:rPr>
        <w:t>between</w:t>
      </w:r>
      <w:r w:rsidR="004A7148" w:rsidRPr="00D556DB">
        <w:rPr>
          <w:rFonts w:ascii="Arial" w:hAnsi="Arial" w:cs="Arial"/>
        </w:rPr>
        <w:t xml:space="preserve"> </w:t>
      </w:r>
      <w:r w:rsidRPr="00D556DB">
        <w:rPr>
          <w:rFonts w:ascii="Arial" w:hAnsi="Arial" w:cs="Arial"/>
        </w:rPr>
        <w:t>1,200</w:t>
      </w:r>
      <w:r w:rsidR="004A7148">
        <w:rPr>
          <w:rFonts w:ascii="Arial" w:hAnsi="Arial" w:cs="Arial"/>
        </w:rPr>
        <w:t xml:space="preserve"> and 1,700</w:t>
      </w:r>
      <w:r w:rsidRPr="00D556DB">
        <w:rPr>
          <w:rFonts w:ascii="Arial" w:hAnsi="Arial" w:cs="Arial"/>
        </w:rPr>
        <w:t xml:space="preserve"> housing units with support (sheltered/retirement housing) – split between market and affordable housing;</w:t>
      </w:r>
    </w:p>
    <w:p w14:paraId="482F362B" w14:textId="75252FD7" w:rsidR="00360825" w:rsidRPr="00D556DB" w:rsidRDefault="00360825" w:rsidP="001A7584">
      <w:pPr>
        <w:numPr>
          <w:ilvl w:val="0"/>
          <w:numId w:val="38"/>
        </w:numPr>
        <w:spacing w:after="120"/>
        <w:ind w:hanging="357"/>
        <w:rPr>
          <w:rFonts w:ascii="Arial" w:hAnsi="Arial" w:cs="Arial"/>
        </w:rPr>
      </w:pPr>
      <w:r w:rsidRPr="00D556DB">
        <w:rPr>
          <w:rFonts w:ascii="Arial" w:hAnsi="Arial" w:cs="Arial"/>
        </w:rPr>
        <w:t xml:space="preserve">A need for </w:t>
      </w:r>
      <w:r w:rsidR="004A7148">
        <w:rPr>
          <w:rFonts w:ascii="Arial" w:hAnsi="Arial" w:cs="Arial"/>
        </w:rPr>
        <w:t>between</w:t>
      </w:r>
      <w:r w:rsidR="004A7148" w:rsidRPr="00D556DB">
        <w:rPr>
          <w:rFonts w:ascii="Arial" w:hAnsi="Arial" w:cs="Arial"/>
        </w:rPr>
        <w:t xml:space="preserve"> </w:t>
      </w:r>
      <w:r w:rsidRPr="00D556DB">
        <w:rPr>
          <w:rFonts w:ascii="Arial" w:hAnsi="Arial" w:cs="Arial"/>
        </w:rPr>
        <w:t>900</w:t>
      </w:r>
      <w:r w:rsidR="004A7148">
        <w:rPr>
          <w:rFonts w:ascii="Arial" w:hAnsi="Arial" w:cs="Arial"/>
        </w:rPr>
        <w:t xml:space="preserve"> and 1,000</w:t>
      </w:r>
      <w:r w:rsidRPr="00D556DB">
        <w:rPr>
          <w:rFonts w:ascii="Arial" w:hAnsi="Arial" w:cs="Arial"/>
        </w:rPr>
        <w:t xml:space="preserve"> additional housing units with care (e.g. extra-care) – focussed on the market sector;</w:t>
      </w:r>
    </w:p>
    <w:p w14:paraId="563DEFFA" w14:textId="77777777" w:rsidR="00360825" w:rsidRPr="00D556DB" w:rsidRDefault="00360825" w:rsidP="001A7584">
      <w:pPr>
        <w:numPr>
          <w:ilvl w:val="0"/>
          <w:numId w:val="38"/>
        </w:numPr>
        <w:spacing w:after="120"/>
        <w:ind w:hanging="357"/>
        <w:rPr>
          <w:rFonts w:ascii="Arial" w:hAnsi="Arial" w:cs="Arial"/>
        </w:rPr>
      </w:pPr>
      <w:r w:rsidRPr="00D556DB">
        <w:rPr>
          <w:rFonts w:ascii="Arial" w:hAnsi="Arial" w:cs="Arial"/>
        </w:rPr>
        <w:t>A need for additional nursing care bedspaces; and</w:t>
      </w:r>
    </w:p>
    <w:p w14:paraId="212C3A4A" w14:textId="77777777" w:rsidR="00360825" w:rsidRPr="00D556DB" w:rsidRDefault="00360825" w:rsidP="001A7584">
      <w:pPr>
        <w:numPr>
          <w:ilvl w:val="0"/>
          <w:numId w:val="38"/>
        </w:numPr>
        <w:rPr>
          <w:rFonts w:ascii="Arial" w:hAnsi="Arial" w:cs="Arial"/>
        </w:rPr>
      </w:pPr>
      <w:r w:rsidRPr="00D556DB">
        <w:rPr>
          <w:rFonts w:ascii="Arial" w:hAnsi="Arial" w:cs="Arial"/>
        </w:rPr>
        <w:t>a need for around 1,150 dwellings to be for wheelchair users (meeting technical standard M4(3)).</w:t>
      </w:r>
    </w:p>
    <w:p w14:paraId="38C4F50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212944">
        <w:rPr>
          <w:rFonts w:ascii="Arial" w:hAnsi="Arial" w:cs="Arial"/>
        </w:rPr>
        <w:t>This would suggest that there</w:t>
      </w:r>
      <w:r w:rsidRPr="00DE1AA1">
        <w:rPr>
          <w:rFonts w:ascii="Arial" w:hAnsi="Arial" w:cs="Arial"/>
        </w:rPr>
        <w:t xml:space="preserve"> is a clear need to increase the supply of accessible and adaptable dwellings and wheelchair user dwellings as well as providing specific provision of older persons housing. Given the evidence, the Council could consider (as a start point) requiring all dwellings (in all tenures) to meet the M4(2) standards (which are similar to the Lifetime Homes Standards) and around 10% of homes meeting M4(3) – wheelchair user dwellings (a higher proportion in the affordable sector).</w:t>
      </w:r>
    </w:p>
    <w:p w14:paraId="76F83C8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Where the authority has nomination rights M4(3) would be wheelchair accessible dwellings (constructed for immediate occupation) and in the market sector they should be wheelchair user adaptable dwellings (constructed to be adjustable for occupation by a wheelchair user). It should however be noted that there will be cases where this may not be possible (e.g. due to viability or site-specific circumstances) and so any policy should be applied flexibly.</w:t>
      </w:r>
    </w:p>
    <w:p w14:paraId="2C37932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The Council should also consider if a different approach is prudent for market housing and affordable homes, recognising that Registered Providers may already build to higher standards, and that households in the affordable sector are more likely to have some form of disability.</w:t>
      </w:r>
    </w:p>
    <w:p w14:paraId="6B147C4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lastRenderedPageBreak/>
        <w:t>In seeking M4(2) compliant homes, the Council should also be mindful that such homes could be considered as ‘homes for life’ and would be suitable for any occupant, regardless of whether or not they have a disability at the time of initial occupation.</w:t>
      </w:r>
    </w:p>
    <w:p w14:paraId="0BEFC1F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In framing policies for the provision of specialist older persons accommodation, the Council will need to consider a range of issues. This will include the different use classes of accommodation (i.e. C2 vs. C3) and requirements for affordable housing contributions (linked to this the viability of provision). There may also be some practical issues to consider, such as the ability of any individual development being mixed tenure given the way care and support services are paid for.</w:t>
      </w:r>
    </w:p>
    <w:p w14:paraId="2A2CA032" w14:textId="77777777" w:rsidR="00360825" w:rsidRPr="00D556DB" w:rsidRDefault="00360825" w:rsidP="00360825">
      <w:pPr>
        <w:pStyle w:val="Heading1"/>
        <w:rPr>
          <w:rFonts w:ascii="Arial" w:hAnsi="Arial" w:cs="Arial"/>
        </w:rPr>
      </w:pPr>
      <w:bookmarkStart w:id="47" w:name="_Toc96358140"/>
      <w:bookmarkStart w:id="48" w:name="_Toc97716038"/>
      <w:bookmarkEnd w:id="46"/>
      <w:r w:rsidRPr="00D556DB">
        <w:rPr>
          <w:rFonts w:ascii="Arial" w:hAnsi="Arial" w:cs="Arial"/>
        </w:rPr>
        <w:lastRenderedPageBreak/>
        <w:t>Specific Groups</w:t>
      </w:r>
      <w:bookmarkEnd w:id="47"/>
      <w:bookmarkEnd w:id="48"/>
      <w:r w:rsidRPr="00D556DB">
        <w:rPr>
          <w:rFonts w:ascii="Arial" w:hAnsi="Arial" w:cs="Arial"/>
        </w:rPr>
        <w:t xml:space="preserve"> </w:t>
      </w:r>
    </w:p>
    <w:p w14:paraId="0D0A632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This section considers the needs of specific groups in the District including homeless </w:t>
      </w:r>
      <w:r w:rsidRPr="00DE1AA1">
        <w:rPr>
          <w:rFonts w:ascii="Arial" w:hAnsi="Arial" w:cs="Arial"/>
        </w:rPr>
        <w:t>households</w:t>
      </w:r>
      <w:r w:rsidRPr="00D556DB">
        <w:rPr>
          <w:rFonts w:ascii="Arial" w:hAnsi="Arial" w:cs="Arial"/>
        </w:rPr>
        <w:t>, households with support needs, student households, service families and those looking to build their own home.</w:t>
      </w:r>
    </w:p>
    <w:p w14:paraId="628B73FC" w14:textId="77777777" w:rsidR="00360825" w:rsidRPr="00D556DB" w:rsidRDefault="00360825" w:rsidP="00360825">
      <w:pPr>
        <w:pStyle w:val="Heading2"/>
        <w:rPr>
          <w:rFonts w:ascii="Arial" w:hAnsi="Arial" w:cs="Arial"/>
        </w:rPr>
      </w:pPr>
      <w:r w:rsidRPr="00D556DB">
        <w:rPr>
          <w:rFonts w:ascii="Arial" w:hAnsi="Arial" w:cs="Arial"/>
        </w:rPr>
        <w:t>Homeless Households and those with Support Needs</w:t>
      </w:r>
    </w:p>
    <w:p w14:paraId="1AED850F"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49" w:name="_Hlk89090363"/>
      <w:r w:rsidRPr="00D556DB">
        <w:rPr>
          <w:rFonts w:ascii="Arial" w:hAnsi="Arial" w:cs="Arial"/>
        </w:rPr>
        <w:t xml:space="preserve">In order to understand the scale and main issues surrounding homelessness in the District, Iceni has drawn on data from the Homelessness Case Level Collection (“H-CLIC”) which is gathered by MHCLG directly from local authorities. Iceni has also considered the District Housing Strategy 2020-25 which was adopted in 2020. </w:t>
      </w:r>
    </w:p>
    <w:p w14:paraId="2516434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housing</w:t>
      </w:r>
      <w:r w:rsidRPr="00D556DB">
        <w:rPr>
          <w:rFonts w:ascii="Arial" w:hAnsi="Arial" w:cs="Arial"/>
        </w:rPr>
        <w:t xml:space="preserve"> strategy provides a useful starting point for understanding the main issues around homelessness in the District. The Strategy makes clear that the District has a strong record for supporting its most vulnerable residents including those who are homeless and those with support needs. The purpose of the Strategy is to set out a vision for tackling the main issues over the five year period.</w:t>
      </w:r>
    </w:p>
    <w:p w14:paraId="621ECDE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setting the scene, the Strategy recognises that housing affordability has continued to decline in </w:t>
      </w:r>
      <w:r w:rsidRPr="00DE1AA1">
        <w:rPr>
          <w:rFonts w:ascii="Arial" w:hAnsi="Arial" w:cs="Arial"/>
        </w:rPr>
        <w:t>the</w:t>
      </w:r>
      <w:r w:rsidRPr="00D556DB">
        <w:rPr>
          <w:rFonts w:ascii="Arial" w:hAnsi="Arial" w:cs="Arial"/>
        </w:rPr>
        <w:t xml:space="preserve"> preceding five years along with the opportunities for first time buyers. In the District, households therefore rely on the private rented sector on a long-term basis. The main issue here is that households on low incomes can find private rents particularly unaffordable which results in very few alternative options for housing. </w:t>
      </w:r>
    </w:p>
    <w:p w14:paraId="52CF21F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order to better understand the position of those most in need and also provide a longer-term view, Iceni has analysed H-CLIC data with the data available up to 31</w:t>
      </w:r>
      <w:r w:rsidRPr="00D556DB">
        <w:rPr>
          <w:rFonts w:ascii="Arial" w:hAnsi="Arial" w:cs="Arial"/>
          <w:vertAlign w:val="superscript"/>
        </w:rPr>
        <w:t>st</w:t>
      </w:r>
      <w:r w:rsidRPr="00D556DB">
        <w:rPr>
          <w:rFonts w:ascii="Arial" w:hAnsi="Arial" w:cs="Arial"/>
        </w:rPr>
        <w:t xml:space="preserve"> December 2020. The Figure below shows how the number of those accepted as being homeless and in priority need changed in the District over the period from 2008 to 2017 which pre-dated the implementation of the Homelessness Reduction Act (“HRA”) in 2018. In 2017/18, there were 38 homeless households owed a full duty. </w:t>
      </w:r>
    </w:p>
    <w:p w14:paraId="6F55E56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For context, this was equal to 0.7 per 1,000 households compared with 2.0 per 1,000 </w:t>
      </w:r>
      <w:r w:rsidRPr="00DE1AA1">
        <w:rPr>
          <w:rFonts w:ascii="Arial" w:hAnsi="Arial" w:cs="Arial"/>
        </w:rPr>
        <w:t>households</w:t>
      </w:r>
      <w:r w:rsidRPr="00D556DB">
        <w:rPr>
          <w:rFonts w:ascii="Arial" w:hAnsi="Arial" w:cs="Arial"/>
        </w:rPr>
        <w:t xml:space="preserve"> across the South East or 2.4 across England therefore pointing to relatively low numbers in the District.</w:t>
      </w:r>
    </w:p>
    <w:p w14:paraId="4D4E8BDD" w14:textId="37EAE702" w:rsidR="00360825" w:rsidRPr="00D556DB" w:rsidRDefault="00360825" w:rsidP="000F566F">
      <w:pPr>
        <w:pStyle w:val="Heading4"/>
        <w:tabs>
          <w:tab w:val="clear" w:pos="1134"/>
          <w:tab w:val="left" w:pos="993"/>
        </w:tabs>
        <w:ind w:firstLine="0"/>
      </w:pPr>
      <w:r w:rsidRPr="00D556DB">
        <w:lastRenderedPageBreak/>
        <w:t>:</w:t>
      </w:r>
      <w:r w:rsidR="000F566F">
        <w:t xml:space="preserve"> </w:t>
      </w:r>
      <w:r w:rsidRPr="00D556DB">
        <w:t>Homeless Households in Priority Need, 2008/09 -2017/18</w:t>
      </w:r>
    </w:p>
    <w:p w14:paraId="59588968" w14:textId="77777777" w:rsidR="00360825" w:rsidRPr="00D556DB" w:rsidRDefault="00360825" w:rsidP="00360825">
      <w:pPr>
        <w:pStyle w:val="BodyText"/>
        <w:numPr>
          <w:ilvl w:val="0"/>
          <w:numId w:val="0"/>
        </w:numPr>
        <w:rPr>
          <w:rFonts w:ascii="Arial" w:eastAsiaTheme="majorEastAsia" w:hAnsi="Arial" w:cs="Arial"/>
        </w:rPr>
      </w:pPr>
      <w:r w:rsidRPr="00D556DB">
        <w:rPr>
          <w:rFonts w:ascii="Arial" w:hAnsi="Arial" w:cs="Arial"/>
          <w:noProof/>
        </w:rPr>
        <w:drawing>
          <wp:inline distT="0" distB="0" distL="0" distR="0" wp14:anchorId="3EFB616E" wp14:editId="20F3BA3A">
            <wp:extent cx="5610225" cy="3286125"/>
            <wp:effectExtent l="0" t="0" r="9525" b="9525"/>
            <wp:docPr id="63" name="Chart 63" descr="This shows a fall in the number of homelessness representation in priority need fell in 2009-10 to 2013-14 but has remained constant since">
              <a:extLst xmlns:a="http://schemas.openxmlformats.org/drawingml/2006/main">
                <a:ext uri="{FF2B5EF4-FFF2-40B4-BE49-F238E27FC236}">
                  <a16:creationId xmlns:a16="http://schemas.microsoft.com/office/drawing/2014/main" id="{AA130E46-35DE-44FB-96A8-1C365783E9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D556DB">
        <w:rPr>
          <w:rFonts w:ascii="Arial" w:eastAsiaTheme="majorEastAsia" w:hAnsi="Arial" w:cs="Arial"/>
        </w:rPr>
        <w:t>Source: MHCLG, H-</w:t>
      </w:r>
      <w:proofErr w:type="spellStart"/>
      <w:r w:rsidRPr="00D556DB">
        <w:rPr>
          <w:rFonts w:ascii="Arial" w:eastAsiaTheme="majorEastAsia" w:hAnsi="Arial" w:cs="Arial"/>
        </w:rPr>
        <w:t>Clic</w:t>
      </w:r>
      <w:proofErr w:type="spellEnd"/>
      <w:r w:rsidRPr="00D556DB">
        <w:rPr>
          <w:rFonts w:ascii="Arial" w:eastAsiaTheme="majorEastAsia" w:hAnsi="Arial" w:cs="Arial"/>
        </w:rPr>
        <w:t xml:space="preserve"> 2021</w:t>
      </w:r>
    </w:p>
    <w:p w14:paraId="349C38B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eastAsiaTheme="majorEastAsia" w:hAnsi="Arial" w:cs="Arial"/>
        </w:rPr>
        <w:t>The introduction of the HRA in 2018 now means that data is reported on a quarterly basis and is split out by those owed a prevention or relief duty</w:t>
      </w:r>
      <w:r w:rsidRPr="00D556DB">
        <w:rPr>
          <w:rStyle w:val="FootnoteReference"/>
          <w:rFonts w:ascii="Arial" w:eastAsiaTheme="majorEastAsia" w:hAnsi="Arial" w:cs="Arial"/>
        </w:rPr>
        <w:footnoteReference w:id="15"/>
      </w:r>
      <w:r w:rsidRPr="00D556DB">
        <w:rPr>
          <w:rFonts w:ascii="Arial" w:eastAsiaTheme="majorEastAsia" w:hAnsi="Arial" w:cs="Arial"/>
        </w:rPr>
        <w:t xml:space="preserve">. The HRA places new duties on housing authorities to intervene earlier to prevent homelessness and to take reasonable steps to relieve homelessness for all eligible applicants, not just those that have </w:t>
      </w:r>
      <w:r w:rsidRPr="00DE1AA1">
        <w:rPr>
          <w:rFonts w:ascii="Arial" w:hAnsi="Arial" w:cs="Arial"/>
        </w:rPr>
        <w:t>priority</w:t>
      </w:r>
      <w:r w:rsidRPr="00D556DB">
        <w:rPr>
          <w:rFonts w:ascii="Arial" w:eastAsiaTheme="majorEastAsia" w:hAnsi="Arial" w:cs="Arial"/>
        </w:rPr>
        <w:t xml:space="preserve"> need under the Act. </w:t>
      </w:r>
    </w:p>
    <w:p w14:paraId="6839A252" w14:textId="5711B68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eastAsiaTheme="majorEastAsia" w:hAnsi="Arial" w:cs="Arial"/>
        </w:rPr>
        <w:t xml:space="preserve">This has had an impact on the data and the Figure below shows that the Council has experienced an average of 67 households owed a prevention </w:t>
      </w:r>
      <w:r w:rsidR="00FE61DD">
        <w:rPr>
          <w:rFonts w:ascii="Arial" w:eastAsiaTheme="majorEastAsia" w:hAnsi="Arial" w:cs="Arial"/>
        </w:rPr>
        <w:t>or</w:t>
      </w:r>
      <w:r w:rsidRPr="00D556DB">
        <w:rPr>
          <w:rFonts w:ascii="Arial" w:eastAsiaTheme="majorEastAsia" w:hAnsi="Arial" w:cs="Arial"/>
        </w:rPr>
        <w:t xml:space="preserve"> relief duty each quarter since 1</w:t>
      </w:r>
      <w:r w:rsidRPr="00D556DB">
        <w:rPr>
          <w:rFonts w:ascii="Arial" w:eastAsiaTheme="majorEastAsia" w:hAnsi="Arial" w:cs="Arial"/>
          <w:vertAlign w:val="superscript"/>
        </w:rPr>
        <w:t>st</w:t>
      </w:r>
      <w:r w:rsidRPr="00D556DB">
        <w:rPr>
          <w:rFonts w:ascii="Arial" w:eastAsiaTheme="majorEastAsia" w:hAnsi="Arial" w:cs="Arial"/>
        </w:rPr>
        <w:t xml:space="preserve"> April 2018. However, to again put this in context, the data is showing that on average there are 1.2 households owed a duty per every 1,000 households in Chichester each quarter, compared with 2.5 in the South East and 2.9 across England. Overall, therefore, the numbers have increased in comparative terms to previous years. However, as is clear, the numbers have fallen significantly over the period from June 2018 to December 2020.</w:t>
      </w:r>
    </w:p>
    <w:p w14:paraId="061500B4" w14:textId="77777777" w:rsidR="00360825" w:rsidRPr="00D556DB" w:rsidRDefault="00360825" w:rsidP="001A7584">
      <w:pPr>
        <w:pStyle w:val="Heading4"/>
        <w:ind w:firstLine="0"/>
        <w:rPr>
          <w:rFonts w:eastAsiaTheme="majorEastAsia"/>
        </w:rPr>
      </w:pPr>
      <w:r w:rsidRPr="00D556DB">
        <w:lastRenderedPageBreak/>
        <w:t>:Homeless Households Owed a Duty, Post-HRA, 2018-2020</w:t>
      </w:r>
    </w:p>
    <w:p w14:paraId="6EC8B5DB" w14:textId="77777777" w:rsidR="00360825" w:rsidRPr="00D556DB" w:rsidRDefault="00360825" w:rsidP="00360825">
      <w:pPr>
        <w:pStyle w:val="BodyText"/>
        <w:keepNext/>
        <w:numPr>
          <w:ilvl w:val="0"/>
          <w:numId w:val="0"/>
        </w:numPr>
        <w:spacing w:after="0" w:line="240" w:lineRule="auto"/>
        <w:rPr>
          <w:rFonts w:ascii="Arial" w:eastAsiaTheme="majorEastAsia" w:hAnsi="Arial" w:cs="Arial"/>
        </w:rPr>
      </w:pPr>
      <w:r w:rsidRPr="00D556DB">
        <w:rPr>
          <w:rFonts w:ascii="Arial" w:hAnsi="Arial" w:cs="Arial"/>
          <w:noProof/>
        </w:rPr>
        <w:drawing>
          <wp:inline distT="0" distB="0" distL="0" distR="0" wp14:anchorId="362BCE24" wp14:editId="32FD0491">
            <wp:extent cx="5616000" cy="2880000"/>
            <wp:effectExtent l="0" t="0" r="3810" b="15875"/>
            <wp:docPr id="65" name="Chart 65" descr=" the Figure shows that the Council has experienced an average of 67 households owed a prevention or relief duty each quarter since 1st April 2018. However, to again put this in context, the data is showing that on average there are 1.2 households owed a duty per every 1,000 households in Chichester each quarter, compared with 2.5 in the South East and 2.9 across England. Overall, therefore, the numbers have increased in comparative terms to previous years. However, as is clear, the numbers have fallen significantly over the period from June 2018 to December 2020.">
              <a:extLst xmlns:a="http://schemas.openxmlformats.org/drawingml/2006/main">
                <a:ext uri="{FF2B5EF4-FFF2-40B4-BE49-F238E27FC236}">
                  <a16:creationId xmlns:a16="http://schemas.microsoft.com/office/drawing/2014/main" id="{077F3BCA-33A3-4742-BE07-9AA39D6ABA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4F582CE" w14:textId="77777777" w:rsidR="00360825" w:rsidRPr="00D556DB" w:rsidRDefault="00360825" w:rsidP="00360825">
      <w:pPr>
        <w:pStyle w:val="BodyText"/>
        <w:numPr>
          <w:ilvl w:val="0"/>
          <w:numId w:val="0"/>
        </w:numPr>
        <w:rPr>
          <w:rFonts w:ascii="Arial" w:hAnsi="Arial" w:cs="Arial"/>
        </w:rPr>
      </w:pPr>
      <w:r w:rsidRPr="00D556DB">
        <w:rPr>
          <w:rFonts w:ascii="Arial" w:eastAsiaTheme="majorEastAsia" w:hAnsi="Arial" w:cs="Arial"/>
        </w:rPr>
        <w:t>Source: MHCLG, H-CLIC 2021</w:t>
      </w:r>
    </w:p>
    <w:p w14:paraId="79A7D03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Although overall numbers are not significant, the Figure below highlights the notable increase in the number of households living in temporary accommodation ) in the District with a notable difference pre- and post-Covid. Chichester District Council owns 51 self-</w:t>
      </w:r>
      <w:r w:rsidRPr="00DE1AA1">
        <w:rPr>
          <w:rFonts w:ascii="Arial" w:hAnsi="Arial" w:cs="Arial"/>
        </w:rPr>
        <w:t>contained</w:t>
      </w:r>
      <w:r w:rsidRPr="00D556DB">
        <w:rPr>
          <w:rFonts w:ascii="Arial" w:hAnsi="Arial" w:cs="Arial"/>
        </w:rPr>
        <w:t xml:space="preserve"> flats located within the District that are used to provide temporary accommodation for homeless households. Residents in temporary accommodation are assigned a Tenancy Sustainment Officer who supports households with sustaining their accommodation and living independently.</w:t>
      </w:r>
    </w:p>
    <w:p w14:paraId="35EB6403" w14:textId="77777777" w:rsidR="00360825" w:rsidRPr="00D556DB" w:rsidRDefault="00360825" w:rsidP="001A7584">
      <w:pPr>
        <w:pStyle w:val="Heading4"/>
        <w:ind w:firstLine="0"/>
      </w:pPr>
      <w:r w:rsidRPr="00D556DB">
        <w:t>:Households living in Temporary Accommodation in Chichester, 2018-2021</w:t>
      </w:r>
    </w:p>
    <w:p w14:paraId="22688A27" w14:textId="77777777" w:rsidR="00360825" w:rsidRPr="00D556DB" w:rsidRDefault="00360825" w:rsidP="00360825">
      <w:pPr>
        <w:pStyle w:val="BodyText"/>
        <w:keepNext/>
        <w:numPr>
          <w:ilvl w:val="0"/>
          <w:numId w:val="0"/>
        </w:numPr>
        <w:spacing w:after="0" w:line="240" w:lineRule="auto"/>
        <w:rPr>
          <w:rFonts w:ascii="Arial" w:hAnsi="Arial" w:cs="Arial"/>
        </w:rPr>
      </w:pPr>
      <w:r w:rsidRPr="00D556DB">
        <w:rPr>
          <w:rFonts w:ascii="Arial" w:hAnsi="Arial" w:cs="Arial"/>
          <w:noProof/>
        </w:rPr>
        <w:drawing>
          <wp:inline distT="0" distB="0" distL="0" distR="0" wp14:anchorId="351548D9" wp14:editId="77A91DA6">
            <wp:extent cx="5616000" cy="2880000"/>
            <wp:effectExtent l="0" t="0" r="3810" b="15875"/>
            <wp:docPr id="66" name="Chart 66" descr="the Figure highlights the notable increase in the number of households living in temporary accommodation ) in the District with a notable difference pre- and post-Covid. Chichester District Council owns 51 self-contained flats located within the District that are used to provide temporary accommodation for homeless households. Residents in temporary accommodation are assigned a Tenancy Sustainment Officer who supports households with sustaining their accommodation and living independently">
              <a:extLst xmlns:a="http://schemas.openxmlformats.org/drawingml/2006/main">
                <a:ext uri="{FF2B5EF4-FFF2-40B4-BE49-F238E27FC236}">
                  <a16:creationId xmlns:a16="http://schemas.microsoft.com/office/drawing/2014/main" id="{7012EC64-BA48-4D05-B5E9-367332AC7C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F88C373" w14:textId="77777777" w:rsidR="00360825" w:rsidRPr="00D556DB" w:rsidRDefault="00360825" w:rsidP="00360825">
      <w:pPr>
        <w:pStyle w:val="BodyText"/>
        <w:numPr>
          <w:ilvl w:val="0"/>
          <w:numId w:val="0"/>
        </w:numPr>
        <w:rPr>
          <w:rFonts w:ascii="Arial" w:hAnsi="Arial" w:cs="Arial"/>
        </w:rPr>
      </w:pPr>
      <w:r w:rsidRPr="00D556DB">
        <w:rPr>
          <w:rFonts w:ascii="Arial" w:eastAsiaTheme="majorEastAsia" w:hAnsi="Arial" w:cs="Arial"/>
        </w:rPr>
        <w:t>Source: MHCLG, H-CLIC 2021</w:t>
      </w:r>
    </w:p>
    <w:p w14:paraId="5CBEDEF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Currently, Chichester District Council has 2 Full Time Tenancy Sustainment Officers, each of whom also provide tenancy support to households housed under the Council’s Home Finder scheme to assist them in sustaining their accommodation in the private sector.</w:t>
      </w:r>
    </w:p>
    <w:p w14:paraId="217D129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is </w:t>
      </w:r>
      <w:r w:rsidRPr="00DE1AA1">
        <w:rPr>
          <w:rFonts w:ascii="Arial" w:hAnsi="Arial" w:cs="Arial"/>
        </w:rPr>
        <w:t>our</w:t>
      </w:r>
      <w:r w:rsidRPr="00D556DB">
        <w:rPr>
          <w:rFonts w:ascii="Arial" w:hAnsi="Arial" w:cs="Arial"/>
        </w:rPr>
        <w:t xml:space="preserve"> understanding that securing temporary accommodation is becoming increasingly challenging and following the introduction of the Domestic Abuse Act 2021 in April, anyone who presents as homeless and has been subjected to Domestic Abuse will automatically have a priority need and the Council will have to provide TA whilst undertaking a full assessment. This is already the case for households with children, individuals who are pregnant and individuals with a disability. </w:t>
      </w:r>
    </w:p>
    <w:p w14:paraId="563FB2D4" w14:textId="77777777" w:rsidR="00360825" w:rsidRPr="00D556DB" w:rsidRDefault="00360825" w:rsidP="00360825">
      <w:pPr>
        <w:pStyle w:val="Heading3"/>
        <w:rPr>
          <w:rFonts w:ascii="Arial" w:hAnsi="Arial" w:cs="Arial"/>
        </w:rPr>
      </w:pPr>
      <w:r w:rsidRPr="00D556DB">
        <w:rPr>
          <w:rFonts w:ascii="Arial" w:hAnsi="Arial" w:cs="Arial"/>
        </w:rPr>
        <w:t>Homeless Households with Support Needs</w:t>
      </w:r>
    </w:p>
    <w:p w14:paraId="64BC45C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There are a range of households who present themselves as homeless or at risk of homelessness in the District with varying support needs which have a direct relationship with the requirement for suitable supported housing. Household groups with support needs include:</w:t>
      </w:r>
    </w:p>
    <w:p w14:paraId="25CDF089" w14:textId="77777777" w:rsidR="00360825" w:rsidRPr="00D556DB" w:rsidRDefault="00360825" w:rsidP="00360825">
      <w:pPr>
        <w:pStyle w:val="ListBullet2"/>
        <w:spacing w:after="120"/>
        <w:rPr>
          <w:rFonts w:ascii="Arial" w:hAnsi="Arial" w:cs="Arial"/>
        </w:rPr>
      </w:pPr>
      <w:r w:rsidRPr="00D556DB">
        <w:rPr>
          <w:rFonts w:ascii="Arial" w:hAnsi="Arial" w:cs="Arial"/>
        </w:rPr>
        <w:t>Households with alcohol and drug dependencies (i.e. those which are maintaining independence)</w:t>
      </w:r>
    </w:p>
    <w:p w14:paraId="68917A4E" w14:textId="77777777" w:rsidR="00360825" w:rsidRPr="00D556DB" w:rsidRDefault="00360825" w:rsidP="00360825">
      <w:pPr>
        <w:pStyle w:val="ListBullet2"/>
        <w:spacing w:after="120"/>
        <w:rPr>
          <w:rFonts w:ascii="Arial" w:hAnsi="Arial" w:cs="Arial"/>
        </w:rPr>
      </w:pPr>
      <w:r w:rsidRPr="00D556DB">
        <w:rPr>
          <w:rFonts w:ascii="Arial" w:hAnsi="Arial" w:cs="Arial"/>
        </w:rPr>
        <w:t>Households subject to Domestic Abuse</w:t>
      </w:r>
    </w:p>
    <w:p w14:paraId="300DE791" w14:textId="77777777" w:rsidR="00360825" w:rsidRPr="00D556DB" w:rsidRDefault="00360825" w:rsidP="00360825">
      <w:pPr>
        <w:pStyle w:val="ListBullet2"/>
        <w:spacing w:after="120"/>
        <w:rPr>
          <w:rFonts w:ascii="Arial" w:hAnsi="Arial" w:cs="Arial"/>
        </w:rPr>
      </w:pPr>
      <w:r w:rsidRPr="00D556DB">
        <w:rPr>
          <w:rFonts w:ascii="Arial" w:hAnsi="Arial" w:cs="Arial"/>
        </w:rPr>
        <w:t>Households with mental health problems who need support</w:t>
      </w:r>
    </w:p>
    <w:p w14:paraId="2079685D" w14:textId="77777777" w:rsidR="00360825" w:rsidRPr="00D556DB" w:rsidRDefault="00360825" w:rsidP="00360825">
      <w:pPr>
        <w:pStyle w:val="ListBullet2"/>
        <w:spacing w:after="120"/>
        <w:rPr>
          <w:rFonts w:ascii="Arial" w:hAnsi="Arial" w:cs="Arial"/>
        </w:rPr>
      </w:pPr>
      <w:r w:rsidRPr="00D556DB">
        <w:rPr>
          <w:rFonts w:ascii="Arial" w:hAnsi="Arial" w:cs="Arial"/>
        </w:rPr>
        <w:t>Offenders and people at risk of offending; and</w:t>
      </w:r>
    </w:p>
    <w:p w14:paraId="6CA58496" w14:textId="77777777" w:rsidR="00360825" w:rsidRPr="00D556DB" w:rsidRDefault="00360825" w:rsidP="00360825">
      <w:pPr>
        <w:pStyle w:val="ListBullet2"/>
        <w:spacing w:after="360"/>
        <w:rPr>
          <w:rFonts w:ascii="Arial" w:hAnsi="Arial" w:cs="Arial"/>
        </w:rPr>
      </w:pPr>
      <w:r w:rsidRPr="00D556DB">
        <w:rPr>
          <w:rFonts w:ascii="Arial" w:hAnsi="Arial" w:cs="Arial"/>
        </w:rPr>
        <w:t>Young people leaving care (i.e. young people leaving local authority care who have been looked after for a continuous period of at least 13 weeks)</w:t>
      </w:r>
    </w:p>
    <w:p w14:paraId="24DC4F4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is a significant overlap in the group presenting themselves as homeless and those with a drug and alcohol dependencies as well as other support needs. H-CLIC data </w:t>
      </w:r>
      <w:r w:rsidRPr="00DE1AA1">
        <w:rPr>
          <w:rFonts w:ascii="Arial" w:hAnsi="Arial" w:cs="Arial"/>
        </w:rPr>
        <w:t>allows</w:t>
      </w:r>
      <w:r w:rsidRPr="00D556DB">
        <w:rPr>
          <w:rFonts w:ascii="Arial" w:hAnsi="Arial" w:cs="Arial"/>
        </w:rPr>
        <w:t xml:space="preserve"> us to drill into the nature of support needs declared when applying for homeless relief or prevention. </w:t>
      </w:r>
    </w:p>
    <w:p w14:paraId="32DB0A8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Reviewing the latest H-CLIC data as it is recorded following the introduction of the HRA in </w:t>
      </w:r>
      <w:r w:rsidRPr="00DE1AA1">
        <w:rPr>
          <w:rFonts w:ascii="Arial" w:hAnsi="Arial" w:cs="Arial"/>
        </w:rPr>
        <w:t>2018</w:t>
      </w:r>
      <w:r w:rsidRPr="00D556DB">
        <w:rPr>
          <w:rFonts w:ascii="Arial" w:hAnsi="Arial" w:cs="Arial"/>
        </w:rPr>
        <w:t xml:space="preserve">, we are able to consider the prevalence of particular support needs in the District. The Table below sets out the top five support needs of households owed a duty in the District, taking an average across the last two years’ worth of data. </w:t>
      </w:r>
    </w:p>
    <w:p w14:paraId="182F907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This shows that 32% of households on average have mental health problems with 21% having ill health and a disability. Around 11% of households owed a duty have experience Domestic Abuse; however, anecdotally we understand that this figure is likely to be significantly higher due to underreporting. There is also a notable issue relating to </w:t>
      </w:r>
      <w:r w:rsidRPr="00DE1AA1">
        <w:rPr>
          <w:rFonts w:ascii="Arial" w:hAnsi="Arial" w:cs="Arial"/>
        </w:rPr>
        <w:t>access</w:t>
      </w:r>
      <w:r w:rsidRPr="00D556DB">
        <w:rPr>
          <w:rFonts w:ascii="Arial" w:hAnsi="Arial" w:cs="Arial"/>
        </w:rPr>
        <w:t xml:space="preserve"> to training and education.</w:t>
      </w:r>
    </w:p>
    <w:p w14:paraId="73C5301D" w14:textId="77777777" w:rsidR="00360825" w:rsidRPr="00D556DB" w:rsidRDefault="00360825" w:rsidP="001A7584">
      <w:pPr>
        <w:pStyle w:val="Heading4"/>
        <w:ind w:firstLine="0"/>
      </w:pPr>
      <w:r w:rsidRPr="00D556DB">
        <w:lastRenderedPageBreak/>
        <w:t xml:space="preserve">Households Owed a Duty: Support Needs, </w:t>
      </w:r>
      <w:proofErr w:type="spellStart"/>
      <w:r w:rsidRPr="00D556DB">
        <w:t>Avg</w:t>
      </w:r>
      <w:proofErr w:type="spellEnd"/>
      <w:r w:rsidRPr="00D556DB">
        <w:t xml:space="preserve"> 2018-20</w:t>
      </w:r>
    </w:p>
    <w:tbl>
      <w:tblPr>
        <w:tblStyle w:val="TableGridLight1"/>
        <w:tblW w:w="5000" w:type="pct"/>
        <w:tblInd w:w="0" w:type="dxa"/>
        <w:tblLook w:val="01E0" w:firstRow="1" w:lastRow="1" w:firstColumn="1" w:lastColumn="1" w:noHBand="0" w:noVBand="0"/>
      </w:tblPr>
      <w:tblGrid>
        <w:gridCol w:w="4070"/>
        <w:gridCol w:w="2359"/>
        <w:gridCol w:w="2348"/>
      </w:tblGrid>
      <w:tr w:rsidR="00360825" w:rsidRPr="00DE1AA1" w14:paraId="66890919" w14:textId="77777777" w:rsidTr="00C04569">
        <w:tc>
          <w:tcPr>
            <w:tcW w:w="4070" w:type="dxa"/>
            <w:tcBorders>
              <w:top w:val="single" w:sz="4" w:space="0" w:color="auto"/>
              <w:left w:val="single" w:sz="4" w:space="0" w:color="auto"/>
              <w:bottom w:val="single" w:sz="4" w:space="0" w:color="auto"/>
              <w:right w:val="single" w:sz="4" w:space="0" w:color="auto"/>
            </w:tcBorders>
            <w:shd w:val="clear" w:color="auto" w:fill="002060"/>
          </w:tcPr>
          <w:p w14:paraId="6ED3CC68" w14:textId="77777777" w:rsidR="00360825" w:rsidRPr="00DE1AA1" w:rsidRDefault="00360825" w:rsidP="00C04569">
            <w:pPr>
              <w:keepNext/>
              <w:keepLines/>
              <w:spacing w:after="0" w:line="300" w:lineRule="auto"/>
              <w:rPr>
                <w:rFonts w:ascii="Arial" w:hAnsi="Arial" w:cs="Arial"/>
              </w:rPr>
            </w:pPr>
            <w:r w:rsidRPr="00DE1AA1">
              <w:rPr>
                <w:rFonts w:ascii="Arial" w:hAnsi="Arial" w:cs="Arial"/>
              </w:rPr>
              <w:t>Support Need</w:t>
            </w:r>
          </w:p>
        </w:tc>
        <w:tc>
          <w:tcPr>
            <w:tcW w:w="2359" w:type="dxa"/>
            <w:tcBorders>
              <w:top w:val="single" w:sz="4" w:space="0" w:color="auto"/>
              <w:left w:val="single" w:sz="4" w:space="0" w:color="auto"/>
              <w:bottom w:val="single" w:sz="4" w:space="0" w:color="auto"/>
              <w:right w:val="single" w:sz="4" w:space="0" w:color="auto"/>
            </w:tcBorders>
            <w:shd w:val="clear" w:color="auto" w:fill="002060"/>
          </w:tcPr>
          <w:p w14:paraId="4E55A5FF" w14:textId="77777777" w:rsidR="00360825" w:rsidRPr="00DE1AA1" w:rsidRDefault="00360825" w:rsidP="00C04569">
            <w:pPr>
              <w:keepNext/>
              <w:keepLines/>
              <w:spacing w:after="0" w:line="300" w:lineRule="auto"/>
              <w:jc w:val="center"/>
              <w:rPr>
                <w:rFonts w:ascii="Arial" w:hAnsi="Arial" w:cs="Arial"/>
              </w:rPr>
            </w:pPr>
            <w:r w:rsidRPr="00DE1AA1">
              <w:rPr>
                <w:rFonts w:ascii="Arial" w:hAnsi="Arial" w:cs="Arial"/>
              </w:rPr>
              <w:t>No of Households (p.a.)</w:t>
            </w:r>
          </w:p>
        </w:tc>
        <w:tc>
          <w:tcPr>
            <w:tcW w:w="2348" w:type="dxa"/>
            <w:tcBorders>
              <w:top w:val="single" w:sz="4" w:space="0" w:color="auto"/>
              <w:left w:val="single" w:sz="4" w:space="0" w:color="auto"/>
              <w:bottom w:val="single" w:sz="4" w:space="0" w:color="auto"/>
              <w:right w:val="single" w:sz="4" w:space="0" w:color="auto"/>
            </w:tcBorders>
            <w:shd w:val="clear" w:color="auto" w:fill="002060"/>
          </w:tcPr>
          <w:p w14:paraId="46CDF6FC" w14:textId="77777777" w:rsidR="00360825" w:rsidRPr="00DE1AA1" w:rsidRDefault="00360825" w:rsidP="00C04569">
            <w:pPr>
              <w:keepNext/>
              <w:keepLines/>
              <w:spacing w:after="0" w:line="300" w:lineRule="auto"/>
              <w:jc w:val="center"/>
              <w:rPr>
                <w:rFonts w:ascii="Arial" w:hAnsi="Arial" w:cs="Arial"/>
              </w:rPr>
            </w:pPr>
            <w:r w:rsidRPr="00DE1AA1">
              <w:rPr>
                <w:rFonts w:ascii="Arial" w:hAnsi="Arial" w:cs="Arial"/>
              </w:rPr>
              <w:t>% of Owed Duty (p.a.)</w:t>
            </w:r>
          </w:p>
        </w:tc>
      </w:tr>
      <w:tr w:rsidR="00360825" w:rsidRPr="00DE1AA1" w14:paraId="1628540D" w14:textId="77777777" w:rsidTr="00C04569">
        <w:tc>
          <w:tcPr>
            <w:tcW w:w="4070" w:type="dxa"/>
            <w:tcBorders>
              <w:top w:val="single" w:sz="4" w:space="0" w:color="auto"/>
              <w:left w:val="single" w:sz="4" w:space="0" w:color="auto"/>
              <w:bottom w:val="single" w:sz="4" w:space="0" w:color="auto"/>
              <w:right w:val="single" w:sz="4" w:space="0" w:color="auto"/>
            </w:tcBorders>
          </w:tcPr>
          <w:p w14:paraId="322EDEF9" w14:textId="77777777" w:rsidR="00360825" w:rsidRPr="00DE1AA1" w:rsidRDefault="00360825" w:rsidP="00C04569">
            <w:pPr>
              <w:keepNext/>
              <w:keepLines/>
              <w:widowControl w:val="0"/>
              <w:spacing w:after="0" w:line="300" w:lineRule="auto"/>
              <w:rPr>
                <w:rFonts w:ascii="Arial" w:hAnsi="Arial" w:cs="Arial"/>
              </w:rPr>
            </w:pPr>
            <w:r w:rsidRPr="00D556DB">
              <w:rPr>
                <w:rFonts w:ascii="Arial" w:hAnsi="Arial" w:cs="Arial"/>
              </w:rPr>
              <w:t>Mental health problems</w:t>
            </w:r>
          </w:p>
        </w:tc>
        <w:tc>
          <w:tcPr>
            <w:tcW w:w="2359" w:type="dxa"/>
            <w:tcBorders>
              <w:top w:val="single" w:sz="4" w:space="0" w:color="auto"/>
              <w:left w:val="single" w:sz="4" w:space="0" w:color="auto"/>
              <w:bottom w:val="single" w:sz="4" w:space="0" w:color="auto"/>
              <w:right w:val="single" w:sz="4" w:space="0" w:color="auto"/>
            </w:tcBorders>
            <w:vAlign w:val="bottom"/>
          </w:tcPr>
          <w:p w14:paraId="4B2CB69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w:t>
            </w:r>
          </w:p>
        </w:tc>
        <w:tc>
          <w:tcPr>
            <w:tcW w:w="2348" w:type="dxa"/>
            <w:tcBorders>
              <w:top w:val="single" w:sz="4" w:space="0" w:color="auto"/>
              <w:left w:val="single" w:sz="4" w:space="0" w:color="auto"/>
              <w:bottom w:val="single" w:sz="4" w:space="0" w:color="auto"/>
              <w:right w:val="single" w:sz="4" w:space="0" w:color="auto"/>
            </w:tcBorders>
            <w:vAlign w:val="bottom"/>
          </w:tcPr>
          <w:p w14:paraId="0D65D1A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32%</w:t>
            </w:r>
          </w:p>
        </w:tc>
      </w:tr>
      <w:tr w:rsidR="00360825" w:rsidRPr="00DE1AA1" w14:paraId="4B1FAAC3" w14:textId="77777777" w:rsidTr="00C04569">
        <w:tc>
          <w:tcPr>
            <w:tcW w:w="4070" w:type="dxa"/>
            <w:tcBorders>
              <w:top w:val="single" w:sz="4" w:space="0" w:color="auto"/>
              <w:left w:val="single" w:sz="4" w:space="0" w:color="auto"/>
              <w:bottom w:val="single" w:sz="4" w:space="0" w:color="auto"/>
              <w:right w:val="single" w:sz="4" w:space="0" w:color="auto"/>
            </w:tcBorders>
          </w:tcPr>
          <w:p w14:paraId="242D378A" w14:textId="77777777" w:rsidR="00360825" w:rsidRPr="00DE1AA1" w:rsidRDefault="00360825" w:rsidP="00C04569">
            <w:pPr>
              <w:keepNext/>
              <w:keepLines/>
              <w:widowControl w:val="0"/>
              <w:spacing w:after="0" w:line="300" w:lineRule="auto"/>
              <w:rPr>
                <w:rFonts w:ascii="Arial" w:hAnsi="Arial" w:cs="Arial"/>
              </w:rPr>
            </w:pPr>
            <w:r w:rsidRPr="00D556DB">
              <w:rPr>
                <w:rFonts w:ascii="Arial" w:hAnsi="Arial" w:cs="Arial"/>
              </w:rPr>
              <w:t>Physical ill health and disability</w:t>
            </w:r>
          </w:p>
        </w:tc>
        <w:tc>
          <w:tcPr>
            <w:tcW w:w="2359" w:type="dxa"/>
            <w:tcBorders>
              <w:top w:val="single" w:sz="4" w:space="0" w:color="auto"/>
              <w:left w:val="single" w:sz="4" w:space="0" w:color="auto"/>
              <w:bottom w:val="single" w:sz="4" w:space="0" w:color="auto"/>
              <w:right w:val="single" w:sz="4" w:space="0" w:color="auto"/>
            </w:tcBorders>
            <w:vAlign w:val="bottom"/>
          </w:tcPr>
          <w:p w14:paraId="75B8612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w:t>
            </w:r>
          </w:p>
        </w:tc>
        <w:tc>
          <w:tcPr>
            <w:tcW w:w="2348" w:type="dxa"/>
            <w:tcBorders>
              <w:top w:val="single" w:sz="4" w:space="0" w:color="auto"/>
              <w:left w:val="single" w:sz="4" w:space="0" w:color="auto"/>
              <w:bottom w:val="single" w:sz="4" w:space="0" w:color="auto"/>
              <w:right w:val="single" w:sz="4" w:space="0" w:color="auto"/>
            </w:tcBorders>
            <w:vAlign w:val="bottom"/>
          </w:tcPr>
          <w:p w14:paraId="3D74F67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21%</w:t>
            </w:r>
          </w:p>
        </w:tc>
      </w:tr>
      <w:tr w:rsidR="00360825" w:rsidRPr="00DE1AA1" w14:paraId="3DB17445" w14:textId="77777777" w:rsidTr="00C04569">
        <w:tc>
          <w:tcPr>
            <w:tcW w:w="4070" w:type="dxa"/>
            <w:tcBorders>
              <w:top w:val="single" w:sz="4" w:space="0" w:color="auto"/>
              <w:left w:val="single" w:sz="4" w:space="0" w:color="auto"/>
              <w:bottom w:val="single" w:sz="4" w:space="0" w:color="auto"/>
              <w:right w:val="single" w:sz="4" w:space="0" w:color="auto"/>
            </w:tcBorders>
          </w:tcPr>
          <w:p w14:paraId="18E6E6E4" w14:textId="77777777" w:rsidR="00360825" w:rsidRPr="00DE1AA1" w:rsidRDefault="00360825" w:rsidP="00C04569">
            <w:pPr>
              <w:keepNext/>
              <w:keepLines/>
              <w:widowControl w:val="0"/>
              <w:spacing w:after="0" w:line="300" w:lineRule="auto"/>
              <w:rPr>
                <w:rFonts w:ascii="Arial" w:hAnsi="Arial" w:cs="Arial"/>
              </w:rPr>
            </w:pPr>
            <w:r w:rsidRPr="00D556DB">
              <w:rPr>
                <w:rFonts w:ascii="Arial" w:hAnsi="Arial" w:cs="Arial"/>
              </w:rPr>
              <w:t>Experienced Domestic Abuse</w:t>
            </w:r>
          </w:p>
        </w:tc>
        <w:tc>
          <w:tcPr>
            <w:tcW w:w="2359" w:type="dxa"/>
            <w:tcBorders>
              <w:top w:val="single" w:sz="4" w:space="0" w:color="auto"/>
              <w:left w:val="single" w:sz="4" w:space="0" w:color="auto"/>
              <w:bottom w:val="single" w:sz="4" w:space="0" w:color="auto"/>
              <w:right w:val="single" w:sz="4" w:space="0" w:color="auto"/>
            </w:tcBorders>
            <w:vAlign w:val="bottom"/>
          </w:tcPr>
          <w:p w14:paraId="6D34697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w:t>
            </w:r>
          </w:p>
        </w:tc>
        <w:tc>
          <w:tcPr>
            <w:tcW w:w="2348" w:type="dxa"/>
            <w:tcBorders>
              <w:top w:val="single" w:sz="4" w:space="0" w:color="auto"/>
              <w:left w:val="single" w:sz="4" w:space="0" w:color="auto"/>
              <w:bottom w:val="single" w:sz="4" w:space="0" w:color="auto"/>
              <w:right w:val="single" w:sz="4" w:space="0" w:color="auto"/>
            </w:tcBorders>
            <w:vAlign w:val="bottom"/>
          </w:tcPr>
          <w:p w14:paraId="0EBE82E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w:t>
            </w:r>
          </w:p>
        </w:tc>
      </w:tr>
      <w:tr w:rsidR="00360825" w:rsidRPr="00DE1AA1" w14:paraId="156275FF" w14:textId="77777777" w:rsidTr="00C04569">
        <w:tc>
          <w:tcPr>
            <w:tcW w:w="4070" w:type="dxa"/>
            <w:tcBorders>
              <w:top w:val="single" w:sz="4" w:space="0" w:color="auto"/>
              <w:left w:val="single" w:sz="4" w:space="0" w:color="auto"/>
              <w:bottom w:val="single" w:sz="4" w:space="0" w:color="auto"/>
              <w:right w:val="single" w:sz="4" w:space="0" w:color="auto"/>
            </w:tcBorders>
          </w:tcPr>
          <w:p w14:paraId="5BC6616B" w14:textId="77777777" w:rsidR="00360825" w:rsidRPr="00DE1AA1" w:rsidRDefault="00360825" w:rsidP="00C04569">
            <w:pPr>
              <w:keepNext/>
              <w:keepLines/>
              <w:widowControl w:val="0"/>
              <w:spacing w:after="0" w:line="300" w:lineRule="auto"/>
              <w:rPr>
                <w:rFonts w:ascii="Arial" w:hAnsi="Arial" w:cs="Arial"/>
              </w:rPr>
            </w:pPr>
            <w:r w:rsidRPr="00D556DB">
              <w:rPr>
                <w:rFonts w:ascii="Arial" w:hAnsi="Arial" w:cs="Arial"/>
              </w:rPr>
              <w:t>Drug or Alcohol dependency</w:t>
            </w:r>
          </w:p>
        </w:tc>
        <w:tc>
          <w:tcPr>
            <w:tcW w:w="2359" w:type="dxa"/>
            <w:tcBorders>
              <w:top w:val="single" w:sz="4" w:space="0" w:color="auto"/>
              <w:left w:val="single" w:sz="4" w:space="0" w:color="auto"/>
              <w:bottom w:val="single" w:sz="4" w:space="0" w:color="auto"/>
              <w:right w:val="single" w:sz="4" w:space="0" w:color="auto"/>
            </w:tcBorders>
            <w:vAlign w:val="bottom"/>
          </w:tcPr>
          <w:p w14:paraId="6494245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w:t>
            </w:r>
          </w:p>
        </w:tc>
        <w:tc>
          <w:tcPr>
            <w:tcW w:w="2348" w:type="dxa"/>
            <w:tcBorders>
              <w:top w:val="single" w:sz="4" w:space="0" w:color="auto"/>
              <w:left w:val="single" w:sz="4" w:space="0" w:color="auto"/>
              <w:bottom w:val="single" w:sz="4" w:space="0" w:color="auto"/>
              <w:right w:val="single" w:sz="4" w:space="0" w:color="auto"/>
            </w:tcBorders>
            <w:vAlign w:val="bottom"/>
          </w:tcPr>
          <w:p w14:paraId="224392C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w:t>
            </w:r>
          </w:p>
        </w:tc>
      </w:tr>
      <w:tr w:rsidR="00360825" w:rsidRPr="00DE1AA1" w14:paraId="28A56A78" w14:textId="77777777" w:rsidTr="00C04569">
        <w:tc>
          <w:tcPr>
            <w:tcW w:w="4070" w:type="dxa"/>
            <w:tcBorders>
              <w:top w:val="single" w:sz="4" w:space="0" w:color="auto"/>
              <w:left w:val="single" w:sz="4" w:space="0" w:color="auto"/>
              <w:bottom w:val="single" w:sz="4" w:space="0" w:color="auto"/>
              <w:right w:val="single" w:sz="4" w:space="0" w:color="auto"/>
            </w:tcBorders>
          </w:tcPr>
          <w:p w14:paraId="7D5576B9" w14:textId="77777777" w:rsidR="00360825" w:rsidRPr="00DE1AA1" w:rsidRDefault="00360825" w:rsidP="00C04569">
            <w:pPr>
              <w:keepNext/>
              <w:keepLines/>
              <w:widowControl w:val="0"/>
              <w:spacing w:after="0" w:line="300" w:lineRule="auto"/>
              <w:rPr>
                <w:rFonts w:ascii="Arial" w:hAnsi="Arial" w:cs="Arial"/>
              </w:rPr>
            </w:pPr>
            <w:r w:rsidRPr="00DE1AA1">
              <w:rPr>
                <w:rFonts w:ascii="Arial" w:hAnsi="Arial" w:cs="Arial"/>
              </w:rPr>
              <w:t>Access to Education/Employment</w:t>
            </w:r>
          </w:p>
        </w:tc>
        <w:tc>
          <w:tcPr>
            <w:tcW w:w="2359" w:type="dxa"/>
            <w:tcBorders>
              <w:top w:val="single" w:sz="4" w:space="0" w:color="auto"/>
              <w:left w:val="single" w:sz="4" w:space="0" w:color="auto"/>
              <w:bottom w:val="single" w:sz="4" w:space="0" w:color="auto"/>
              <w:right w:val="single" w:sz="4" w:space="0" w:color="auto"/>
            </w:tcBorders>
            <w:vAlign w:val="bottom"/>
          </w:tcPr>
          <w:p w14:paraId="52B8952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w:t>
            </w:r>
          </w:p>
        </w:tc>
        <w:tc>
          <w:tcPr>
            <w:tcW w:w="2348" w:type="dxa"/>
            <w:tcBorders>
              <w:top w:val="single" w:sz="4" w:space="0" w:color="auto"/>
              <w:left w:val="single" w:sz="4" w:space="0" w:color="auto"/>
              <w:bottom w:val="single" w:sz="4" w:space="0" w:color="auto"/>
              <w:right w:val="single" w:sz="4" w:space="0" w:color="auto"/>
            </w:tcBorders>
            <w:vAlign w:val="bottom"/>
          </w:tcPr>
          <w:p w14:paraId="0E3F2CC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w:t>
            </w:r>
          </w:p>
        </w:tc>
      </w:tr>
    </w:tbl>
    <w:p w14:paraId="6CF23C75" w14:textId="77777777" w:rsidR="00360825" w:rsidRPr="00D556DB" w:rsidRDefault="00360825" w:rsidP="00360825">
      <w:pPr>
        <w:pStyle w:val="BodyText"/>
        <w:numPr>
          <w:ilvl w:val="0"/>
          <w:numId w:val="0"/>
        </w:numPr>
        <w:rPr>
          <w:rFonts w:ascii="Arial" w:hAnsi="Arial" w:cs="Arial"/>
        </w:rPr>
      </w:pPr>
      <w:r w:rsidRPr="00D556DB">
        <w:rPr>
          <w:rFonts w:ascii="Arial" w:eastAsiaTheme="majorEastAsia" w:hAnsi="Arial" w:cs="Arial"/>
        </w:rPr>
        <w:t>Source: MHCLG, H-CLIC 2021</w:t>
      </w:r>
    </w:p>
    <w:p w14:paraId="24063D8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Moving forward, the Council has set out in its Homelessness Review what it intends to do to fulfil its statutory duties to households who lose their home. This includes – (1) preventing homelessness through early intervention and support, (2) reducing the </w:t>
      </w:r>
      <w:r w:rsidRPr="00DE1AA1">
        <w:rPr>
          <w:rFonts w:ascii="Arial" w:hAnsi="Arial" w:cs="Arial"/>
        </w:rPr>
        <w:t>number</w:t>
      </w:r>
      <w:r w:rsidRPr="00D556DB">
        <w:rPr>
          <w:rFonts w:ascii="Arial" w:hAnsi="Arial" w:cs="Arial"/>
        </w:rPr>
        <w:t xml:space="preserve"> of households in out-of-District accommodation and (3) tackling rough sleeping.</w:t>
      </w:r>
    </w:p>
    <w:p w14:paraId="1E743D8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w:t>
      </w:r>
      <w:r w:rsidRPr="00DE1AA1">
        <w:rPr>
          <w:rFonts w:ascii="Arial" w:hAnsi="Arial" w:cs="Arial"/>
        </w:rPr>
        <w:t>addition</w:t>
      </w:r>
      <w:r w:rsidRPr="00D556DB">
        <w:rPr>
          <w:rFonts w:ascii="Arial" w:hAnsi="Arial" w:cs="Arial"/>
        </w:rPr>
        <w:t xml:space="preserve"> to monitoring the actions set out therein, the Council should work with the County Council to identify opportunities on public land, where available, for the provision of suitable supported housing.</w:t>
      </w:r>
    </w:p>
    <w:p w14:paraId="6C699F83" w14:textId="77777777" w:rsidR="00360825" w:rsidRPr="00DE1AA1" w:rsidRDefault="00360825" w:rsidP="00360825">
      <w:pPr>
        <w:pStyle w:val="Heading2"/>
        <w:rPr>
          <w:rFonts w:ascii="Arial" w:hAnsi="Arial" w:cs="Arial"/>
        </w:rPr>
      </w:pPr>
      <w:r w:rsidRPr="00DE1AA1">
        <w:rPr>
          <w:rFonts w:ascii="Arial" w:hAnsi="Arial" w:cs="Arial"/>
        </w:rPr>
        <w:t>Students</w:t>
      </w:r>
    </w:p>
    <w:p w14:paraId="2B19504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This section considers the housing needs of students in the District and the relationship between the student population and Homes in Multiple Occupation (“HMO”). </w:t>
      </w:r>
    </w:p>
    <w:p w14:paraId="0528F4EF" w14:textId="77777777" w:rsidR="00360825" w:rsidRPr="00D556DB" w:rsidRDefault="00360825" w:rsidP="00360825">
      <w:pPr>
        <w:pStyle w:val="Heading3"/>
        <w:rPr>
          <w:rFonts w:ascii="Arial" w:hAnsi="Arial" w:cs="Arial"/>
        </w:rPr>
      </w:pPr>
      <w:r w:rsidRPr="00D556DB">
        <w:rPr>
          <w:rFonts w:ascii="Arial" w:hAnsi="Arial" w:cs="Arial"/>
        </w:rPr>
        <w:t>The Existing Profile of Students in the District</w:t>
      </w:r>
    </w:p>
    <w:p w14:paraId="0F49191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Framework is clear that the needs of students (and other groups within the housing market) </w:t>
      </w:r>
      <w:r w:rsidRPr="00DE1AA1">
        <w:rPr>
          <w:rFonts w:ascii="Arial" w:hAnsi="Arial" w:cs="Arial"/>
        </w:rPr>
        <w:t>should</w:t>
      </w:r>
      <w:r w:rsidRPr="00D556DB">
        <w:rPr>
          <w:rFonts w:ascii="Arial" w:hAnsi="Arial" w:cs="Arial"/>
        </w:rPr>
        <w:t xml:space="preserve"> be assessed and reflected in planning policies. </w:t>
      </w:r>
    </w:p>
    <w:p w14:paraId="02545DE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the District at the point of the 2011 Census, there were around 4,172 full time students aged 18 and over. The area has one higher education (“HE”) establishment which is relevant to this assessment which is the University of Chichester.</w:t>
      </w:r>
    </w:p>
    <w:p w14:paraId="79A3128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is also a further education establishment which is Chichester College; however, the data allowing us to track trends in student numbers year-on-year for further education establishments is not consistently available. In any event, it is HE students which principally impact on the housing market, and therefore the assessment focuses on the University of Chichester. </w:t>
      </w:r>
    </w:p>
    <w:p w14:paraId="000A93F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Iceni has access to data allowing us to track trends in student numbers for the University of </w:t>
      </w:r>
      <w:r w:rsidRPr="00DE1AA1">
        <w:rPr>
          <w:rFonts w:ascii="Arial" w:hAnsi="Arial" w:cs="Arial"/>
        </w:rPr>
        <w:t>Chichester</w:t>
      </w:r>
      <w:r w:rsidRPr="00D556DB">
        <w:rPr>
          <w:rFonts w:ascii="Arial" w:hAnsi="Arial" w:cs="Arial"/>
        </w:rPr>
        <w:t xml:space="preserve"> from the Higher Education Statistics Agency (“HESA”). Drawing on data from the HESA, the Figures below set out the pattern of growth over the last 9 years from 2011/12 to 2019/20 following the Census. As of 1</w:t>
      </w:r>
      <w:r w:rsidRPr="00D556DB">
        <w:rPr>
          <w:rFonts w:ascii="Arial" w:hAnsi="Arial" w:cs="Arial"/>
          <w:vertAlign w:val="superscript"/>
        </w:rPr>
        <w:t>st</w:t>
      </w:r>
      <w:r w:rsidRPr="00D556DB">
        <w:rPr>
          <w:rFonts w:ascii="Arial" w:hAnsi="Arial" w:cs="Arial"/>
        </w:rPr>
        <w:t xml:space="preserve"> September 2020, the University had a total of 5,540 full-time (“FT”) and part-time (“PT”) Undergraduate (“UG”) and Postgraduate (“PG”) students. </w:t>
      </w:r>
    </w:p>
    <w:p w14:paraId="30DA7FA9" w14:textId="77777777" w:rsidR="00360825" w:rsidRPr="00D556DB" w:rsidRDefault="00360825" w:rsidP="001A7584">
      <w:pPr>
        <w:pStyle w:val="Heading4"/>
        <w:ind w:firstLine="0"/>
      </w:pPr>
      <w:r w:rsidRPr="00D556DB">
        <w:lastRenderedPageBreak/>
        <w:t>:Profile of Student Population at University</w:t>
      </w:r>
      <w:r w:rsidRPr="005B6A8D">
        <w:t xml:space="preserve"> of Chichester</w:t>
      </w:r>
    </w:p>
    <w:p w14:paraId="49603A95" w14:textId="77777777" w:rsidR="00360825" w:rsidRPr="00D556DB" w:rsidRDefault="00360825" w:rsidP="00360825">
      <w:pPr>
        <w:pStyle w:val="BodyText"/>
        <w:keepNext/>
        <w:numPr>
          <w:ilvl w:val="0"/>
          <w:numId w:val="0"/>
        </w:numPr>
        <w:tabs>
          <w:tab w:val="left" w:pos="720"/>
        </w:tabs>
        <w:spacing w:after="0" w:line="240" w:lineRule="auto"/>
        <w:rPr>
          <w:rFonts w:ascii="Arial" w:hAnsi="Arial" w:cs="Arial"/>
        </w:rPr>
      </w:pPr>
      <w:r w:rsidRPr="00D556DB">
        <w:rPr>
          <w:rFonts w:ascii="Arial" w:hAnsi="Arial" w:cs="Arial"/>
          <w:noProof/>
        </w:rPr>
        <w:drawing>
          <wp:inline distT="0" distB="0" distL="0" distR="0" wp14:anchorId="52EEE098" wp14:editId="65926E36">
            <wp:extent cx="5616000" cy="2880000"/>
            <wp:effectExtent l="0" t="0" r="3810" b="15875"/>
            <wp:docPr id="67" name="Chart 67" descr="The Figure sets out the pattern of growth over the last 9 years from 2011/12 to 2019/20 following the Census. &#10;&#10;As of 1st September 2020, the University had a total of 5,540 full-time (“FT”) and part-time (“PT”) Undergraduate (“UG”) and Postgraduate (“PG”) students. ">
              <a:extLst xmlns:a="http://schemas.openxmlformats.org/drawingml/2006/main">
                <a:ext uri="{FF2B5EF4-FFF2-40B4-BE49-F238E27FC236}">
                  <a16:creationId xmlns:a16="http://schemas.microsoft.com/office/drawing/2014/main" id="{6C8094E1-9594-410A-A34C-82079C3990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BB4327C" w14:textId="77777777" w:rsidR="00360825" w:rsidRPr="00D556DB" w:rsidRDefault="00360825" w:rsidP="00360825">
      <w:pPr>
        <w:pStyle w:val="BodyText"/>
        <w:numPr>
          <w:ilvl w:val="0"/>
          <w:numId w:val="0"/>
        </w:numPr>
        <w:tabs>
          <w:tab w:val="left" w:pos="720"/>
        </w:tabs>
        <w:rPr>
          <w:rFonts w:ascii="Arial" w:hAnsi="Arial" w:cs="Arial"/>
        </w:rPr>
      </w:pPr>
      <w:r w:rsidRPr="00D556DB">
        <w:rPr>
          <w:rFonts w:ascii="Arial" w:hAnsi="Arial" w:cs="Arial"/>
        </w:rPr>
        <w:t>Source: HESA 2021</w:t>
      </w:r>
    </w:p>
    <w:p w14:paraId="1B01760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At the University of Chichester, the number of full time undergraduates grew over the 2011-20 period decreased by 85 students whilst the number of part time undergraduates fell by 250 students. Across the nine year period, the number of </w:t>
      </w:r>
      <w:r w:rsidRPr="00DE1AA1">
        <w:rPr>
          <w:rFonts w:ascii="Arial" w:hAnsi="Arial" w:cs="Arial"/>
        </w:rPr>
        <w:t>postgraduate</w:t>
      </w:r>
      <w:r w:rsidRPr="00D556DB">
        <w:rPr>
          <w:rFonts w:ascii="Arial" w:hAnsi="Arial" w:cs="Arial"/>
        </w:rPr>
        <w:t xml:space="preserve"> students increased by 235 students. The number of students overall has therefore remained broadly consistent.</w:t>
      </w:r>
    </w:p>
    <w:p w14:paraId="221A6A4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Housing needs arise principally as a result of full-time students (with those studying part time typically also living and working locally already or living with parents). </w:t>
      </w:r>
      <w:bookmarkStart w:id="50" w:name="_Hlk89091009"/>
      <w:r w:rsidRPr="00D556DB">
        <w:rPr>
          <w:rFonts w:ascii="Arial" w:hAnsi="Arial" w:cs="Arial"/>
        </w:rPr>
        <w:t>As of 1</w:t>
      </w:r>
      <w:r w:rsidRPr="00D556DB">
        <w:rPr>
          <w:rFonts w:ascii="Arial" w:hAnsi="Arial" w:cs="Arial"/>
          <w:vertAlign w:val="superscript"/>
        </w:rPr>
        <w:t>st</w:t>
      </w:r>
      <w:r w:rsidRPr="00D556DB">
        <w:rPr>
          <w:rFonts w:ascii="Arial" w:hAnsi="Arial" w:cs="Arial"/>
        </w:rPr>
        <w:t xml:space="preserve"> </w:t>
      </w:r>
      <w:r w:rsidRPr="00DE1AA1">
        <w:rPr>
          <w:rFonts w:ascii="Arial" w:hAnsi="Arial" w:cs="Arial"/>
        </w:rPr>
        <w:t>September</w:t>
      </w:r>
      <w:r w:rsidRPr="00D556DB">
        <w:rPr>
          <w:rFonts w:ascii="Arial" w:hAnsi="Arial" w:cs="Arial"/>
        </w:rPr>
        <w:t xml:space="preserve"> 2020, there were 4,405 full-time students at the Universit</w:t>
      </w:r>
      <w:bookmarkEnd w:id="50"/>
      <w:r w:rsidRPr="00D556DB">
        <w:rPr>
          <w:rFonts w:ascii="Arial" w:hAnsi="Arial" w:cs="Arial"/>
        </w:rPr>
        <w:t>y. The trend in the total number of full time students is shown in the Figure below. As is clear, the number of FT students have declined in recent years but it still higher than levels in 2011/12.</w:t>
      </w:r>
    </w:p>
    <w:p w14:paraId="6A6BD6F2" w14:textId="77777777" w:rsidR="00360825" w:rsidRPr="00D556DB" w:rsidRDefault="00360825" w:rsidP="001A7584">
      <w:pPr>
        <w:pStyle w:val="Heading4"/>
        <w:ind w:firstLine="0"/>
      </w:pPr>
      <w:r w:rsidRPr="00D556DB">
        <w:lastRenderedPageBreak/>
        <w:t>:Trends in Full Time Higher Education Students – University of Chichester</w:t>
      </w:r>
    </w:p>
    <w:p w14:paraId="4621E1BF" w14:textId="77777777" w:rsidR="00360825" w:rsidRPr="00D556DB" w:rsidRDefault="00360825" w:rsidP="00360825">
      <w:pPr>
        <w:pStyle w:val="BodyText"/>
        <w:keepNext/>
        <w:numPr>
          <w:ilvl w:val="0"/>
          <w:numId w:val="0"/>
        </w:numPr>
        <w:tabs>
          <w:tab w:val="left" w:pos="720"/>
        </w:tabs>
        <w:spacing w:after="0" w:line="240" w:lineRule="auto"/>
        <w:rPr>
          <w:rFonts w:ascii="Arial" w:hAnsi="Arial" w:cs="Arial"/>
        </w:rPr>
      </w:pPr>
      <w:r w:rsidRPr="00D556DB">
        <w:rPr>
          <w:rFonts w:ascii="Arial" w:hAnsi="Arial" w:cs="Arial"/>
          <w:noProof/>
        </w:rPr>
        <w:drawing>
          <wp:inline distT="0" distB="0" distL="0" distR="0" wp14:anchorId="5BF3B5AD" wp14:editId="16CBF5A5">
            <wp:extent cx="5616000" cy="2880000"/>
            <wp:effectExtent l="0" t="0" r="3810" b="15875"/>
            <wp:docPr id="68" name="Chart 68" descr=" The Figure shows that as of 1st September 2020, there were 4,405 full-time students at the University. The trend in the total number of full time students. The number of FT students have declined in recent years but it still higher than levels in 2011/12.">
              <a:extLst xmlns:a="http://schemas.openxmlformats.org/drawingml/2006/main">
                <a:ext uri="{FF2B5EF4-FFF2-40B4-BE49-F238E27FC236}">
                  <a16:creationId xmlns:a16="http://schemas.microsoft.com/office/drawing/2014/main" id="{6164E706-D365-46C0-8624-DB952B96FD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CDE4271" w14:textId="77777777" w:rsidR="00360825" w:rsidRPr="00D556DB" w:rsidRDefault="00360825" w:rsidP="00360825">
      <w:pPr>
        <w:pStyle w:val="BodyText"/>
        <w:numPr>
          <w:ilvl w:val="0"/>
          <w:numId w:val="0"/>
        </w:numPr>
        <w:tabs>
          <w:tab w:val="left" w:pos="720"/>
        </w:tabs>
        <w:rPr>
          <w:rFonts w:ascii="Arial" w:hAnsi="Arial" w:cs="Arial"/>
        </w:rPr>
      </w:pPr>
      <w:r w:rsidRPr="00D556DB">
        <w:rPr>
          <w:rFonts w:ascii="Arial" w:hAnsi="Arial" w:cs="Arial"/>
        </w:rPr>
        <w:t>Source: HESA 2021</w:t>
      </w:r>
    </w:p>
    <w:p w14:paraId="15A7ABA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University have noted that the pandemic has not seen any impact on demand.</w:t>
      </w:r>
      <w:r>
        <w:rPr>
          <w:rFonts w:ascii="Arial" w:hAnsi="Arial" w:cs="Arial"/>
        </w:rPr>
        <w:t xml:space="preserve"> </w:t>
      </w:r>
      <w:r w:rsidRPr="00D556DB">
        <w:rPr>
          <w:rFonts w:ascii="Arial" w:hAnsi="Arial" w:cs="Arial"/>
        </w:rPr>
        <w:t>Conversely due to the Universities burgeoning reputation they have seen the largest increase in applications (50%) in the country with acceptances not far behind.</w:t>
      </w:r>
    </w:p>
    <w:p w14:paraId="5C715E9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University has indicated that there are 4,900 full-time students studying at the University in the current academic year.</w:t>
      </w:r>
      <w:r>
        <w:rPr>
          <w:rFonts w:ascii="Arial" w:hAnsi="Arial" w:cs="Arial"/>
        </w:rPr>
        <w:t xml:space="preserve"> </w:t>
      </w:r>
      <w:r w:rsidRPr="00D556DB">
        <w:rPr>
          <w:rFonts w:ascii="Arial" w:hAnsi="Arial" w:cs="Arial"/>
        </w:rPr>
        <w:t>Of these students approximately 74% study at the Chichester campus and 26% in the Bognor Regis Campus.</w:t>
      </w:r>
    </w:p>
    <w:p w14:paraId="0446ABCA" w14:textId="77777777" w:rsidR="00360825" w:rsidRPr="00D556DB" w:rsidRDefault="00360825" w:rsidP="00360825">
      <w:pPr>
        <w:pStyle w:val="Heading3"/>
        <w:rPr>
          <w:rFonts w:ascii="Arial" w:hAnsi="Arial" w:cs="Arial"/>
        </w:rPr>
      </w:pPr>
      <w:r w:rsidRPr="00D556DB">
        <w:rPr>
          <w:rFonts w:ascii="Arial" w:hAnsi="Arial" w:cs="Arial"/>
        </w:rPr>
        <w:t>The Profile of Accommodation</w:t>
      </w:r>
    </w:p>
    <w:p w14:paraId="26390B33" w14:textId="4E5C506F"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At the point of the 2011 Census, there were around 4,172 full time students aged 18 and over in the District which, in comparison to data on full-time student numbers drawn from </w:t>
      </w:r>
      <w:r w:rsidRPr="00DE1AA1">
        <w:rPr>
          <w:rFonts w:ascii="Arial" w:hAnsi="Arial" w:cs="Arial"/>
        </w:rPr>
        <w:t>HESA (4,330 students)</w:t>
      </w:r>
      <w:r w:rsidRPr="00D556DB">
        <w:rPr>
          <w:rFonts w:ascii="Arial" w:hAnsi="Arial" w:cs="Arial"/>
        </w:rPr>
        <w:t xml:space="preserve">, implies </w:t>
      </w:r>
      <w:r w:rsidR="002B1913" w:rsidRPr="00D556DB">
        <w:rPr>
          <w:rFonts w:ascii="Arial" w:hAnsi="Arial" w:cs="Arial"/>
        </w:rPr>
        <w:t>some</w:t>
      </w:r>
      <w:r w:rsidRPr="00D556DB">
        <w:rPr>
          <w:rFonts w:ascii="Arial" w:hAnsi="Arial" w:cs="Arial"/>
        </w:rPr>
        <w:t xml:space="preserve"> students lived outside of the District. The Table below sets out a breakdown of students resident in the District by age.</w:t>
      </w:r>
    </w:p>
    <w:p w14:paraId="756F5A72" w14:textId="77777777" w:rsidR="00360825" w:rsidRPr="00D556DB" w:rsidRDefault="00360825" w:rsidP="00360825">
      <w:pPr>
        <w:spacing w:after="0" w:line="240" w:lineRule="auto"/>
        <w:jc w:val="left"/>
        <w:rPr>
          <w:rFonts w:ascii="Arial" w:hAnsi="Arial" w:cs="Arial"/>
          <w:color w:val="646464" w:themeColor="background2"/>
        </w:rPr>
      </w:pPr>
      <w:r w:rsidRPr="00D556DB">
        <w:rPr>
          <w:rFonts w:ascii="Arial" w:hAnsi="Arial" w:cs="Arial"/>
          <w:b/>
        </w:rPr>
        <w:br w:type="page"/>
      </w:r>
    </w:p>
    <w:p w14:paraId="4BEDCD16" w14:textId="77777777" w:rsidR="00360825" w:rsidRPr="00D556DB" w:rsidRDefault="00360825" w:rsidP="001A7584">
      <w:pPr>
        <w:pStyle w:val="Heading4"/>
        <w:ind w:firstLine="0"/>
      </w:pPr>
      <w:r w:rsidRPr="00D556DB">
        <w:lastRenderedPageBreak/>
        <w:t>Profile of Full Time Students Aged 18 and Over</w:t>
      </w:r>
    </w:p>
    <w:tbl>
      <w:tblPr>
        <w:tblStyle w:val="TableGrid"/>
        <w:tblW w:w="8926" w:type="dxa"/>
        <w:tblLayout w:type="fixed"/>
        <w:tblLook w:val="04A0" w:firstRow="1" w:lastRow="0" w:firstColumn="1" w:lastColumn="0" w:noHBand="0" w:noVBand="1"/>
      </w:tblPr>
      <w:tblGrid>
        <w:gridCol w:w="3964"/>
        <w:gridCol w:w="4962"/>
      </w:tblGrid>
      <w:tr w:rsidR="00360825" w:rsidRPr="00DE1AA1" w14:paraId="75C270A3" w14:textId="77777777" w:rsidTr="00C04569">
        <w:tc>
          <w:tcPr>
            <w:tcW w:w="39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CE1A0A0"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color w:val="FFFFFF" w:themeColor="background1"/>
                <w:sz w:val="20"/>
                <w:szCs w:val="20"/>
              </w:rPr>
            </w:pPr>
            <w:r w:rsidRPr="00DE1AA1">
              <w:rPr>
                <w:rFonts w:ascii="Arial" w:hAnsi="Arial" w:cs="Arial"/>
                <w:color w:val="FFFFFF" w:themeColor="background1"/>
                <w:sz w:val="20"/>
                <w:szCs w:val="20"/>
              </w:rPr>
              <w:t>Age</w:t>
            </w:r>
          </w:p>
        </w:tc>
        <w:tc>
          <w:tcPr>
            <w:tcW w:w="49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DC1FF2"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Chichester</w:t>
            </w:r>
          </w:p>
        </w:tc>
      </w:tr>
      <w:tr w:rsidR="00360825" w:rsidRPr="00DE1AA1" w14:paraId="731E9C1D"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3F680271"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Aged 18-19</w:t>
            </w:r>
          </w:p>
        </w:tc>
        <w:tc>
          <w:tcPr>
            <w:tcW w:w="4962" w:type="dxa"/>
            <w:tcBorders>
              <w:top w:val="single" w:sz="4" w:space="0" w:color="auto"/>
              <w:left w:val="single" w:sz="4" w:space="0" w:color="auto"/>
              <w:bottom w:val="single" w:sz="4" w:space="0" w:color="auto"/>
              <w:right w:val="single" w:sz="4" w:space="0" w:color="auto"/>
            </w:tcBorders>
            <w:vAlign w:val="center"/>
          </w:tcPr>
          <w:p w14:paraId="1432922E"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1,726</w:t>
            </w:r>
          </w:p>
        </w:tc>
      </w:tr>
      <w:tr w:rsidR="00360825" w:rsidRPr="00DE1AA1" w14:paraId="66E9660F"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78580795"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Aged 20-24</w:t>
            </w:r>
          </w:p>
        </w:tc>
        <w:tc>
          <w:tcPr>
            <w:tcW w:w="4962" w:type="dxa"/>
            <w:tcBorders>
              <w:top w:val="single" w:sz="4" w:space="0" w:color="auto"/>
              <w:left w:val="single" w:sz="4" w:space="0" w:color="auto"/>
              <w:bottom w:val="single" w:sz="4" w:space="0" w:color="auto"/>
              <w:right w:val="single" w:sz="4" w:space="0" w:color="auto"/>
            </w:tcBorders>
            <w:vAlign w:val="center"/>
          </w:tcPr>
          <w:p w14:paraId="6427D37E"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1,773</w:t>
            </w:r>
          </w:p>
        </w:tc>
      </w:tr>
      <w:tr w:rsidR="00360825" w:rsidRPr="00DE1AA1" w14:paraId="68E439FE"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22FD2CC3"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Aged 25 and Over</w:t>
            </w:r>
          </w:p>
        </w:tc>
        <w:tc>
          <w:tcPr>
            <w:tcW w:w="4962" w:type="dxa"/>
            <w:tcBorders>
              <w:top w:val="single" w:sz="4" w:space="0" w:color="auto"/>
              <w:left w:val="single" w:sz="4" w:space="0" w:color="auto"/>
              <w:bottom w:val="single" w:sz="4" w:space="0" w:color="auto"/>
              <w:right w:val="single" w:sz="4" w:space="0" w:color="auto"/>
            </w:tcBorders>
            <w:vAlign w:val="center"/>
          </w:tcPr>
          <w:p w14:paraId="65AAEA1D"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673</w:t>
            </w:r>
          </w:p>
        </w:tc>
      </w:tr>
      <w:tr w:rsidR="00360825" w:rsidRPr="00DE1AA1" w14:paraId="4E08C0AF"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91AEDA"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b/>
                <w:bCs w:val="0"/>
                <w:sz w:val="20"/>
                <w:szCs w:val="20"/>
              </w:rPr>
            </w:pPr>
            <w:r w:rsidRPr="00DE1AA1">
              <w:rPr>
                <w:rFonts w:ascii="Arial" w:hAnsi="Arial" w:cs="Arial"/>
                <w:b/>
                <w:bCs w:val="0"/>
                <w:sz w:val="20"/>
                <w:szCs w:val="20"/>
              </w:rPr>
              <w:t>Total</w:t>
            </w:r>
          </w:p>
        </w:tc>
        <w:tc>
          <w:tcPr>
            <w:tcW w:w="49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ED920C"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b/>
                <w:bCs w:val="0"/>
                <w:sz w:val="20"/>
                <w:szCs w:val="20"/>
              </w:rPr>
            </w:pPr>
            <w:r w:rsidRPr="00DE1AA1">
              <w:rPr>
                <w:rFonts w:ascii="Arial" w:hAnsi="Arial" w:cs="Arial"/>
                <w:b/>
                <w:bCs w:val="0"/>
                <w:sz w:val="20"/>
                <w:szCs w:val="20"/>
              </w:rPr>
              <w:t>4,172</w:t>
            </w:r>
          </w:p>
        </w:tc>
      </w:tr>
    </w:tbl>
    <w:p w14:paraId="40D4C9D3"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2011 Census</w:t>
      </w:r>
    </w:p>
    <w:p w14:paraId="3E4F6BB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Table below sets out the accommodation profile of full-time students at the point of the </w:t>
      </w:r>
      <w:r w:rsidRPr="00DE1AA1">
        <w:rPr>
          <w:rFonts w:ascii="Arial" w:hAnsi="Arial" w:cs="Arial"/>
        </w:rPr>
        <w:t>2011</w:t>
      </w:r>
      <w:r w:rsidRPr="00D556DB">
        <w:rPr>
          <w:rFonts w:ascii="Arial" w:hAnsi="Arial" w:cs="Arial"/>
        </w:rPr>
        <w:t xml:space="preserve"> Census in Chichester. This shows that the largest proportions (33%) of students aged 18 and over lived with parents or an all student household. The latter typically comprises Houses in Multiple Occupation (“HMOs”).</w:t>
      </w:r>
    </w:p>
    <w:p w14:paraId="07E4DB19" w14:textId="77777777" w:rsidR="00360825" w:rsidRPr="00D556DB" w:rsidRDefault="00360825" w:rsidP="001A7584">
      <w:pPr>
        <w:pStyle w:val="Heading4"/>
        <w:ind w:firstLine="0"/>
      </w:pPr>
      <w:r w:rsidRPr="00D556DB">
        <w:t>Profile of Full Time Students Aged 18 and Over by Accommodation Type (%)</w:t>
      </w:r>
    </w:p>
    <w:tbl>
      <w:tblPr>
        <w:tblStyle w:val="TableGrid"/>
        <w:tblW w:w="8926" w:type="dxa"/>
        <w:tblLayout w:type="fixed"/>
        <w:tblLook w:val="04A0" w:firstRow="1" w:lastRow="0" w:firstColumn="1" w:lastColumn="0" w:noHBand="0" w:noVBand="1"/>
      </w:tblPr>
      <w:tblGrid>
        <w:gridCol w:w="3964"/>
        <w:gridCol w:w="2481"/>
        <w:gridCol w:w="2481"/>
      </w:tblGrid>
      <w:tr w:rsidR="00360825" w:rsidRPr="00DE1AA1" w14:paraId="301699C6" w14:textId="77777777" w:rsidTr="00C04569">
        <w:tc>
          <w:tcPr>
            <w:tcW w:w="39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1B612B7"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color w:val="FFFFFF" w:themeColor="background1"/>
                <w:sz w:val="20"/>
                <w:szCs w:val="20"/>
              </w:rPr>
            </w:pPr>
            <w:bookmarkStart w:id="51" w:name="_Hlk21549580"/>
            <w:r w:rsidRPr="00DE1AA1">
              <w:rPr>
                <w:rFonts w:ascii="Arial" w:hAnsi="Arial" w:cs="Arial"/>
                <w:color w:val="FFFFFF" w:themeColor="background1"/>
                <w:sz w:val="20"/>
                <w:szCs w:val="20"/>
              </w:rPr>
              <w:t>Accommodation Type</w:t>
            </w:r>
          </w:p>
        </w:tc>
        <w:tc>
          <w:tcPr>
            <w:tcW w:w="248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0F8DF01"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Students</w:t>
            </w:r>
          </w:p>
        </w:tc>
        <w:tc>
          <w:tcPr>
            <w:tcW w:w="2481" w:type="dxa"/>
            <w:tcBorders>
              <w:top w:val="single" w:sz="4" w:space="0" w:color="auto"/>
              <w:left w:val="single" w:sz="4" w:space="0" w:color="auto"/>
              <w:bottom w:val="single" w:sz="4" w:space="0" w:color="auto"/>
              <w:right w:val="single" w:sz="4" w:space="0" w:color="auto"/>
            </w:tcBorders>
            <w:shd w:val="clear" w:color="auto" w:fill="002060"/>
          </w:tcPr>
          <w:p w14:paraId="16901231"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 of Total</w:t>
            </w:r>
          </w:p>
        </w:tc>
      </w:tr>
      <w:tr w:rsidR="00360825" w:rsidRPr="00DE1AA1" w14:paraId="7AE918AB"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6E160EB4"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Living with Parents</w:t>
            </w:r>
          </w:p>
        </w:tc>
        <w:tc>
          <w:tcPr>
            <w:tcW w:w="2481" w:type="dxa"/>
            <w:tcBorders>
              <w:top w:val="single" w:sz="4" w:space="0" w:color="auto"/>
              <w:left w:val="single" w:sz="4" w:space="0" w:color="auto"/>
              <w:bottom w:val="single" w:sz="4" w:space="0" w:color="auto"/>
              <w:right w:val="single" w:sz="4" w:space="0" w:color="auto"/>
            </w:tcBorders>
            <w:vAlign w:val="center"/>
          </w:tcPr>
          <w:p w14:paraId="5F3EFE0F"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1,377</w:t>
            </w:r>
          </w:p>
        </w:tc>
        <w:tc>
          <w:tcPr>
            <w:tcW w:w="2481" w:type="dxa"/>
            <w:tcBorders>
              <w:top w:val="single" w:sz="4" w:space="0" w:color="auto"/>
              <w:left w:val="single" w:sz="4" w:space="0" w:color="auto"/>
              <w:bottom w:val="single" w:sz="4" w:space="0" w:color="auto"/>
              <w:right w:val="single" w:sz="4" w:space="0" w:color="auto"/>
            </w:tcBorders>
          </w:tcPr>
          <w:p w14:paraId="0EA56A3B"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33%</w:t>
            </w:r>
          </w:p>
        </w:tc>
      </w:tr>
      <w:tr w:rsidR="00360825" w:rsidRPr="00DE1AA1" w14:paraId="255416BF"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5B646403"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University Communal</w:t>
            </w:r>
          </w:p>
        </w:tc>
        <w:tc>
          <w:tcPr>
            <w:tcW w:w="2481" w:type="dxa"/>
            <w:tcBorders>
              <w:top w:val="single" w:sz="4" w:space="0" w:color="auto"/>
              <w:left w:val="single" w:sz="4" w:space="0" w:color="auto"/>
              <w:bottom w:val="single" w:sz="4" w:space="0" w:color="auto"/>
              <w:right w:val="single" w:sz="4" w:space="0" w:color="auto"/>
            </w:tcBorders>
            <w:vAlign w:val="center"/>
          </w:tcPr>
          <w:p w14:paraId="355DA5BA"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445</w:t>
            </w:r>
          </w:p>
        </w:tc>
        <w:tc>
          <w:tcPr>
            <w:tcW w:w="2481" w:type="dxa"/>
            <w:tcBorders>
              <w:top w:val="single" w:sz="4" w:space="0" w:color="auto"/>
              <w:left w:val="single" w:sz="4" w:space="0" w:color="auto"/>
              <w:bottom w:val="single" w:sz="4" w:space="0" w:color="auto"/>
              <w:right w:val="single" w:sz="4" w:space="0" w:color="auto"/>
            </w:tcBorders>
          </w:tcPr>
          <w:p w14:paraId="64AB93DB"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11%</w:t>
            </w:r>
          </w:p>
        </w:tc>
      </w:tr>
      <w:tr w:rsidR="00360825" w:rsidRPr="00DE1AA1" w14:paraId="7D8F295F"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25F95D3A"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Other Communal</w:t>
            </w:r>
          </w:p>
        </w:tc>
        <w:tc>
          <w:tcPr>
            <w:tcW w:w="2481" w:type="dxa"/>
            <w:tcBorders>
              <w:top w:val="single" w:sz="4" w:space="0" w:color="auto"/>
              <w:left w:val="single" w:sz="4" w:space="0" w:color="auto"/>
              <w:bottom w:val="single" w:sz="4" w:space="0" w:color="auto"/>
              <w:right w:val="single" w:sz="4" w:space="0" w:color="auto"/>
            </w:tcBorders>
            <w:vAlign w:val="center"/>
          </w:tcPr>
          <w:p w14:paraId="6A7A4A9E"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90</w:t>
            </w:r>
          </w:p>
        </w:tc>
        <w:tc>
          <w:tcPr>
            <w:tcW w:w="2481" w:type="dxa"/>
            <w:tcBorders>
              <w:top w:val="single" w:sz="4" w:space="0" w:color="auto"/>
              <w:left w:val="single" w:sz="4" w:space="0" w:color="auto"/>
              <w:bottom w:val="single" w:sz="4" w:space="0" w:color="auto"/>
              <w:right w:val="single" w:sz="4" w:space="0" w:color="auto"/>
            </w:tcBorders>
          </w:tcPr>
          <w:p w14:paraId="708D735A"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2%</w:t>
            </w:r>
          </w:p>
        </w:tc>
      </w:tr>
      <w:tr w:rsidR="00360825" w:rsidRPr="00DE1AA1" w14:paraId="0D8810D0"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78330E14"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All Student Household</w:t>
            </w:r>
          </w:p>
        </w:tc>
        <w:tc>
          <w:tcPr>
            <w:tcW w:w="2481" w:type="dxa"/>
            <w:tcBorders>
              <w:top w:val="single" w:sz="4" w:space="0" w:color="auto"/>
              <w:left w:val="single" w:sz="4" w:space="0" w:color="auto"/>
              <w:bottom w:val="single" w:sz="4" w:space="0" w:color="auto"/>
              <w:right w:val="single" w:sz="4" w:space="0" w:color="auto"/>
            </w:tcBorders>
            <w:vAlign w:val="center"/>
          </w:tcPr>
          <w:p w14:paraId="59B01D1C"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1,386</w:t>
            </w:r>
          </w:p>
        </w:tc>
        <w:tc>
          <w:tcPr>
            <w:tcW w:w="2481" w:type="dxa"/>
            <w:tcBorders>
              <w:top w:val="single" w:sz="4" w:space="0" w:color="auto"/>
              <w:left w:val="single" w:sz="4" w:space="0" w:color="auto"/>
              <w:bottom w:val="single" w:sz="4" w:space="0" w:color="auto"/>
              <w:right w:val="single" w:sz="4" w:space="0" w:color="auto"/>
            </w:tcBorders>
          </w:tcPr>
          <w:p w14:paraId="5459A126"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33%</w:t>
            </w:r>
          </w:p>
        </w:tc>
      </w:tr>
      <w:tr w:rsidR="00360825" w:rsidRPr="00DE1AA1" w14:paraId="197973A1"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37F9C584"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Living Alone</w:t>
            </w:r>
          </w:p>
        </w:tc>
        <w:tc>
          <w:tcPr>
            <w:tcW w:w="2481" w:type="dxa"/>
            <w:tcBorders>
              <w:top w:val="single" w:sz="4" w:space="0" w:color="auto"/>
              <w:left w:val="single" w:sz="4" w:space="0" w:color="auto"/>
              <w:bottom w:val="single" w:sz="4" w:space="0" w:color="auto"/>
              <w:right w:val="single" w:sz="4" w:space="0" w:color="auto"/>
            </w:tcBorders>
            <w:vAlign w:val="center"/>
          </w:tcPr>
          <w:p w14:paraId="041B3D83"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152</w:t>
            </w:r>
          </w:p>
        </w:tc>
        <w:tc>
          <w:tcPr>
            <w:tcW w:w="2481" w:type="dxa"/>
            <w:tcBorders>
              <w:top w:val="single" w:sz="4" w:space="0" w:color="auto"/>
              <w:left w:val="single" w:sz="4" w:space="0" w:color="auto"/>
              <w:bottom w:val="single" w:sz="4" w:space="0" w:color="auto"/>
              <w:right w:val="single" w:sz="4" w:space="0" w:color="auto"/>
            </w:tcBorders>
          </w:tcPr>
          <w:p w14:paraId="241374ED"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4%</w:t>
            </w:r>
          </w:p>
        </w:tc>
      </w:tr>
      <w:tr w:rsidR="00360825" w:rsidRPr="00DE1AA1" w14:paraId="13CE4429"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63559E8F"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Other</w:t>
            </w:r>
          </w:p>
        </w:tc>
        <w:tc>
          <w:tcPr>
            <w:tcW w:w="2481" w:type="dxa"/>
            <w:tcBorders>
              <w:top w:val="single" w:sz="4" w:space="0" w:color="auto"/>
              <w:left w:val="single" w:sz="4" w:space="0" w:color="auto"/>
              <w:bottom w:val="single" w:sz="4" w:space="0" w:color="auto"/>
              <w:right w:val="single" w:sz="4" w:space="0" w:color="auto"/>
            </w:tcBorders>
            <w:vAlign w:val="center"/>
          </w:tcPr>
          <w:p w14:paraId="66B0C131"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722</w:t>
            </w:r>
          </w:p>
        </w:tc>
        <w:tc>
          <w:tcPr>
            <w:tcW w:w="2481" w:type="dxa"/>
            <w:tcBorders>
              <w:top w:val="single" w:sz="4" w:space="0" w:color="auto"/>
              <w:left w:val="single" w:sz="4" w:space="0" w:color="auto"/>
              <w:bottom w:val="single" w:sz="4" w:space="0" w:color="auto"/>
              <w:right w:val="single" w:sz="4" w:space="0" w:color="auto"/>
            </w:tcBorders>
          </w:tcPr>
          <w:p w14:paraId="25F06E90"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17%</w:t>
            </w:r>
          </w:p>
        </w:tc>
      </w:tr>
      <w:tr w:rsidR="00360825" w:rsidRPr="00DE1AA1" w14:paraId="083E48B9"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19950F"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b/>
                <w:bCs w:val="0"/>
                <w:sz w:val="20"/>
                <w:szCs w:val="20"/>
              </w:rPr>
            </w:pPr>
            <w:r w:rsidRPr="00DE1AA1">
              <w:rPr>
                <w:rFonts w:ascii="Arial" w:hAnsi="Arial" w:cs="Arial"/>
                <w:b/>
                <w:bCs w:val="0"/>
                <w:sz w:val="20"/>
                <w:szCs w:val="20"/>
              </w:rPr>
              <w:t>Total (No.)</w:t>
            </w:r>
          </w:p>
        </w:tc>
        <w:tc>
          <w:tcPr>
            <w:tcW w:w="24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785B2E"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b/>
                <w:bCs w:val="0"/>
                <w:sz w:val="20"/>
                <w:szCs w:val="20"/>
              </w:rPr>
            </w:pPr>
            <w:r w:rsidRPr="00DE1AA1">
              <w:rPr>
                <w:rFonts w:ascii="Arial" w:hAnsi="Arial" w:cs="Arial"/>
                <w:b/>
                <w:bCs w:val="0"/>
                <w:sz w:val="20"/>
                <w:szCs w:val="20"/>
              </w:rPr>
              <w:t>4,172</w:t>
            </w:r>
          </w:p>
        </w:tc>
        <w:tc>
          <w:tcPr>
            <w:tcW w:w="24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4EE1EE"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b/>
                <w:bCs w:val="0"/>
                <w:sz w:val="20"/>
                <w:szCs w:val="20"/>
              </w:rPr>
            </w:pPr>
            <w:r w:rsidRPr="00DE1AA1">
              <w:rPr>
                <w:rFonts w:ascii="Arial" w:hAnsi="Arial" w:cs="Arial"/>
                <w:b/>
                <w:bCs w:val="0"/>
                <w:sz w:val="20"/>
                <w:szCs w:val="20"/>
              </w:rPr>
              <w:t>100%</w:t>
            </w:r>
          </w:p>
        </w:tc>
      </w:tr>
    </w:tbl>
    <w:bookmarkEnd w:id="51"/>
    <w:p w14:paraId="58788BD7" w14:textId="77777777" w:rsidR="00360825" w:rsidRPr="00D556DB" w:rsidRDefault="00360825" w:rsidP="00360825">
      <w:pPr>
        <w:pStyle w:val="BodyText"/>
        <w:numPr>
          <w:ilvl w:val="0"/>
          <w:numId w:val="0"/>
        </w:numPr>
        <w:tabs>
          <w:tab w:val="left" w:pos="720"/>
        </w:tabs>
        <w:rPr>
          <w:rFonts w:ascii="Arial" w:hAnsi="Arial" w:cs="Arial"/>
        </w:rPr>
      </w:pPr>
      <w:r w:rsidRPr="00D556DB">
        <w:rPr>
          <w:rFonts w:ascii="Arial" w:hAnsi="Arial" w:cs="Arial"/>
        </w:rPr>
        <w:t>Source: 2011 Census</w:t>
      </w:r>
    </w:p>
    <w:p w14:paraId="23999E8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More recent data from the University, and only relating to returning students (i.e. not first years), demonstrates a shift away from those living with parents towards HMOs in the general housing stock</w:t>
      </w:r>
    </w:p>
    <w:p w14:paraId="5762AE2D" w14:textId="77777777" w:rsidR="00360825" w:rsidRPr="00D556DB" w:rsidRDefault="00360825" w:rsidP="00360825">
      <w:pPr>
        <w:pStyle w:val="Bulletblackplain"/>
      </w:pPr>
      <w:r w:rsidRPr="00DE1AA1">
        <w:t>51% are in ‘Other rented’ including HMOs</w:t>
      </w:r>
    </w:p>
    <w:p w14:paraId="7FC0E317" w14:textId="77777777" w:rsidR="00360825" w:rsidRPr="00DE1AA1" w:rsidRDefault="00360825" w:rsidP="00360825">
      <w:pPr>
        <w:pStyle w:val="Bulletblackplain"/>
      </w:pPr>
      <w:r w:rsidRPr="00DE1AA1">
        <w:t>25% are in living with parents</w:t>
      </w:r>
    </w:p>
    <w:p w14:paraId="25D4D508" w14:textId="77777777" w:rsidR="00360825" w:rsidRPr="00DE1AA1" w:rsidRDefault="00360825" w:rsidP="00360825">
      <w:pPr>
        <w:pStyle w:val="Bulletblackplain"/>
      </w:pPr>
      <w:r w:rsidRPr="00DE1AA1">
        <w:t>14% own home</w:t>
      </w:r>
      <w:r w:rsidRPr="00DE1AA1">
        <w:rPr>
          <w:rStyle w:val="FootnoteReference"/>
        </w:rPr>
        <w:footnoteReference w:id="16"/>
      </w:r>
    </w:p>
    <w:p w14:paraId="70FD4821" w14:textId="77777777" w:rsidR="00360825" w:rsidRPr="00DE1AA1" w:rsidRDefault="00360825" w:rsidP="00360825">
      <w:pPr>
        <w:pStyle w:val="Bulletblackplain"/>
      </w:pPr>
      <w:r w:rsidRPr="00DE1AA1">
        <w:t>6% are in halls</w:t>
      </w:r>
      <w:r w:rsidRPr="00DE1AA1">
        <w:rPr>
          <w:rStyle w:val="FootnoteReference"/>
        </w:rPr>
        <w:footnoteReference w:id="17"/>
      </w:r>
    </w:p>
    <w:p w14:paraId="3FC50AFB" w14:textId="77777777" w:rsidR="00360825" w:rsidRPr="00DE1AA1" w:rsidRDefault="00360825" w:rsidP="00360825">
      <w:pPr>
        <w:pStyle w:val="Bulletblackplain"/>
      </w:pPr>
      <w:r w:rsidRPr="00DE1AA1">
        <w:t>4% other</w:t>
      </w:r>
    </w:p>
    <w:p w14:paraId="054315BB" w14:textId="77777777" w:rsidR="00360825" w:rsidRPr="00DE1AA1" w:rsidRDefault="00360825" w:rsidP="00360825">
      <w:pPr>
        <w:pStyle w:val="Bulletblackplain"/>
        <w:numPr>
          <w:ilvl w:val="0"/>
          <w:numId w:val="0"/>
        </w:numPr>
        <w:ind w:left="1078"/>
      </w:pPr>
    </w:p>
    <w:p w14:paraId="79A5528A" w14:textId="4447A441"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this relates to the Universities 2,500 returning students this means that 1,275 students are living in general housing.</w:t>
      </w:r>
      <w:r>
        <w:rPr>
          <w:rFonts w:ascii="Arial" w:hAnsi="Arial" w:cs="Arial"/>
        </w:rPr>
        <w:t xml:space="preserve"> </w:t>
      </w:r>
      <w:r w:rsidRPr="00D556DB">
        <w:rPr>
          <w:rFonts w:ascii="Arial" w:hAnsi="Arial" w:cs="Arial"/>
        </w:rPr>
        <w:t xml:space="preserve">This would indicate approximately 510 homes based on an average student size </w:t>
      </w:r>
      <w:r w:rsidRPr="00D556DB">
        <w:rPr>
          <w:rFonts w:ascii="Arial" w:hAnsi="Arial" w:cs="Arial"/>
        </w:rPr>
        <w:lastRenderedPageBreak/>
        <w:t>of 2.5</w:t>
      </w:r>
      <w:r w:rsidRPr="00D556DB">
        <w:rPr>
          <w:rStyle w:val="FootnoteReference"/>
          <w:rFonts w:ascii="Arial" w:hAnsi="Arial" w:cs="Arial"/>
        </w:rPr>
        <w:footnoteReference w:id="18"/>
      </w:r>
      <w:r w:rsidRPr="00D556DB">
        <w:rPr>
          <w:rFonts w:ascii="Arial" w:hAnsi="Arial" w:cs="Arial"/>
        </w:rPr>
        <w:t xml:space="preserve"> are being taken up by students. .While not all of these students could or would want to be shifted to </w:t>
      </w:r>
      <w:r w:rsidR="00F31875">
        <w:rPr>
          <w:rFonts w:ascii="Arial" w:hAnsi="Arial" w:cs="Arial"/>
        </w:rPr>
        <w:t>Purpose Built Student Accommodation (</w:t>
      </w:r>
      <w:r w:rsidRPr="00D556DB">
        <w:rPr>
          <w:rFonts w:ascii="Arial" w:hAnsi="Arial" w:cs="Arial"/>
        </w:rPr>
        <w:t>PBSA</w:t>
      </w:r>
      <w:r w:rsidR="00F31875">
        <w:rPr>
          <w:rFonts w:ascii="Arial" w:hAnsi="Arial" w:cs="Arial"/>
        </w:rPr>
        <w:t>)</w:t>
      </w:r>
      <w:r w:rsidRPr="00D556DB">
        <w:rPr>
          <w:rFonts w:ascii="Arial" w:hAnsi="Arial" w:cs="Arial"/>
        </w:rPr>
        <w:t xml:space="preserve"> it does indicate the potential supply of homes if further PBSA is provided.</w:t>
      </w:r>
    </w:p>
    <w:p w14:paraId="565C6D6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University have noted a lack of accredited HMOs in the City.</w:t>
      </w:r>
      <w:r>
        <w:rPr>
          <w:rFonts w:ascii="Arial" w:hAnsi="Arial" w:cs="Arial"/>
        </w:rPr>
        <w:t xml:space="preserve"> </w:t>
      </w:r>
      <w:r w:rsidRPr="00D556DB">
        <w:rPr>
          <w:rFonts w:ascii="Arial" w:hAnsi="Arial" w:cs="Arial"/>
        </w:rPr>
        <w:t>As a result there are periodic shortages.</w:t>
      </w:r>
      <w:r>
        <w:rPr>
          <w:rFonts w:ascii="Arial" w:hAnsi="Arial" w:cs="Arial"/>
        </w:rPr>
        <w:t xml:space="preserve"> </w:t>
      </w:r>
      <w:r w:rsidRPr="00D556DB">
        <w:rPr>
          <w:rFonts w:ascii="Arial" w:hAnsi="Arial" w:cs="Arial"/>
        </w:rPr>
        <w:t>This is not a significant issue at the moment but may deteriorate with student growth.</w:t>
      </w:r>
      <w:r>
        <w:rPr>
          <w:rFonts w:ascii="Arial" w:hAnsi="Arial" w:cs="Arial"/>
        </w:rPr>
        <w:t xml:space="preserve"> </w:t>
      </w:r>
      <w:r w:rsidRPr="00D556DB">
        <w:rPr>
          <w:rFonts w:ascii="Arial" w:hAnsi="Arial" w:cs="Arial"/>
        </w:rPr>
        <w:t>According to the University, during the clearing period in 2021 there were only three rental properties available within a 3 mile radius of the University.</w:t>
      </w:r>
    </w:p>
    <w:p w14:paraId="32DD9FDF" w14:textId="4C885FDA"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Overall the University have indicated that 68% of undergraduates are in halls. There current policy is to guarantee 1</w:t>
      </w:r>
      <w:r w:rsidRPr="00D556DB">
        <w:rPr>
          <w:rFonts w:ascii="Arial" w:hAnsi="Arial" w:cs="Arial"/>
          <w:vertAlign w:val="superscript"/>
        </w:rPr>
        <w:t>st</w:t>
      </w:r>
      <w:r w:rsidRPr="00D556DB">
        <w:rPr>
          <w:rFonts w:ascii="Arial" w:hAnsi="Arial" w:cs="Arial"/>
        </w:rPr>
        <w:t xml:space="preserve"> years accommodation.</w:t>
      </w:r>
      <w:r>
        <w:rPr>
          <w:rFonts w:ascii="Arial" w:hAnsi="Arial" w:cs="Arial"/>
        </w:rPr>
        <w:t xml:space="preserve"> </w:t>
      </w:r>
      <w:r w:rsidRPr="00D556DB">
        <w:rPr>
          <w:rFonts w:ascii="Arial" w:hAnsi="Arial" w:cs="Arial"/>
        </w:rPr>
        <w:t>However, they will no longer be offering this to students living in an “exclusion zone</w:t>
      </w:r>
      <w:r w:rsidR="002B1913" w:rsidRPr="00D556DB">
        <w:rPr>
          <w:rFonts w:ascii="Arial" w:hAnsi="Arial" w:cs="Arial"/>
        </w:rPr>
        <w:t>.”</w:t>
      </w:r>
      <w:r>
        <w:rPr>
          <w:rFonts w:ascii="Arial" w:hAnsi="Arial" w:cs="Arial"/>
        </w:rPr>
        <w:t xml:space="preserve"> </w:t>
      </w:r>
      <w:r w:rsidRPr="00D556DB">
        <w:rPr>
          <w:rFonts w:ascii="Arial" w:hAnsi="Arial" w:cs="Arial"/>
        </w:rPr>
        <w:t>The exclusion zone is based on their current (mostly parental) residence and its connectivity to the main campus.</w:t>
      </w:r>
      <w:r>
        <w:rPr>
          <w:rFonts w:ascii="Arial" w:hAnsi="Arial" w:cs="Arial"/>
        </w:rPr>
        <w:t xml:space="preserve"> </w:t>
      </w:r>
      <w:r w:rsidRPr="00D556DB">
        <w:rPr>
          <w:rFonts w:ascii="Arial" w:hAnsi="Arial" w:cs="Arial"/>
        </w:rPr>
        <w:t>This principally runs along the A27 to Worthing and if applied to the latest intake would only have excluded 50 students.</w:t>
      </w:r>
    </w:p>
    <w:p w14:paraId="7B4B023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University currently have six accommodation locations including two campus locations, two off campus locations and two temporary locations.</w:t>
      </w:r>
      <w:r>
        <w:rPr>
          <w:rFonts w:ascii="Arial" w:hAnsi="Arial" w:cs="Arial"/>
        </w:rPr>
        <w:t xml:space="preserve"> </w:t>
      </w:r>
      <w:r w:rsidRPr="00D556DB">
        <w:rPr>
          <w:rFonts w:ascii="Arial" w:hAnsi="Arial" w:cs="Arial"/>
        </w:rPr>
        <w:t>The University are planning to refurbish some of the existing locations which could result in the loss of around 100 bedspaces which will become communal space.</w:t>
      </w:r>
    </w:p>
    <w:p w14:paraId="07A17192" w14:textId="77777777" w:rsidR="00360825" w:rsidRPr="00D556DB" w:rsidRDefault="00360825" w:rsidP="00360825">
      <w:pPr>
        <w:pStyle w:val="Heading3"/>
        <w:rPr>
          <w:rFonts w:ascii="Arial" w:hAnsi="Arial" w:cs="Arial"/>
        </w:rPr>
      </w:pPr>
      <w:r w:rsidRPr="00D556DB">
        <w:rPr>
          <w:rFonts w:ascii="Arial" w:hAnsi="Arial" w:cs="Arial"/>
        </w:rPr>
        <w:t>Student Growth, Expansion Plans, and the Need for Student Accommodation</w:t>
      </w:r>
    </w:p>
    <w:p w14:paraId="578EA35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Iceni has engaged directly with the University of Chichester to understand the latest position </w:t>
      </w:r>
      <w:r w:rsidRPr="00DE1AA1">
        <w:rPr>
          <w:rFonts w:ascii="Arial" w:hAnsi="Arial" w:cs="Arial"/>
        </w:rPr>
        <w:t>on</w:t>
      </w:r>
      <w:r w:rsidRPr="00D556DB">
        <w:rPr>
          <w:rFonts w:ascii="Arial" w:hAnsi="Arial" w:cs="Arial"/>
        </w:rPr>
        <w:t xml:space="preserve"> student growth and expansion plans. Looking forward, we understand through discussions that the University is a rapidly growing both in terms of student roll and reputation. The University is at the beginning of a process called Project Cornerstone which will see the University grow its current full-time student numbers to around 6,000 by 2025/26 and to 7,000 in the longer term.</w:t>
      </w:r>
      <w:r>
        <w:rPr>
          <w:rFonts w:ascii="Arial" w:hAnsi="Arial" w:cs="Arial"/>
        </w:rPr>
        <w:t xml:space="preserve"> </w:t>
      </w:r>
      <w:r w:rsidRPr="00D556DB">
        <w:rPr>
          <w:rFonts w:ascii="Arial" w:hAnsi="Arial" w:cs="Arial"/>
        </w:rPr>
        <w:t>Part of this growth will be as a result of wider demographic growth in the number of 18 year olds nationally.</w:t>
      </w:r>
      <w:r>
        <w:rPr>
          <w:rFonts w:ascii="Arial" w:hAnsi="Arial" w:cs="Arial"/>
        </w:rPr>
        <w:t xml:space="preserve"> </w:t>
      </w:r>
    </w:p>
    <w:p w14:paraId="161C138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It is expected that the initial 1,100 student growth will be split between the two campus with 70% going to Chichester (775 students).</w:t>
      </w:r>
    </w:p>
    <w:p w14:paraId="4E25BEE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University has typically attracted a domestic student body with only around 100 international students. As a consequence, Brexit is likely to have limited impact. Notwithstanding, the international makeup of the student body is likely to </w:t>
      </w:r>
      <w:r w:rsidRPr="00DE1AA1">
        <w:rPr>
          <w:rFonts w:ascii="Arial" w:hAnsi="Arial" w:cs="Arial"/>
        </w:rPr>
        <w:t>change</w:t>
      </w:r>
      <w:r w:rsidRPr="00D556DB">
        <w:rPr>
          <w:rFonts w:ascii="Arial" w:hAnsi="Arial" w:cs="Arial"/>
        </w:rPr>
        <w:t xml:space="preserve"> as the University has signed a partnership with an international pathway college. The students on this pathway are however likely to be based in Bognor Regis in their foundation year.</w:t>
      </w:r>
    </w:p>
    <w:p w14:paraId="1919080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The University has also created new Nursing and Business Schools.</w:t>
      </w:r>
      <w:r>
        <w:rPr>
          <w:rFonts w:ascii="Arial" w:hAnsi="Arial" w:cs="Arial"/>
        </w:rPr>
        <w:t xml:space="preserve"> </w:t>
      </w:r>
      <w:r w:rsidRPr="00D556DB">
        <w:rPr>
          <w:rFonts w:ascii="Arial" w:hAnsi="Arial" w:cs="Arial"/>
        </w:rPr>
        <w:t>The nursing school currently has 40 students which is expected to grow to around 300.</w:t>
      </w:r>
      <w:r>
        <w:rPr>
          <w:rFonts w:ascii="Arial" w:hAnsi="Arial" w:cs="Arial"/>
        </w:rPr>
        <w:t xml:space="preserve"> </w:t>
      </w:r>
      <w:r w:rsidRPr="00D556DB">
        <w:rPr>
          <w:rFonts w:ascii="Arial" w:hAnsi="Arial" w:cs="Arial"/>
        </w:rPr>
        <w:t>However there is a lack of staff housing for nursing and therefore these key skills may not be retained in the City.</w:t>
      </w:r>
    </w:p>
    <w:p w14:paraId="7056785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order to meet the accommodation demand from the growing student body, we understand that the University is in discussion with the Council around the delivery of additional bedspaces. In total, the University is seeking to deliver 450 additional bedspaces; 250 of which will be located in Chichester.</w:t>
      </w:r>
      <w:r>
        <w:rPr>
          <w:rFonts w:ascii="Arial" w:hAnsi="Arial" w:cs="Arial"/>
        </w:rPr>
        <w:t xml:space="preserve"> </w:t>
      </w:r>
      <w:r w:rsidRPr="00D556DB">
        <w:rPr>
          <w:rFonts w:ascii="Arial" w:hAnsi="Arial" w:cs="Arial"/>
        </w:rPr>
        <w:t>As stated above their accommodation strategy will result in the loss of 100 bedspaces therefore the net growth will only be 350 bedspaces.</w:t>
      </w:r>
      <w:r>
        <w:rPr>
          <w:rFonts w:ascii="Arial" w:hAnsi="Arial" w:cs="Arial"/>
        </w:rPr>
        <w:t xml:space="preserve"> </w:t>
      </w:r>
    </w:p>
    <w:p w14:paraId="4052B1F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250 increase in bedspaces will effectively address the needs of the additional first years (775/3 years = 258 additional first years) and as they progress to returning students then there accommodation needs will need to be addressed elsewhere.</w:t>
      </w:r>
      <w:r>
        <w:rPr>
          <w:rFonts w:ascii="Arial" w:hAnsi="Arial" w:cs="Arial"/>
        </w:rPr>
        <w:t xml:space="preserve"> </w:t>
      </w:r>
      <w:r w:rsidRPr="00D556DB">
        <w:rPr>
          <w:rFonts w:ascii="Arial" w:hAnsi="Arial" w:cs="Arial"/>
        </w:rPr>
        <w:t>This is particularly important as much of the growth will be in international students who would not otherwise come if they had poorer accommodation choices.</w:t>
      </w:r>
    </w:p>
    <w:p w14:paraId="3F8211F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addition, the University has recently appointed consultants JLL to undertake a Demand Study drilling into the need for additional accommodation. If this identifies demand, </w:t>
      </w:r>
      <w:r w:rsidRPr="00DE1AA1">
        <w:rPr>
          <w:rFonts w:ascii="Arial" w:hAnsi="Arial" w:cs="Arial"/>
        </w:rPr>
        <w:t>the</w:t>
      </w:r>
      <w:r w:rsidRPr="00D556DB">
        <w:rPr>
          <w:rFonts w:ascii="Arial" w:hAnsi="Arial" w:cs="Arial"/>
        </w:rPr>
        <w:t xml:space="preserve"> University will seek to appoint a developer partner to deliver the additional accommodation. </w:t>
      </w:r>
    </w:p>
    <w:p w14:paraId="7BF91F2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reports initial findings suggest that owing to the scale of the market in the City, there is unlikely to be demand from Purpose Built Student Accommodation (“PBSA”) providers in the City.</w:t>
      </w:r>
      <w:r>
        <w:rPr>
          <w:rFonts w:ascii="Arial" w:hAnsi="Arial" w:cs="Arial"/>
        </w:rPr>
        <w:t xml:space="preserve"> </w:t>
      </w:r>
      <w:r w:rsidRPr="00D556DB">
        <w:rPr>
          <w:rFonts w:ascii="Arial" w:hAnsi="Arial" w:cs="Arial"/>
        </w:rPr>
        <w:t>It may well resort to the University provided accommodation in order to facilitate their growth plans</w:t>
      </w:r>
    </w:p>
    <w:p w14:paraId="1F2C175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the absence of additional accommodation coming forward to cater to increased student growth, the inevitability is that demand may increase in the private rented sector in the form of HMOs which in turn could remove larger family-sized accommodation from the </w:t>
      </w:r>
      <w:r w:rsidRPr="00DE1AA1">
        <w:rPr>
          <w:rFonts w:ascii="Arial" w:hAnsi="Arial" w:cs="Arial"/>
        </w:rPr>
        <w:t>market</w:t>
      </w:r>
      <w:r w:rsidRPr="00D556DB">
        <w:rPr>
          <w:rFonts w:ascii="Arial" w:hAnsi="Arial" w:cs="Arial"/>
        </w:rPr>
        <w:t>. The recent rapid increase in demand has meant the University has had to provide alternative accommodation for Undergraduates to whom they guarantee accommodation. This has included letting bedspaces from Chichester College.</w:t>
      </w:r>
    </w:p>
    <w:p w14:paraId="79895E0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Furthermore, research conducted by the Higher Education Statistics Authority shows that the quality of accommodation is an important factor in attracting students, The same research also notes that the current accommodation provision is rated worse than competing universities and thus the University are losing out on potential students.</w:t>
      </w:r>
      <w:r>
        <w:rPr>
          <w:rFonts w:ascii="Arial" w:hAnsi="Arial" w:cs="Arial"/>
        </w:rPr>
        <w:t xml:space="preserve"> </w:t>
      </w:r>
    </w:p>
    <w:p w14:paraId="25E8BCB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well as the aforementioned nursing, the University also provides degree apprenticeships to Rolls Royce. In addition up to 200 bedspaces in vacant accommodation is rented for 8 weeks during the summertime to accommodate horticultural workers. The University is hoping to expand this facility at their Fishbourne Campus.</w:t>
      </w:r>
    </w:p>
    <w:p w14:paraId="6C9D46B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It is also important to the local economy not just through skills and training but the expenditure in local shops and hospitality that the student body provides. Research</w:t>
      </w:r>
      <w:r w:rsidRPr="00D556DB">
        <w:rPr>
          <w:rStyle w:val="FootnoteReference"/>
          <w:rFonts w:ascii="Arial" w:hAnsi="Arial" w:cs="Arial"/>
        </w:rPr>
        <w:footnoteReference w:id="19"/>
      </w:r>
      <w:r w:rsidRPr="00D556DB">
        <w:rPr>
          <w:rFonts w:ascii="Arial" w:hAnsi="Arial" w:cs="Arial"/>
        </w:rPr>
        <w:t xml:space="preserve"> has estimated this to be around £3,825 per annum and the University believes that it will input over £30million into the local economy per annum if it grows to 7,000 students.</w:t>
      </w:r>
    </w:p>
    <w:p w14:paraId="68AFEE0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is recommended that the Council continue to engage with the </w:t>
      </w:r>
      <w:r w:rsidRPr="00DE1AA1">
        <w:rPr>
          <w:rFonts w:ascii="Arial" w:hAnsi="Arial" w:cs="Arial"/>
        </w:rPr>
        <w:t>University</w:t>
      </w:r>
      <w:r w:rsidRPr="00D556DB">
        <w:rPr>
          <w:rFonts w:ascii="Arial" w:hAnsi="Arial" w:cs="Arial"/>
        </w:rPr>
        <w:t xml:space="preserve"> regarding opportunities to provide for additional bedspaces to cater for undergraduate and returning students as the University aims to grow its student population. This is to ensure that demand does not outstrip supply, resulting in unbalanced communities.</w:t>
      </w:r>
    </w:p>
    <w:p w14:paraId="404C022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However, the relatively modest growth of 775 students would not necessitate an increase in the overall supply of housing resulting from the standard method, which already builds in a housing growth above demographic trends.</w:t>
      </w:r>
    </w:p>
    <w:p w14:paraId="3EFA4F34" w14:textId="77777777" w:rsidR="00360825" w:rsidRPr="00DE1AA1" w:rsidRDefault="00360825" w:rsidP="00360825">
      <w:pPr>
        <w:pStyle w:val="Heading2"/>
        <w:rPr>
          <w:rFonts w:ascii="Arial" w:hAnsi="Arial" w:cs="Arial"/>
        </w:rPr>
      </w:pPr>
      <w:r w:rsidRPr="00DE1AA1">
        <w:rPr>
          <w:rFonts w:ascii="Arial" w:hAnsi="Arial" w:cs="Arial"/>
        </w:rPr>
        <w:t>Service Families</w:t>
      </w:r>
    </w:p>
    <w:p w14:paraId="23BD65F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Framework (paragraph 61) seeks to ensure that the housing needs of different groups are assessed and reflected in planning policies. The paragraph lists various </w:t>
      </w:r>
      <w:r w:rsidRPr="00DE1AA1">
        <w:rPr>
          <w:rFonts w:ascii="Arial" w:hAnsi="Arial" w:cs="Arial"/>
        </w:rPr>
        <w:t>different</w:t>
      </w:r>
      <w:r w:rsidRPr="00D556DB">
        <w:rPr>
          <w:rFonts w:ascii="Arial" w:hAnsi="Arial" w:cs="Arial"/>
        </w:rPr>
        <w:t xml:space="preserve"> groups including service families. Military personnel are listed as part of the definition of essential local workers in the Framework under Annex 2. </w:t>
      </w:r>
    </w:p>
    <w:p w14:paraId="33FD9A0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Armed</w:t>
      </w:r>
      <w:r w:rsidRPr="00D556DB">
        <w:rPr>
          <w:rFonts w:ascii="Arial" w:hAnsi="Arial" w:cs="Arial"/>
        </w:rPr>
        <w:t xml:space="preserve"> Forces Covenant (May 2011) was published by the Ministry of Defence (“MOD”) and describes a moral obligation that the Government and the Nation owe to those who serve or have served in the Armed Forces and to their families. With respect to housing, the Covenant states:</w:t>
      </w:r>
    </w:p>
    <w:p w14:paraId="230B14ED" w14:textId="77777777" w:rsidR="00360825" w:rsidRPr="00D556DB" w:rsidRDefault="00360825" w:rsidP="00360825">
      <w:pPr>
        <w:pStyle w:val="BodyText"/>
        <w:numPr>
          <w:ilvl w:val="0"/>
          <w:numId w:val="0"/>
        </w:numPr>
        <w:ind w:left="720"/>
        <w:rPr>
          <w:rFonts w:ascii="Arial" w:hAnsi="Arial" w:cs="Arial"/>
        </w:rPr>
      </w:pPr>
      <w:r w:rsidRPr="00D556DB">
        <w:rPr>
          <w:rFonts w:ascii="Arial" w:hAnsi="Arial" w:cs="Arial"/>
        </w:rPr>
        <w:t>“In addressing the accommodation requirements of Service personnel, the MOD seeks to promote choice, recognising the benefits of stability and home ownership amongst members of the Armed Forces where this is practicable and compatible with Service requirements, and also that their needs alter as they progress through Service and ultimately return to civilian life. Where Serving personnel are entitled to publicly provided accommodation, it should be of good quality, affordable, and suitably located.”</w:t>
      </w:r>
    </w:p>
    <w:p w14:paraId="7B2E90C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They should have priority status in applying for Government-sponsored affordable housing schemes, and Service leavers should retain this status for a period after discharge. Personnel may have access to tailored Armed Forces housing schemes or financial arrangements, depending on their circumstances, to help them in purchasing their own property. Those injured in Service should also </w:t>
      </w:r>
      <w:r w:rsidRPr="00D556DB">
        <w:rPr>
          <w:rFonts w:ascii="Arial" w:hAnsi="Arial" w:cs="Arial"/>
        </w:rPr>
        <w:lastRenderedPageBreak/>
        <w:t>have preferential access to appropriate housing schemes, as well as assistance with necessary adaptations to private housing or Service accommodation whilst serving.”</w:t>
      </w:r>
    </w:p>
    <w:p w14:paraId="4475037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Members of the Armed Forces Community should have the same access to social housing and other housing schemes as any other citizen, and not be disadvantaged in that respect by the requirement for mobility whilst in Service. Government has acted to </w:t>
      </w:r>
      <w:r w:rsidRPr="00DE1AA1">
        <w:rPr>
          <w:rFonts w:ascii="Arial" w:hAnsi="Arial" w:cs="Arial"/>
        </w:rPr>
        <w:t>implement</w:t>
      </w:r>
      <w:r w:rsidRPr="00D556DB">
        <w:rPr>
          <w:rFonts w:ascii="Arial" w:hAnsi="Arial" w:cs="Arial"/>
        </w:rPr>
        <w:t xml:space="preserve"> various measures aimed at strengthening the position of ex-military personnel when seeking to access housing and support. </w:t>
      </w:r>
    </w:p>
    <w:p w14:paraId="5813296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From 2012, Government revised national guidance to include measures to: set new “</w:t>
      </w:r>
      <w:r w:rsidRPr="00DE1AA1">
        <w:rPr>
          <w:rFonts w:ascii="Arial" w:hAnsi="Arial" w:cs="Arial"/>
        </w:rPr>
        <w:t>priority</w:t>
      </w:r>
      <w:r w:rsidRPr="00D556DB">
        <w:rPr>
          <w:rFonts w:ascii="Arial" w:hAnsi="Arial" w:cs="Arial"/>
        </w:rPr>
        <w:t xml:space="preserve"> need” categories to assist homeless ex-service personnel in accordance with the Housing Act 1996; change the rules on local connection to ensure that barriers are removed in accessing social housing; and include ex-military personnel as a priority category in terms of eligibility for certain low-cost home ownership initiatives. </w:t>
      </w:r>
    </w:p>
    <w:p w14:paraId="722906B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has therefore been a national emphasis and obligation to support ex-service personnel in terms of their housing and the rehabilitation care needed to honour the implementation of the Armed Forces Covenant. There are a number of housing schemes that are available to the Service and Ex-Service community under the </w:t>
      </w:r>
      <w:proofErr w:type="spellStart"/>
      <w:r w:rsidRPr="00D556DB">
        <w:rPr>
          <w:rFonts w:ascii="Arial" w:hAnsi="Arial" w:cs="Arial"/>
        </w:rPr>
        <w:t>HomeBuy</w:t>
      </w:r>
      <w:proofErr w:type="spellEnd"/>
      <w:r w:rsidRPr="00D556DB">
        <w:rPr>
          <w:rFonts w:ascii="Arial" w:hAnsi="Arial" w:cs="Arial"/>
        </w:rPr>
        <w:t xml:space="preserve"> umbrella. In addition, the MOD Referral Scheme aims to provide low-cost, rented accommodation for service personnel on leaving the Services. </w:t>
      </w:r>
    </w:p>
    <w:p w14:paraId="2AF3D60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At a local level, Chichester District Council has its own Armed Forces Community Covenant. The Community Covenant is a voluntary statement of mutual support between </w:t>
      </w:r>
      <w:r w:rsidRPr="00DE1AA1">
        <w:rPr>
          <w:rFonts w:ascii="Arial" w:hAnsi="Arial" w:cs="Arial"/>
        </w:rPr>
        <w:t>the</w:t>
      </w:r>
      <w:r w:rsidRPr="00D556DB">
        <w:rPr>
          <w:rFonts w:ascii="Arial" w:hAnsi="Arial" w:cs="Arial"/>
        </w:rPr>
        <w:t xml:space="preserve"> District Council and its local Armed Forces Community. In terms of how the Council intends to uphold the Convent, the Council has said that it will:</w:t>
      </w:r>
    </w:p>
    <w:p w14:paraId="676696E5" w14:textId="77777777" w:rsidR="00360825" w:rsidRPr="00D556DB" w:rsidRDefault="00360825" w:rsidP="00360825">
      <w:pPr>
        <w:pStyle w:val="ListBullet2"/>
        <w:spacing w:after="120"/>
        <w:rPr>
          <w:rFonts w:ascii="Arial" w:hAnsi="Arial" w:cs="Arial"/>
        </w:rPr>
      </w:pPr>
      <w:r w:rsidRPr="00D556DB">
        <w:rPr>
          <w:rFonts w:ascii="Arial" w:hAnsi="Arial" w:cs="Arial"/>
        </w:rPr>
        <w:t>encourage local communities and the Armed Forces community to support each other;</w:t>
      </w:r>
    </w:p>
    <w:p w14:paraId="65B7AC8D" w14:textId="77777777" w:rsidR="00360825" w:rsidRPr="00D556DB" w:rsidRDefault="00360825" w:rsidP="00360825">
      <w:pPr>
        <w:pStyle w:val="ListBullet2"/>
        <w:spacing w:after="120"/>
        <w:rPr>
          <w:rFonts w:ascii="Arial" w:hAnsi="Arial" w:cs="Arial"/>
        </w:rPr>
      </w:pPr>
      <w:r w:rsidRPr="00D556DB">
        <w:rPr>
          <w:rFonts w:ascii="Arial" w:hAnsi="Arial" w:cs="Arial"/>
        </w:rPr>
        <w:t>nurture public understanding and promote awareness of issues affecting the Armed Forces community;</w:t>
      </w:r>
    </w:p>
    <w:p w14:paraId="52638380" w14:textId="77777777" w:rsidR="00360825" w:rsidRPr="00D556DB" w:rsidRDefault="00360825" w:rsidP="00360825">
      <w:pPr>
        <w:pStyle w:val="ListBullet2"/>
        <w:spacing w:after="120"/>
        <w:rPr>
          <w:rFonts w:ascii="Arial" w:hAnsi="Arial" w:cs="Arial"/>
        </w:rPr>
      </w:pPr>
      <w:r w:rsidRPr="00D556DB">
        <w:rPr>
          <w:rFonts w:ascii="Arial" w:hAnsi="Arial" w:cs="Arial"/>
        </w:rPr>
        <w:t>recognise and remember the sacrifices made by the Armed Forces community; and</w:t>
      </w:r>
    </w:p>
    <w:p w14:paraId="4EB89D04" w14:textId="77777777" w:rsidR="00360825" w:rsidRPr="00D556DB" w:rsidRDefault="00360825" w:rsidP="00360825">
      <w:pPr>
        <w:pStyle w:val="ListBullet2"/>
        <w:spacing w:after="360"/>
        <w:rPr>
          <w:rFonts w:ascii="Arial" w:hAnsi="Arial" w:cs="Arial"/>
        </w:rPr>
      </w:pPr>
      <w:r w:rsidRPr="00D556DB">
        <w:rPr>
          <w:rFonts w:ascii="Arial" w:hAnsi="Arial" w:cs="Arial"/>
        </w:rPr>
        <w:t>encourage activities which help to integrate the Armed Forces community into local life.</w:t>
      </w:r>
    </w:p>
    <w:p w14:paraId="1B6C824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Our </w:t>
      </w:r>
      <w:r w:rsidRPr="00DE1AA1">
        <w:rPr>
          <w:rFonts w:ascii="Arial" w:hAnsi="Arial" w:cs="Arial"/>
        </w:rPr>
        <w:t>analysis</w:t>
      </w:r>
      <w:r w:rsidRPr="00D556DB">
        <w:rPr>
          <w:rFonts w:ascii="Arial" w:hAnsi="Arial" w:cs="Arial"/>
        </w:rPr>
        <w:t xml:space="preserve"> of Census data in Chichester shows that there were 833 residents employed by the armed forces living in the District in 2011. Of this total, 57% were living in a household and 43% were living in a communal establishment. This represented 0.7% of the usual resident population aged 16 and over at the time the Census was carried out.</w:t>
      </w:r>
    </w:p>
    <w:p w14:paraId="2CCF1093"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lastRenderedPageBreak/>
        <w:t>Bringing</w:t>
      </w:r>
      <w:r w:rsidRPr="00D556DB">
        <w:rPr>
          <w:rFonts w:ascii="Arial" w:hAnsi="Arial" w:cs="Arial"/>
        </w:rPr>
        <w:t xml:space="preserve"> this information up to date, according to the Ministry of Defence (“MoD”)</w:t>
      </w:r>
      <w:r w:rsidRPr="00D556DB">
        <w:rPr>
          <w:rStyle w:val="FootnoteReference"/>
          <w:rFonts w:ascii="Arial" w:hAnsi="Arial" w:cs="Arial"/>
        </w:rPr>
        <w:footnoteReference w:id="20"/>
      </w:r>
      <w:r w:rsidRPr="00D556DB">
        <w:rPr>
          <w:rFonts w:ascii="Arial" w:hAnsi="Arial" w:cs="Arial"/>
        </w:rPr>
        <w:t>, there were 1,000 military and civilian personnel stationed in Chichester on 1</w:t>
      </w:r>
      <w:r w:rsidRPr="00D556DB">
        <w:rPr>
          <w:rFonts w:ascii="Arial" w:hAnsi="Arial" w:cs="Arial"/>
          <w:vertAlign w:val="superscript"/>
        </w:rPr>
        <w:t>st</w:t>
      </w:r>
      <w:r w:rsidRPr="00D556DB">
        <w:rPr>
          <w:rFonts w:ascii="Arial" w:hAnsi="Arial" w:cs="Arial"/>
        </w:rPr>
        <w:t xml:space="preserve"> April 2020 – almost of all of whom are military personnel. In the District, there is an armed forces base at Thorney Island where Baker Barracks is located. This base hosts the 12</w:t>
      </w:r>
      <w:r w:rsidRPr="00D556DB">
        <w:rPr>
          <w:rFonts w:ascii="Arial" w:hAnsi="Arial" w:cs="Arial"/>
          <w:vertAlign w:val="superscript"/>
        </w:rPr>
        <w:t>th</w:t>
      </w:r>
      <w:r w:rsidRPr="00D556DB">
        <w:rPr>
          <w:rFonts w:ascii="Arial" w:hAnsi="Arial" w:cs="Arial"/>
        </w:rPr>
        <w:t xml:space="preserve"> and 16</w:t>
      </w:r>
      <w:r w:rsidRPr="00D556DB">
        <w:rPr>
          <w:rFonts w:ascii="Arial" w:hAnsi="Arial" w:cs="Arial"/>
          <w:vertAlign w:val="superscript"/>
        </w:rPr>
        <w:t>th</w:t>
      </w:r>
      <w:r w:rsidRPr="00D556DB">
        <w:rPr>
          <w:rFonts w:ascii="Arial" w:hAnsi="Arial" w:cs="Arial"/>
        </w:rPr>
        <w:t xml:space="preserve"> Regiment Royal Artillery. The Figure below shows how the number of personnel has changed over the period 2012-20.</w:t>
      </w:r>
    </w:p>
    <w:p w14:paraId="1EBB9A04" w14:textId="77777777" w:rsidR="00360825" w:rsidRPr="00D556DB" w:rsidRDefault="00360825" w:rsidP="001A7584">
      <w:pPr>
        <w:pStyle w:val="Heading4"/>
        <w:ind w:firstLine="0"/>
      </w:pPr>
      <w:r w:rsidRPr="00D556DB">
        <w:t>- Military and Civilian Personnel, Chichester, 2012-20</w:t>
      </w:r>
    </w:p>
    <w:p w14:paraId="1E10514A" w14:textId="77777777" w:rsidR="00360825" w:rsidRPr="00D556DB" w:rsidRDefault="00360825" w:rsidP="00360825">
      <w:pPr>
        <w:pStyle w:val="BodyText"/>
        <w:keepNext/>
        <w:numPr>
          <w:ilvl w:val="0"/>
          <w:numId w:val="0"/>
        </w:numPr>
        <w:spacing w:after="0" w:line="240" w:lineRule="auto"/>
        <w:rPr>
          <w:rFonts w:ascii="Arial" w:hAnsi="Arial" w:cs="Arial"/>
        </w:rPr>
      </w:pPr>
      <w:r w:rsidRPr="00D556DB">
        <w:rPr>
          <w:rFonts w:ascii="Arial" w:hAnsi="Arial" w:cs="Arial"/>
          <w:noProof/>
        </w:rPr>
        <w:drawing>
          <wp:inline distT="0" distB="0" distL="0" distR="0" wp14:anchorId="678C2F37" wp14:editId="18CBD417">
            <wp:extent cx="5616000" cy="2880000"/>
            <wp:effectExtent l="0" t="0" r="3810" b="15875"/>
            <wp:docPr id="69" name="Chart 69" descr="The Figure shows how the number of personnel has changed over the period 2012-20.  This shows an increase over the last seven years">
              <a:extLst xmlns:a="http://schemas.openxmlformats.org/drawingml/2006/main">
                <a:ext uri="{FF2B5EF4-FFF2-40B4-BE49-F238E27FC236}">
                  <a16:creationId xmlns:a16="http://schemas.microsoft.com/office/drawing/2014/main" id="{7937DFD5-16E4-4939-BE7D-E901D5378A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30B4272"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MOD, Annual Personnel Location Statistics, 2021</w:t>
      </w:r>
    </w:p>
    <w:p w14:paraId="120102F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Recognising the number of armed forces personnel in the District, in addition to District Council publishing an Armed Forces Community Covenant, the County Council has also developed an Armed Forces Strategy. The Strategy sets out that the County has </w:t>
      </w:r>
      <w:r w:rsidRPr="00DE1AA1">
        <w:rPr>
          <w:rFonts w:ascii="Arial" w:hAnsi="Arial" w:cs="Arial"/>
        </w:rPr>
        <w:t>committed</w:t>
      </w:r>
      <w:r w:rsidRPr="00D556DB">
        <w:rPr>
          <w:rFonts w:ascii="Arial" w:hAnsi="Arial" w:cs="Arial"/>
        </w:rPr>
        <w:t xml:space="preserve"> to working with partners to promote the support that is available for service and ex-services people including housing.</w:t>
      </w:r>
    </w:p>
    <w:p w14:paraId="4BDB281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w:t>
      </w:r>
      <w:r w:rsidRPr="00DE1AA1">
        <w:rPr>
          <w:rFonts w:ascii="Arial" w:hAnsi="Arial" w:cs="Arial"/>
        </w:rPr>
        <w:t>addition</w:t>
      </w:r>
      <w:r w:rsidRPr="00D556DB">
        <w:rPr>
          <w:rFonts w:ascii="Arial" w:hAnsi="Arial" w:cs="Arial"/>
        </w:rPr>
        <w:t>, West Sussex County Council is also part of Forces Connect South East which is a cross-border partnership comprising Surrey, Kent, East Sussex, West Sussex and Hampshire County Councils as well as the NHS. The programme is aimed at making it easier for servicemen and women and their families to access public sector services including housing.</w:t>
      </w:r>
    </w:p>
    <w:p w14:paraId="319D4E2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On the basis of the evidence and steps being taken at District and County level, it is not </w:t>
      </w:r>
      <w:r w:rsidRPr="00DE1AA1">
        <w:rPr>
          <w:rFonts w:ascii="Arial" w:hAnsi="Arial" w:cs="Arial"/>
        </w:rPr>
        <w:t>considered</w:t>
      </w:r>
      <w:r w:rsidRPr="00D556DB">
        <w:rPr>
          <w:rFonts w:ascii="Arial" w:hAnsi="Arial" w:cs="Arial"/>
        </w:rPr>
        <w:t xml:space="preserve"> that there is a need for further intervention from the Council in respect of service families.</w:t>
      </w:r>
    </w:p>
    <w:p w14:paraId="7ACBDB32" w14:textId="77777777" w:rsidR="00360825" w:rsidRPr="00DE1AA1" w:rsidRDefault="00360825" w:rsidP="00360825">
      <w:pPr>
        <w:pStyle w:val="Heading2"/>
        <w:rPr>
          <w:rFonts w:ascii="Arial" w:hAnsi="Arial" w:cs="Arial"/>
        </w:rPr>
      </w:pPr>
      <w:r w:rsidRPr="00DE1AA1">
        <w:rPr>
          <w:rFonts w:ascii="Arial" w:hAnsi="Arial" w:cs="Arial"/>
        </w:rPr>
        <w:lastRenderedPageBreak/>
        <w:t>Self and Custom Build</w:t>
      </w:r>
    </w:p>
    <w:p w14:paraId="79A513B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of 1</w:t>
      </w:r>
      <w:r w:rsidRPr="00D556DB">
        <w:rPr>
          <w:rFonts w:ascii="Arial" w:hAnsi="Arial" w:cs="Arial"/>
          <w:vertAlign w:val="superscript"/>
        </w:rPr>
        <w:t>st</w:t>
      </w:r>
      <w:r w:rsidRPr="00D556DB">
        <w:rPr>
          <w:rFonts w:ascii="Arial" w:hAnsi="Arial" w:cs="Arial"/>
        </w:rPr>
        <w:t xml:space="preserve"> April 2016, and in line with the 2015 Act and the Right to Build, relevant authorities in </w:t>
      </w:r>
      <w:r w:rsidRPr="00DE1AA1">
        <w:rPr>
          <w:rFonts w:ascii="Arial" w:hAnsi="Arial" w:cs="Arial"/>
        </w:rPr>
        <w:t>England</w:t>
      </w:r>
      <w:r w:rsidRPr="00D556DB">
        <w:rPr>
          <w:rFonts w:ascii="Arial" w:hAnsi="Arial" w:cs="Arial"/>
        </w:rPr>
        <w:t xml:space="preserve"> are required to have established and publicised a self-build and custom housebuilding register which records those seeking to acquire serviced plots of land in the authority’s area in order to build their own self-build and custom houses.</w:t>
      </w:r>
    </w:p>
    <w:p w14:paraId="4CF2F5D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Chichester</w:t>
      </w:r>
      <w:r w:rsidRPr="00D556DB">
        <w:rPr>
          <w:rFonts w:ascii="Arial" w:hAnsi="Arial" w:cs="Arial"/>
        </w:rPr>
        <w:t xml:space="preserve"> Self-Build and Custom Housebuilding Register was introduced for 1</w:t>
      </w:r>
      <w:r w:rsidRPr="00D556DB">
        <w:rPr>
          <w:rFonts w:ascii="Arial" w:hAnsi="Arial" w:cs="Arial"/>
          <w:vertAlign w:val="superscript"/>
        </w:rPr>
        <w:t>st</w:t>
      </w:r>
      <w:r w:rsidRPr="00D556DB">
        <w:rPr>
          <w:rFonts w:ascii="Arial" w:hAnsi="Arial" w:cs="Arial"/>
        </w:rPr>
        <w:t xml:space="preserve"> April 2016 and there have now been six full base periods</w:t>
      </w:r>
      <w:r w:rsidRPr="00D556DB">
        <w:rPr>
          <w:rStyle w:val="FootnoteReference"/>
          <w:rFonts w:ascii="Arial" w:hAnsi="Arial" w:cs="Arial"/>
        </w:rPr>
        <w:footnoteReference w:id="21"/>
      </w:r>
      <w:r w:rsidRPr="00D556DB">
        <w:rPr>
          <w:rFonts w:ascii="Arial" w:hAnsi="Arial" w:cs="Arial"/>
        </w:rPr>
        <w:t xml:space="preserve"> up to 30</w:t>
      </w:r>
      <w:r w:rsidRPr="00D556DB">
        <w:rPr>
          <w:rFonts w:ascii="Arial" w:hAnsi="Arial" w:cs="Arial"/>
          <w:vertAlign w:val="superscript"/>
        </w:rPr>
        <w:t>th</w:t>
      </w:r>
      <w:r w:rsidRPr="00D556DB">
        <w:rPr>
          <w:rFonts w:ascii="Arial" w:hAnsi="Arial" w:cs="Arial"/>
        </w:rPr>
        <w:t xml:space="preserve"> October 2021. Since 1</w:t>
      </w:r>
      <w:r w:rsidRPr="00D556DB">
        <w:rPr>
          <w:rFonts w:ascii="Arial" w:hAnsi="Arial" w:cs="Arial"/>
          <w:vertAlign w:val="superscript"/>
        </w:rPr>
        <w:t>st</w:t>
      </w:r>
      <w:r w:rsidRPr="00D556DB">
        <w:rPr>
          <w:rFonts w:ascii="Arial" w:hAnsi="Arial" w:cs="Arial"/>
        </w:rPr>
        <w:t xml:space="preserve"> April 2018, the Council has chosen to set a local connection test and require that a fee be paid to join the register. In this instance, the PPG directs the relevant authority to have two parts to their register. All individuals who apply for entry on the register and meet all of the eligibility criteria (including the local connection test) should be entered on Part 1. </w:t>
      </w:r>
    </w:p>
    <w:p w14:paraId="1FCD9A7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Those who meet all of the eligibility criteria except for the local connection test must be entered </w:t>
      </w:r>
      <w:r w:rsidRPr="00DE1AA1">
        <w:rPr>
          <w:rFonts w:ascii="Arial" w:hAnsi="Arial" w:cs="Arial"/>
        </w:rPr>
        <w:t>on</w:t>
      </w:r>
      <w:r w:rsidRPr="00D556DB">
        <w:rPr>
          <w:rFonts w:ascii="Arial" w:hAnsi="Arial" w:cs="Arial"/>
        </w:rPr>
        <w:t xml:space="preserve"> Part 2; however, as per the PPG, Section 2(1) of the 2015 Act places a duty on relevant bodies to have regard to each self-build and custom housebuilding register, including Part 2 of the register (where a register is in two parts). </w:t>
      </w:r>
    </w:p>
    <w:p w14:paraId="2DAB6F8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Council is required to grant sufficient planning permissions to meet the demand identified </w:t>
      </w:r>
      <w:r w:rsidRPr="00DE1AA1">
        <w:rPr>
          <w:rFonts w:ascii="Arial" w:hAnsi="Arial" w:cs="Arial"/>
        </w:rPr>
        <w:t>on</w:t>
      </w:r>
      <w:r w:rsidRPr="00D556DB">
        <w:rPr>
          <w:rFonts w:ascii="Arial" w:hAnsi="Arial" w:cs="Arial"/>
        </w:rPr>
        <w:t xml:space="preserve"> the Register as per the 2015 Act (as amended) and must have regard to the entries on Part 1 and Part 2 when carrying out their planning, housing, land disposal and regeneration functions.</w:t>
      </w:r>
      <w:r>
        <w:rPr>
          <w:rFonts w:ascii="Arial" w:hAnsi="Arial" w:cs="Arial"/>
        </w:rPr>
        <w:t xml:space="preserve"> </w:t>
      </w:r>
      <w:r w:rsidRPr="00D556DB">
        <w:rPr>
          <w:rFonts w:ascii="Arial" w:hAnsi="Arial" w:cs="Arial"/>
        </w:rPr>
        <w:t xml:space="preserve">If assessed over the six base periods, there has been a total of 150 registered expressions of interest in a serviced plot of land. </w:t>
      </w:r>
    </w:p>
    <w:p w14:paraId="24E2F6B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 below provides a base period breakdown of those individuals who have expressed demand for serviced plots of land in Chichester. From 1 July 2018, the Council have had 3 applicants who have been placed on part 2 of the register.</w:t>
      </w:r>
    </w:p>
    <w:p w14:paraId="321EE448" w14:textId="77777777" w:rsidR="00360825" w:rsidRPr="00D556DB" w:rsidRDefault="00360825" w:rsidP="001A7584">
      <w:pPr>
        <w:pStyle w:val="Heading4"/>
        <w:ind w:firstLine="0"/>
      </w:pPr>
      <w:r w:rsidRPr="00D556DB">
        <w:lastRenderedPageBreak/>
        <w:t>Serviced Plot Demand by Base Period in Chichester</w:t>
      </w:r>
    </w:p>
    <w:tbl>
      <w:tblPr>
        <w:tblStyle w:val="TableGrid"/>
        <w:tblW w:w="8784" w:type="dxa"/>
        <w:tblLook w:val="04A0" w:firstRow="1" w:lastRow="0" w:firstColumn="1" w:lastColumn="0" w:noHBand="0" w:noVBand="1"/>
      </w:tblPr>
      <w:tblGrid>
        <w:gridCol w:w="5665"/>
        <w:gridCol w:w="1559"/>
        <w:gridCol w:w="1560"/>
      </w:tblGrid>
      <w:tr w:rsidR="00360825" w:rsidRPr="00DE1AA1" w14:paraId="4E3A3CE8" w14:textId="77777777" w:rsidTr="00C04569">
        <w:tc>
          <w:tcPr>
            <w:tcW w:w="5665" w:type="dxa"/>
            <w:shd w:val="clear" w:color="auto" w:fill="222C56"/>
          </w:tcPr>
          <w:p w14:paraId="66285AEC" w14:textId="77777777" w:rsidR="00360825" w:rsidRPr="00D556DB" w:rsidRDefault="00360825" w:rsidP="00C04569">
            <w:pPr>
              <w:pStyle w:val="BodyText"/>
              <w:keepNext/>
              <w:numPr>
                <w:ilvl w:val="0"/>
                <w:numId w:val="0"/>
              </w:numPr>
              <w:spacing w:after="0" w:line="300" w:lineRule="auto"/>
              <w:rPr>
                <w:rFonts w:ascii="Arial" w:hAnsi="Arial" w:cs="Arial"/>
              </w:rPr>
            </w:pPr>
            <w:bookmarkStart w:id="52" w:name="_Hlk19873760"/>
          </w:p>
        </w:tc>
        <w:tc>
          <w:tcPr>
            <w:tcW w:w="1559" w:type="dxa"/>
            <w:shd w:val="clear" w:color="auto" w:fill="222C56"/>
            <w:vAlign w:val="center"/>
          </w:tcPr>
          <w:p w14:paraId="3534F57D"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Part 1</w:t>
            </w:r>
          </w:p>
        </w:tc>
        <w:tc>
          <w:tcPr>
            <w:tcW w:w="1560" w:type="dxa"/>
            <w:shd w:val="clear" w:color="auto" w:fill="222C56"/>
          </w:tcPr>
          <w:p w14:paraId="4BBA8983"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Part 2</w:t>
            </w:r>
          </w:p>
        </w:tc>
      </w:tr>
      <w:tr w:rsidR="00360825" w:rsidRPr="00DE1AA1" w14:paraId="4B07A029" w14:textId="77777777" w:rsidTr="00C04569">
        <w:tc>
          <w:tcPr>
            <w:tcW w:w="5665" w:type="dxa"/>
          </w:tcPr>
          <w:p w14:paraId="2B3F73B6"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1 (16 August 2015 to 30</w:t>
            </w:r>
            <w:r w:rsidRPr="00D556DB">
              <w:rPr>
                <w:rFonts w:ascii="Arial" w:hAnsi="Arial" w:cs="Arial"/>
                <w:vertAlign w:val="superscript"/>
              </w:rPr>
              <w:t>th</w:t>
            </w:r>
            <w:r w:rsidRPr="00D556DB">
              <w:rPr>
                <w:rFonts w:ascii="Arial" w:hAnsi="Arial" w:cs="Arial"/>
              </w:rPr>
              <w:t xml:space="preserve"> October 2016)</w:t>
            </w:r>
          </w:p>
        </w:tc>
        <w:tc>
          <w:tcPr>
            <w:tcW w:w="1559" w:type="dxa"/>
          </w:tcPr>
          <w:p w14:paraId="3C46E861"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31</w:t>
            </w:r>
          </w:p>
        </w:tc>
        <w:tc>
          <w:tcPr>
            <w:tcW w:w="1560" w:type="dxa"/>
          </w:tcPr>
          <w:p w14:paraId="074DB439"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063FA8DA" w14:textId="77777777" w:rsidTr="00C04569">
        <w:tc>
          <w:tcPr>
            <w:tcW w:w="5665" w:type="dxa"/>
          </w:tcPr>
          <w:p w14:paraId="7E981A3C"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2 (31</w:t>
            </w:r>
            <w:r w:rsidRPr="00D556DB">
              <w:rPr>
                <w:rFonts w:ascii="Arial" w:hAnsi="Arial" w:cs="Arial"/>
                <w:vertAlign w:val="superscript"/>
              </w:rPr>
              <w:t>st</w:t>
            </w:r>
            <w:r w:rsidRPr="00D556DB">
              <w:rPr>
                <w:rFonts w:ascii="Arial" w:hAnsi="Arial" w:cs="Arial"/>
              </w:rPr>
              <w:t xml:space="preserve"> October 2016 to 30</w:t>
            </w:r>
            <w:r w:rsidRPr="00D556DB">
              <w:rPr>
                <w:rFonts w:ascii="Arial" w:hAnsi="Arial" w:cs="Arial"/>
                <w:vertAlign w:val="superscript"/>
              </w:rPr>
              <w:t>th</w:t>
            </w:r>
            <w:r w:rsidRPr="00D556DB">
              <w:rPr>
                <w:rFonts w:ascii="Arial" w:hAnsi="Arial" w:cs="Arial"/>
              </w:rPr>
              <w:t xml:space="preserve"> October 2017)</w:t>
            </w:r>
          </w:p>
        </w:tc>
        <w:tc>
          <w:tcPr>
            <w:tcW w:w="1559" w:type="dxa"/>
          </w:tcPr>
          <w:p w14:paraId="2C336BBB"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79</w:t>
            </w:r>
          </w:p>
        </w:tc>
        <w:tc>
          <w:tcPr>
            <w:tcW w:w="1560" w:type="dxa"/>
          </w:tcPr>
          <w:p w14:paraId="4BB8A931"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2106B555" w14:textId="77777777" w:rsidTr="00C04569">
        <w:tc>
          <w:tcPr>
            <w:tcW w:w="5665" w:type="dxa"/>
          </w:tcPr>
          <w:p w14:paraId="533D63D3"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3 (31</w:t>
            </w:r>
            <w:r w:rsidRPr="00D556DB">
              <w:rPr>
                <w:rFonts w:ascii="Arial" w:hAnsi="Arial" w:cs="Arial"/>
                <w:vertAlign w:val="superscript"/>
              </w:rPr>
              <w:t>st</w:t>
            </w:r>
            <w:r w:rsidRPr="00D556DB">
              <w:rPr>
                <w:rFonts w:ascii="Arial" w:hAnsi="Arial" w:cs="Arial"/>
              </w:rPr>
              <w:t xml:space="preserve"> October 2017 to 30</w:t>
            </w:r>
            <w:r w:rsidRPr="00D556DB">
              <w:rPr>
                <w:rFonts w:ascii="Arial" w:hAnsi="Arial" w:cs="Arial"/>
                <w:vertAlign w:val="superscript"/>
              </w:rPr>
              <w:t>th</w:t>
            </w:r>
            <w:r w:rsidRPr="00D556DB">
              <w:rPr>
                <w:rFonts w:ascii="Arial" w:hAnsi="Arial" w:cs="Arial"/>
              </w:rPr>
              <w:t xml:space="preserve"> October 2018)</w:t>
            </w:r>
          </w:p>
        </w:tc>
        <w:tc>
          <w:tcPr>
            <w:tcW w:w="1559" w:type="dxa"/>
          </w:tcPr>
          <w:p w14:paraId="752B6B11"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39</w:t>
            </w:r>
          </w:p>
        </w:tc>
        <w:tc>
          <w:tcPr>
            <w:tcW w:w="1560" w:type="dxa"/>
          </w:tcPr>
          <w:p w14:paraId="1DB76E14"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64F5D9CE" w14:textId="77777777" w:rsidTr="00C04569">
        <w:tc>
          <w:tcPr>
            <w:tcW w:w="5665" w:type="dxa"/>
          </w:tcPr>
          <w:p w14:paraId="19673CF9"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4 (31</w:t>
            </w:r>
            <w:r w:rsidRPr="00D556DB">
              <w:rPr>
                <w:rFonts w:ascii="Arial" w:hAnsi="Arial" w:cs="Arial"/>
                <w:vertAlign w:val="superscript"/>
              </w:rPr>
              <w:t>st</w:t>
            </w:r>
            <w:r w:rsidRPr="00D556DB">
              <w:rPr>
                <w:rFonts w:ascii="Arial" w:hAnsi="Arial" w:cs="Arial"/>
              </w:rPr>
              <w:t xml:space="preserve"> October 2018 to 30</w:t>
            </w:r>
            <w:r w:rsidRPr="00D556DB">
              <w:rPr>
                <w:rFonts w:ascii="Arial" w:hAnsi="Arial" w:cs="Arial"/>
                <w:vertAlign w:val="superscript"/>
              </w:rPr>
              <w:t>h</w:t>
            </w:r>
            <w:r w:rsidRPr="00D556DB">
              <w:rPr>
                <w:rFonts w:ascii="Arial" w:hAnsi="Arial" w:cs="Arial"/>
              </w:rPr>
              <w:t xml:space="preserve"> October 2019)</w:t>
            </w:r>
          </w:p>
        </w:tc>
        <w:tc>
          <w:tcPr>
            <w:tcW w:w="1559" w:type="dxa"/>
          </w:tcPr>
          <w:p w14:paraId="289ACDB0"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0</w:t>
            </w:r>
          </w:p>
        </w:tc>
        <w:tc>
          <w:tcPr>
            <w:tcW w:w="1560" w:type="dxa"/>
          </w:tcPr>
          <w:p w14:paraId="55D19960"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7AA001F3" w14:textId="77777777" w:rsidTr="00C04569">
        <w:tc>
          <w:tcPr>
            <w:tcW w:w="5665" w:type="dxa"/>
          </w:tcPr>
          <w:p w14:paraId="46B19D2F"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5 (31</w:t>
            </w:r>
            <w:r w:rsidRPr="00D556DB">
              <w:rPr>
                <w:rFonts w:ascii="Arial" w:hAnsi="Arial" w:cs="Arial"/>
                <w:vertAlign w:val="superscript"/>
              </w:rPr>
              <w:t>st</w:t>
            </w:r>
            <w:r w:rsidRPr="00D556DB">
              <w:rPr>
                <w:rFonts w:ascii="Arial" w:hAnsi="Arial" w:cs="Arial"/>
              </w:rPr>
              <w:t xml:space="preserve"> October 2019 to 30</w:t>
            </w:r>
            <w:r w:rsidRPr="00D556DB">
              <w:rPr>
                <w:rFonts w:ascii="Arial" w:hAnsi="Arial" w:cs="Arial"/>
                <w:vertAlign w:val="superscript"/>
              </w:rPr>
              <w:t>th</w:t>
            </w:r>
            <w:r w:rsidRPr="00D556DB">
              <w:rPr>
                <w:rFonts w:ascii="Arial" w:hAnsi="Arial" w:cs="Arial"/>
              </w:rPr>
              <w:t xml:space="preserve"> October 2020)</w:t>
            </w:r>
          </w:p>
        </w:tc>
        <w:tc>
          <w:tcPr>
            <w:tcW w:w="1559" w:type="dxa"/>
          </w:tcPr>
          <w:p w14:paraId="26E7FCC0"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0</w:t>
            </w:r>
          </w:p>
        </w:tc>
        <w:tc>
          <w:tcPr>
            <w:tcW w:w="1560" w:type="dxa"/>
          </w:tcPr>
          <w:p w14:paraId="2CD82213"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0AF2D69D" w14:textId="77777777" w:rsidTr="00C04569">
        <w:tc>
          <w:tcPr>
            <w:tcW w:w="5665" w:type="dxa"/>
          </w:tcPr>
          <w:p w14:paraId="6777B951"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6 (31</w:t>
            </w:r>
            <w:r w:rsidRPr="00D556DB">
              <w:rPr>
                <w:rFonts w:ascii="Arial" w:hAnsi="Arial" w:cs="Arial"/>
                <w:vertAlign w:val="superscript"/>
              </w:rPr>
              <w:t>st</w:t>
            </w:r>
            <w:r w:rsidRPr="00D556DB">
              <w:rPr>
                <w:rFonts w:ascii="Arial" w:hAnsi="Arial" w:cs="Arial"/>
              </w:rPr>
              <w:t xml:space="preserve"> October 2020 to 30</w:t>
            </w:r>
            <w:r w:rsidRPr="00D556DB">
              <w:rPr>
                <w:rFonts w:ascii="Arial" w:hAnsi="Arial" w:cs="Arial"/>
                <w:vertAlign w:val="superscript"/>
              </w:rPr>
              <w:t>th</w:t>
            </w:r>
            <w:r w:rsidRPr="00D556DB">
              <w:rPr>
                <w:rFonts w:ascii="Arial" w:hAnsi="Arial" w:cs="Arial"/>
              </w:rPr>
              <w:t xml:space="preserve"> October 2021)</w:t>
            </w:r>
          </w:p>
        </w:tc>
        <w:tc>
          <w:tcPr>
            <w:tcW w:w="1559" w:type="dxa"/>
          </w:tcPr>
          <w:p w14:paraId="770D43F2"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0</w:t>
            </w:r>
          </w:p>
        </w:tc>
        <w:tc>
          <w:tcPr>
            <w:tcW w:w="1560" w:type="dxa"/>
          </w:tcPr>
          <w:p w14:paraId="52F48DDA"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56AB0413" w14:textId="77777777" w:rsidTr="00C04569">
        <w:tc>
          <w:tcPr>
            <w:tcW w:w="5665" w:type="dxa"/>
            <w:shd w:val="clear" w:color="auto" w:fill="A6A6A6" w:themeFill="background1" w:themeFillShade="A6"/>
          </w:tcPr>
          <w:p w14:paraId="21200686" w14:textId="77777777" w:rsidR="00360825" w:rsidRPr="00D556DB" w:rsidRDefault="00360825" w:rsidP="00C04569">
            <w:pPr>
              <w:pStyle w:val="BodyText"/>
              <w:keepNext/>
              <w:numPr>
                <w:ilvl w:val="0"/>
                <w:numId w:val="0"/>
              </w:numPr>
              <w:spacing w:after="0" w:line="300" w:lineRule="auto"/>
              <w:rPr>
                <w:rFonts w:ascii="Arial" w:hAnsi="Arial" w:cs="Arial"/>
                <w:b/>
                <w:bCs/>
              </w:rPr>
            </w:pPr>
            <w:r w:rsidRPr="00D556DB">
              <w:rPr>
                <w:rFonts w:ascii="Arial" w:hAnsi="Arial" w:cs="Arial"/>
                <w:b/>
                <w:bCs/>
              </w:rPr>
              <w:t>Total</w:t>
            </w:r>
          </w:p>
        </w:tc>
        <w:tc>
          <w:tcPr>
            <w:tcW w:w="1559" w:type="dxa"/>
            <w:shd w:val="clear" w:color="auto" w:fill="A6A6A6" w:themeFill="background1" w:themeFillShade="A6"/>
            <w:vAlign w:val="center"/>
          </w:tcPr>
          <w:p w14:paraId="64A71313" w14:textId="77777777" w:rsidR="00360825" w:rsidRPr="00D556DB" w:rsidRDefault="00360825" w:rsidP="00C04569">
            <w:pPr>
              <w:pStyle w:val="BodyText"/>
              <w:keepNext/>
              <w:numPr>
                <w:ilvl w:val="0"/>
                <w:numId w:val="0"/>
              </w:numPr>
              <w:spacing w:after="0" w:line="300" w:lineRule="auto"/>
              <w:jc w:val="center"/>
              <w:rPr>
                <w:rFonts w:ascii="Arial" w:hAnsi="Arial" w:cs="Arial"/>
                <w:b/>
                <w:bCs/>
              </w:rPr>
            </w:pPr>
            <w:r w:rsidRPr="00D556DB">
              <w:rPr>
                <w:rFonts w:ascii="Arial" w:hAnsi="Arial" w:cs="Arial"/>
                <w:b/>
                <w:bCs/>
              </w:rPr>
              <w:t>149</w:t>
            </w:r>
          </w:p>
        </w:tc>
        <w:tc>
          <w:tcPr>
            <w:tcW w:w="1560" w:type="dxa"/>
            <w:shd w:val="clear" w:color="auto" w:fill="A6A6A6" w:themeFill="background1" w:themeFillShade="A6"/>
          </w:tcPr>
          <w:p w14:paraId="7893BC48" w14:textId="77777777" w:rsidR="00360825" w:rsidRPr="00D556DB" w:rsidRDefault="00360825" w:rsidP="00C04569">
            <w:pPr>
              <w:pStyle w:val="BodyText"/>
              <w:keepNext/>
              <w:numPr>
                <w:ilvl w:val="0"/>
                <w:numId w:val="0"/>
              </w:numPr>
              <w:spacing w:after="0" w:line="300" w:lineRule="auto"/>
              <w:jc w:val="center"/>
              <w:rPr>
                <w:rFonts w:ascii="Arial" w:hAnsi="Arial" w:cs="Arial"/>
                <w:b/>
                <w:bCs/>
              </w:rPr>
            </w:pPr>
            <w:r w:rsidRPr="00D556DB">
              <w:rPr>
                <w:rFonts w:ascii="Arial" w:hAnsi="Arial" w:cs="Arial"/>
                <w:b/>
                <w:bCs/>
              </w:rPr>
              <w:t>3</w:t>
            </w:r>
          </w:p>
        </w:tc>
      </w:tr>
    </w:tbl>
    <w:bookmarkEnd w:id="52"/>
    <w:p w14:paraId="79C838B9" w14:textId="77777777" w:rsidR="00360825" w:rsidRPr="00D556DB" w:rsidRDefault="00360825" w:rsidP="00360825">
      <w:pPr>
        <w:pStyle w:val="BodyText"/>
        <w:numPr>
          <w:ilvl w:val="0"/>
          <w:numId w:val="0"/>
        </w:numPr>
        <w:spacing w:before="360"/>
        <w:rPr>
          <w:rFonts w:ascii="Arial" w:hAnsi="Arial" w:cs="Arial"/>
        </w:rPr>
      </w:pPr>
      <w:r w:rsidRPr="00D556DB">
        <w:rPr>
          <w:rFonts w:ascii="Arial" w:hAnsi="Arial" w:cs="Arial"/>
        </w:rPr>
        <w:t>Source: CDC Self and Custom Build Register</w:t>
      </w:r>
    </w:p>
    <w:p w14:paraId="1134F9A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It is worth highlighting that a survey</w:t>
      </w:r>
      <w:r w:rsidRPr="00D556DB">
        <w:rPr>
          <w:rStyle w:val="FootnoteReference"/>
          <w:rFonts w:ascii="Arial" w:hAnsi="Arial" w:cs="Arial"/>
        </w:rPr>
        <w:footnoteReference w:id="22"/>
      </w:r>
      <w:r w:rsidRPr="00D556DB">
        <w:rPr>
          <w:rFonts w:ascii="Arial" w:hAnsi="Arial" w:cs="Arial"/>
        </w:rPr>
        <w:t xml:space="preserve"> undertaken by YouGov on behalf of the</w:t>
      </w:r>
      <w:r w:rsidRPr="00D556DB">
        <w:rPr>
          <w:rFonts w:ascii="Arial" w:hAnsi="Arial" w:cs="Arial"/>
          <w:i/>
          <w:iCs/>
        </w:rPr>
        <w:t xml:space="preserve"> </w:t>
      </w:r>
      <w:r w:rsidRPr="00D556DB">
        <w:rPr>
          <w:rFonts w:ascii="Arial" w:hAnsi="Arial" w:cs="Arial"/>
        </w:rPr>
        <w:t xml:space="preserve">National </w:t>
      </w:r>
      <w:r w:rsidRPr="00DE1AA1">
        <w:rPr>
          <w:rFonts w:ascii="Arial" w:hAnsi="Arial" w:cs="Arial"/>
        </w:rPr>
        <w:t>Custom</w:t>
      </w:r>
      <w:r w:rsidRPr="00D556DB">
        <w:rPr>
          <w:rFonts w:ascii="Arial" w:hAnsi="Arial" w:cs="Arial"/>
        </w:rPr>
        <w:t xml:space="preserve"> and Self-Build Association (“</w:t>
      </w:r>
      <w:proofErr w:type="spellStart"/>
      <w:r w:rsidRPr="00D556DB">
        <w:rPr>
          <w:rFonts w:ascii="Arial" w:hAnsi="Arial" w:cs="Arial"/>
        </w:rPr>
        <w:t>NaCSBA</w:t>
      </w:r>
      <w:proofErr w:type="spellEnd"/>
      <w:r w:rsidRPr="00D556DB">
        <w:rPr>
          <w:rFonts w:ascii="Arial" w:hAnsi="Arial" w:cs="Arial"/>
        </w:rPr>
        <w:t xml:space="preserve">”) in October 2020 found that awareness of the Right to Build legislation is low with 83% of people unaware that the local authority self-build registers exist. As a result, the number of individuals on a local authority’s self-build register may underestimate demand. </w:t>
      </w:r>
    </w:p>
    <w:p w14:paraId="385A83F7" w14:textId="77777777" w:rsidR="00360825" w:rsidRPr="00D556DB" w:rsidRDefault="00360825" w:rsidP="00360825">
      <w:pPr>
        <w:pStyle w:val="Heading3"/>
        <w:spacing w:before="0"/>
        <w:rPr>
          <w:rFonts w:ascii="Arial" w:hAnsi="Arial" w:cs="Arial"/>
        </w:rPr>
      </w:pPr>
      <w:r w:rsidRPr="00D556DB">
        <w:rPr>
          <w:rFonts w:ascii="Arial" w:hAnsi="Arial" w:cs="Arial"/>
        </w:rPr>
        <w:t xml:space="preserve">Broader Demand Evidence </w:t>
      </w:r>
    </w:p>
    <w:p w14:paraId="03855DB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order to supplement the data from the Council’s own register, we have looked to </w:t>
      </w:r>
      <w:r w:rsidRPr="00DE1AA1">
        <w:rPr>
          <w:rFonts w:ascii="Arial" w:hAnsi="Arial" w:cs="Arial"/>
        </w:rPr>
        <w:t>secondary</w:t>
      </w:r>
      <w:r w:rsidRPr="00D556DB">
        <w:rPr>
          <w:rFonts w:ascii="Arial" w:hAnsi="Arial" w:cs="Arial"/>
        </w:rPr>
        <w:t xml:space="preserve"> sources as recommended by the PPG, which for this report is data from </w:t>
      </w:r>
      <w:proofErr w:type="spellStart"/>
      <w:r w:rsidRPr="00D556DB">
        <w:rPr>
          <w:rFonts w:ascii="Arial" w:hAnsi="Arial" w:cs="Arial"/>
        </w:rPr>
        <w:t>NaCSBA</w:t>
      </w:r>
      <w:proofErr w:type="spellEnd"/>
      <w:r w:rsidRPr="00D556DB">
        <w:rPr>
          <w:rFonts w:ascii="Arial" w:hAnsi="Arial" w:cs="Arial"/>
        </w:rPr>
        <w:t xml:space="preserve"> - the national association for the custom and self-build housing sector.</w:t>
      </w:r>
    </w:p>
    <w:p w14:paraId="2E691E2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First, </w:t>
      </w:r>
      <w:r w:rsidRPr="00DE1AA1">
        <w:rPr>
          <w:rFonts w:ascii="Arial" w:hAnsi="Arial" w:cs="Arial"/>
        </w:rPr>
        <w:t>it</w:t>
      </w:r>
      <w:r w:rsidRPr="00D556DB">
        <w:rPr>
          <w:rFonts w:ascii="Arial" w:hAnsi="Arial" w:cs="Arial"/>
        </w:rPr>
        <w:t xml:space="preserve"> is worth highlighting that the recent October 2020 survey undertaken by YouGov on behalf of </w:t>
      </w:r>
      <w:proofErr w:type="spellStart"/>
      <w:r w:rsidRPr="00D556DB">
        <w:rPr>
          <w:rFonts w:ascii="Arial" w:hAnsi="Arial" w:cs="Arial"/>
        </w:rPr>
        <w:t>NaCSBA</w:t>
      </w:r>
      <w:proofErr w:type="spellEnd"/>
      <w:r w:rsidRPr="00D556DB">
        <w:rPr>
          <w:rFonts w:ascii="Arial" w:hAnsi="Arial" w:cs="Arial"/>
        </w:rPr>
        <w:t xml:space="preserve"> found that 1 in 3 people (32%) are interested in building their own home at some point in the future, including 12% who said they were very interested. Notably, almost half (48%) of those aged between 18 and 24 were interested in building their own home, compared to just 18% of those aged 55 and over.</w:t>
      </w:r>
      <w:r>
        <w:rPr>
          <w:rFonts w:ascii="Arial" w:hAnsi="Arial" w:cs="Arial"/>
        </w:rPr>
        <w:t xml:space="preserve"> </w:t>
      </w:r>
      <w:r w:rsidRPr="00D556DB">
        <w:rPr>
          <w:rFonts w:ascii="Arial" w:hAnsi="Arial" w:cs="Arial"/>
        </w:rPr>
        <w:t>This is notable as, traditionally, self-build has been seen as the reserve of older members of society aged 55 and over, with equity in their property</w:t>
      </w:r>
    </w:p>
    <w:p w14:paraId="11B6B4D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Second, we can draw on </w:t>
      </w:r>
      <w:proofErr w:type="spellStart"/>
      <w:r w:rsidRPr="00D556DB">
        <w:rPr>
          <w:rFonts w:ascii="Arial" w:hAnsi="Arial" w:cs="Arial"/>
        </w:rPr>
        <w:t>NaCSBA</w:t>
      </w:r>
      <w:proofErr w:type="spellEnd"/>
      <w:r w:rsidRPr="00D556DB">
        <w:rPr>
          <w:rFonts w:ascii="Arial" w:hAnsi="Arial" w:cs="Arial"/>
        </w:rPr>
        <w:t xml:space="preserve"> data to better understand the level of demand for serviced plots in Chichester in relative terms. The association has recently published analysis with supporting maps and commentary titled “Mapping the Right to Build” in 2019. This includes an output on the demand for serviced plots as a proportion of total population relative to all other local authorities across England. One of the key maps within the report highlights the areas of strongest demand and this is shown in the Figure below.</w:t>
      </w:r>
    </w:p>
    <w:p w14:paraId="2945049C" w14:textId="77777777" w:rsidR="00360825" w:rsidRPr="00D556DB" w:rsidRDefault="00360825" w:rsidP="001A7584">
      <w:pPr>
        <w:pStyle w:val="Heading4"/>
        <w:ind w:firstLine="0"/>
      </w:pPr>
      <w:r w:rsidRPr="00D556DB">
        <w:lastRenderedPageBreak/>
        <w:t>Overall Demand for Self-Build Plots per 100,000 of Population</w:t>
      </w:r>
    </w:p>
    <w:p w14:paraId="57CEA059" w14:textId="77777777" w:rsidR="00360825" w:rsidRPr="00D556DB" w:rsidRDefault="00360825" w:rsidP="00360825">
      <w:pPr>
        <w:pStyle w:val="BodyText"/>
        <w:numPr>
          <w:ilvl w:val="1"/>
          <w:numId w:val="0"/>
        </w:numPr>
        <w:spacing w:after="0"/>
        <w:rPr>
          <w:rFonts w:ascii="Arial" w:hAnsi="Arial" w:cs="Arial"/>
        </w:rPr>
      </w:pPr>
      <w:r w:rsidRPr="00D556DB">
        <w:rPr>
          <w:rFonts w:ascii="Arial" w:hAnsi="Arial" w:cs="Arial"/>
          <w:noProof/>
        </w:rPr>
        <w:drawing>
          <wp:anchor distT="0" distB="0" distL="114300" distR="114300" simplePos="0" relativeHeight="251665408" behindDoc="0" locked="0" layoutInCell="1" allowOverlap="1" wp14:anchorId="71A45935" wp14:editId="0EA69584">
            <wp:simplePos x="0" y="0"/>
            <wp:positionH relativeFrom="margin">
              <wp:posOffset>25535</wp:posOffset>
            </wp:positionH>
            <wp:positionV relativeFrom="paragraph">
              <wp:posOffset>34290</wp:posOffset>
            </wp:positionV>
            <wp:extent cx="2549048" cy="402482"/>
            <wp:effectExtent l="19050" t="19050" r="22860" b="17145"/>
            <wp:wrapNone/>
            <wp:docPr id="7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a:extLst>
                        <a:ext uri="{C183D7F6-B498-43B3-948B-1728B52AA6E4}">
                          <adec:decorative xmlns:adec="http://schemas.microsoft.com/office/drawing/2017/decorative" val="1"/>
                        </a:ext>
                      </a:extLst>
                    </pic:cNvPr>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2549048" cy="402482"/>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6DB">
        <w:rPr>
          <w:rFonts w:ascii="Arial" w:hAnsi="Arial" w:cs="Arial"/>
          <w:noProof/>
        </w:rPr>
        <w:drawing>
          <wp:inline distT="0" distB="0" distL="0" distR="0" wp14:anchorId="00DD8F42" wp14:editId="554595D6">
            <wp:extent cx="5579745" cy="5808345"/>
            <wp:effectExtent l="19050" t="19050" r="20955" b="20955"/>
            <wp:docPr id="70" name="Picture 70" descr="The map demonstrates that Chichester has mid-levels of demand per 100,000 of the population. The data which sits behind the map states that there is demand from 125 persons per 100,000 in Chichester which places the City in the top half of authorities in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he map demonstrates that Chichester has mid-levels of demand per 100,000 of the population. The data which sits behind the map states that there is demand from 125 persons per 100,000 in Chichester which places the City in the top half of authorities in England."/>
                    <pic:cNvPicPr/>
                  </pic:nvPicPr>
                  <pic:blipFill>
                    <a:blip r:embed="rId58" cstate="email">
                      <a:extLst>
                        <a:ext uri="{28A0092B-C50C-407E-A947-70E740481C1C}">
                          <a14:useLocalDpi xmlns:a14="http://schemas.microsoft.com/office/drawing/2010/main"/>
                        </a:ext>
                      </a:extLst>
                    </a:blip>
                    <a:stretch>
                      <a:fillRect/>
                    </a:stretch>
                  </pic:blipFill>
                  <pic:spPr>
                    <a:xfrm>
                      <a:off x="0" y="0"/>
                      <a:ext cx="5579745" cy="5808345"/>
                    </a:xfrm>
                    <a:prstGeom prst="rect">
                      <a:avLst/>
                    </a:prstGeom>
                    <a:ln>
                      <a:solidFill>
                        <a:schemeClr val="bg1">
                          <a:lumMod val="75000"/>
                        </a:schemeClr>
                      </a:solidFill>
                    </a:ln>
                  </pic:spPr>
                </pic:pic>
              </a:graphicData>
            </a:graphic>
          </wp:inline>
        </w:drawing>
      </w:r>
    </w:p>
    <w:p w14:paraId="2CEA61B5" w14:textId="77777777" w:rsidR="00360825" w:rsidRPr="00D556DB" w:rsidRDefault="00360825" w:rsidP="00360825">
      <w:pPr>
        <w:pStyle w:val="BodyText"/>
        <w:numPr>
          <w:ilvl w:val="0"/>
          <w:numId w:val="0"/>
        </w:numPr>
        <w:rPr>
          <w:rFonts w:ascii="Arial" w:hAnsi="Arial" w:cs="Arial"/>
          <w:i/>
          <w:iCs/>
        </w:rPr>
      </w:pPr>
      <w:r w:rsidRPr="00D556DB">
        <w:rPr>
          <w:rStyle w:val="Emphasis"/>
          <w:rFonts w:ascii="Arial" w:hAnsi="Arial" w:cs="Arial"/>
        </w:rPr>
        <w:t xml:space="preserve">Source: </w:t>
      </w:r>
      <w:proofErr w:type="spellStart"/>
      <w:r w:rsidRPr="00D556DB">
        <w:rPr>
          <w:rStyle w:val="Emphasis"/>
          <w:rFonts w:ascii="Arial" w:hAnsi="Arial" w:cs="Arial"/>
        </w:rPr>
        <w:t>NaCSBA</w:t>
      </w:r>
      <w:proofErr w:type="spellEnd"/>
      <w:r w:rsidRPr="00D556DB">
        <w:rPr>
          <w:rStyle w:val="Emphasis"/>
          <w:rFonts w:ascii="Arial" w:hAnsi="Arial" w:cs="Arial"/>
        </w:rPr>
        <w:t xml:space="preserve"> “Mapping the Right to Build,” 2020</w:t>
      </w:r>
    </w:p>
    <w:p w14:paraId="36B31B6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map reflects register data from local authorities across the country with Chichester clearly highlighted. The map demonstrates that Chichester has mid-levels of demand per 100,000 of the population. The data which sits behind the map states that there is </w:t>
      </w:r>
      <w:r w:rsidRPr="00DE1AA1">
        <w:rPr>
          <w:rFonts w:ascii="Arial" w:hAnsi="Arial" w:cs="Arial"/>
        </w:rPr>
        <w:t>demand</w:t>
      </w:r>
      <w:r w:rsidRPr="00D556DB">
        <w:rPr>
          <w:rFonts w:ascii="Arial" w:hAnsi="Arial" w:cs="Arial"/>
        </w:rPr>
        <w:t xml:space="preserve"> from 125 persons per 100,000 in Chichester which places the City in the top half of authorities in England.</w:t>
      </w:r>
    </w:p>
    <w:p w14:paraId="102EC5D7" w14:textId="77777777" w:rsidR="00360825" w:rsidRPr="00D556DB" w:rsidRDefault="00360825" w:rsidP="00360825">
      <w:pPr>
        <w:pStyle w:val="Heading3"/>
        <w:rPr>
          <w:rFonts w:ascii="Arial" w:hAnsi="Arial" w:cs="Arial"/>
        </w:rPr>
      </w:pPr>
      <w:r w:rsidRPr="00D556DB">
        <w:rPr>
          <w:rFonts w:ascii="Arial" w:hAnsi="Arial" w:cs="Arial"/>
        </w:rPr>
        <w:t>Supporting the Self-Build and Custom Housebuilding</w:t>
      </w:r>
    </w:p>
    <w:p w14:paraId="6D687BE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is clear that there is demand for self-build and custom housebuilding serviced plots of land in Chichester as over the last five base periods, there has been at total of 150 entries. Set </w:t>
      </w:r>
      <w:r w:rsidRPr="00DE1AA1">
        <w:rPr>
          <w:rFonts w:ascii="Arial" w:hAnsi="Arial" w:cs="Arial"/>
        </w:rPr>
        <w:t>in</w:t>
      </w:r>
      <w:r w:rsidRPr="00D556DB">
        <w:rPr>
          <w:rFonts w:ascii="Arial" w:hAnsi="Arial" w:cs="Arial"/>
        </w:rPr>
        <w:t xml:space="preserve"> context, data from </w:t>
      </w:r>
      <w:proofErr w:type="spellStart"/>
      <w:r w:rsidRPr="00D556DB">
        <w:rPr>
          <w:rFonts w:ascii="Arial" w:hAnsi="Arial" w:cs="Arial"/>
        </w:rPr>
        <w:t>NaCSBA</w:t>
      </w:r>
      <w:proofErr w:type="spellEnd"/>
      <w:r w:rsidRPr="00D556DB">
        <w:rPr>
          <w:rFonts w:ascii="Arial" w:hAnsi="Arial" w:cs="Arial"/>
        </w:rPr>
        <w:t xml:space="preserve"> research indicates that demand is mid-level with 125 individuals per 100,000 of the population on the register.</w:t>
      </w:r>
    </w:p>
    <w:p w14:paraId="5C6652F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The Self-</w:t>
      </w:r>
      <w:r w:rsidRPr="00DE1AA1">
        <w:rPr>
          <w:rFonts w:ascii="Arial" w:hAnsi="Arial" w:cs="Arial"/>
        </w:rPr>
        <w:t>Build</w:t>
      </w:r>
      <w:r w:rsidRPr="00D556DB">
        <w:rPr>
          <w:rFonts w:ascii="Arial" w:hAnsi="Arial" w:cs="Arial"/>
        </w:rPr>
        <w:t xml:space="preserve"> and Custom Housebuilding PPG sets out how authorities can increase the number of planning permissions which are suitable for self-build and custom housebuilding and support the sector. The PPG</w:t>
      </w:r>
      <w:r w:rsidRPr="00D556DB">
        <w:rPr>
          <w:rStyle w:val="FootnoteReference"/>
          <w:rFonts w:ascii="Arial" w:hAnsi="Arial" w:cs="Arial"/>
        </w:rPr>
        <w:footnoteReference w:id="23"/>
      </w:r>
      <w:r w:rsidRPr="00D556DB">
        <w:rPr>
          <w:rFonts w:ascii="Arial" w:hAnsi="Arial" w:cs="Arial"/>
        </w:rPr>
        <w:t xml:space="preserve"> is clear that authorities should consider how local planning policies may address identified requirements for self and custom housebuilding to ensure enough serviced plots with suitable permission come forward and can focus on playing a key role in facilitating relationships to bring land forward.</w:t>
      </w:r>
    </w:p>
    <w:p w14:paraId="5C89A5E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w:t>
      </w:r>
      <w:r w:rsidRPr="00DE1AA1">
        <w:rPr>
          <w:rFonts w:ascii="Arial" w:hAnsi="Arial" w:cs="Arial"/>
        </w:rPr>
        <w:t>are</w:t>
      </w:r>
      <w:r w:rsidRPr="00D556DB">
        <w:rPr>
          <w:rFonts w:ascii="Arial" w:hAnsi="Arial" w:cs="Arial"/>
        </w:rPr>
        <w:t xml:space="preserve"> a number of measures which can be used to do this, including but not limited to:</w:t>
      </w:r>
    </w:p>
    <w:p w14:paraId="27AF208F" w14:textId="77777777" w:rsidR="00360825" w:rsidRPr="00D556DB" w:rsidRDefault="00360825" w:rsidP="00360825">
      <w:pPr>
        <w:pStyle w:val="ListBullet2"/>
        <w:rPr>
          <w:rFonts w:ascii="Arial" w:hAnsi="Arial" w:cs="Arial"/>
        </w:rPr>
      </w:pPr>
      <w:r w:rsidRPr="00D556DB">
        <w:rPr>
          <w:rFonts w:ascii="Arial" w:hAnsi="Arial" w:cs="Arial"/>
        </w:rPr>
        <w:t>supporting Neighbourhood Planning groups where they choose to include self-build and custom build housing policies in their plans;</w:t>
      </w:r>
    </w:p>
    <w:p w14:paraId="0480CEEA" w14:textId="77777777" w:rsidR="00360825" w:rsidRPr="00D556DB" w:rsidRDefault="00360825" w:rsidP="00360825">
      <w:pPr>
        <w:pStyle w:val="ListBullet2"/>
        <w:rPr>
          <w:rFonts w:ascii="Arial" w:hAnsi="Arial" w:cs="Arial"/>
        </w:rPr>
      </w:pPr>
      <w:r w:rsidRPr="00D556DB">
        <w:rPr>
          <w:rFonts w:ascii="Arial" w:hAnsi="Arial" w:cs="Arial"/>
        </w:rPr>
        <w:t>working with Homes England to unlock land and sites in wider public ownership to deliver self-build and custom build housing; and</w:t>
      </w:r>
    </w:p>
    <w:p w14:paraId="5C8EACFD" w14:textId="77777777" w:rsidR="00360825" w:rsidRPr="00D556DB" w:rsidRDefault="00360825" w:rsidP="00360825">
      <w:pPr>
        <w:pStyle w:val="ListBullet2"/>
        <w:rPr>
          <w:rFonts w:ascii="Arial" w:hAnsi="Arial" w:cs="Arial"/>
        </w:rPr>
      </w:pPr>
      <w:r w:rsidRPr="00D556DB">
        <w:rPr>
          <w:rFonts w:ascii="Arial" w:hAnsi="Arial" w:cs="Arial"/>
        </w:rPr>
        <w:t>when engaging with developers and landowners who own sites that are suitable for housing, encouraging them to consider self-build and custom housebuilding, and facilitating access to those on the register where the landowner is interested;</w:t>
      </w:r>
    </w:p>
    <w:p w14:paraId="688F58C6" w14:textId="77777777" w:rsidR="00360825" w:rsidRPr="00D556DB" w:rsidRDefault="00360825" w:rsidP="00360825">
      <w:pPr>
        <w:pStyle w:val="ListBullet2"/>
        <w:spacing w:after="360"/>
        <w:rPr>
          <w:rFonts w:ascii="Arial" w:hAnsi="Arial" w:cs="Arial"/>
        </w:rPr>
      </w:pPr>
      <w:r w:rsidRPr="00D556DB">
        <w:rPr>
          <w:rFonts w:ascii="Arial" w:hAnsi="Arial" w:cs="Arial"/>
        </w:rPr>
        <w:t>working with local partners, such as Housing Associations and third sector groups, to custom build affordable housing for veterans and other groups in acute housing need.</w:t>
      </w:r>
    </w:p>
    <w:p w14:paraId="5E4D8F3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Chichester Local Plan adopted in July 2015 is silent on self-build and custom build housing. Iceni would note that an increasing number of local planning authorities have adopted specific self-build and custom housebuilding policies in respective Local Plans to encourage delivery, promote and boost housing supply. There are also a number of appeal decisions in the context of decision-taking which have found that paragraph 11(d) </w:t>
      </w:r>
      <w:r w:rsidRPr="00DE1AA1">
        <w:rPr>
          <w:rFonts w:ascii="Arial" w:hAnsi="Arial" w:cs="Arial"/>
        </w:rPr>
        <w:t>of</w:t>
      </w:r>
      <w:r w:rsidRPr="00D556DB">
        <w:rPr>
          <w:rFonts w:ascii="Arial" w:hAnsi="Arial" w:cs="Arial"/>
        </w:rPr>
        <w:t xml:space="preserve"> the Framework is engaged in the absence of specific policy on self-build housing when this is the focus of a planning application.</w:t>
      </w:r>
    </w:p>
    <w:p w14:paraId="607C821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 specific policy would typically express support for self-build and custom housebuilding and </w:t>
      </w:r>
      <w:r w:rsidRPr="00DE1AA1">
        <w:rPr>
          <w:rFonts w:ascii="Arial" w:hAnsi="Arial" w:cs="Arial"/>
        </w:rPr>
        <w:t>require</w:t>
      </w:r>
      <w:r w:rsidRPr="00D556DB">
        <w:rPr>
          <w:rFonts w:ascii="Arial" w:hAnsi="Arial" w:cs="Arial"/>
        </w:rPr>
        <w:t xml:space="preserve"> that a minimum proportion of plots within development schemes (often over a certain size) are offered to self-builders or as custom-build plots and/or allocation of sites solely for the use. This is often known as the “Teignbridge Rule” after the first District Council to adopt the first self-build policy. In this instance, 5% of all developable housing land is allocated for custom and self-build on larger sites. </w:t>
      </w:r>
    </w:p>
    <w:p w14:paraId="23981E1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Iceni consider that in order to respond to demand in the sector, and in response to the PPG’s requirements, the Council should support, through planning policy, the submission and delivery of </w:t>
      </w:r>
      <w:r w:rsidRPr="00D556DB">
        <w:rPr>
          <w:rFonts w:ascii="Arial" w:hAnsi="Arial" w:cs="Arial"/>
        </w:rPr>
        <w:lastRenderedPageBreak/>
        <w:t>self-build and custom housebuilding sites, where opportunities for land arise and where such schemes are consistent with other planning policies.</w:t>
      </w:r>
    </w:p>
    <w:bookmarkEnd w:id="49"/>
    <w:p w14:paraId="1DC697B2" w14:textId="77777777" w:rsidR="00360825" w:rsidRPr="00DE1AA1" w:rsidRDefault="00360825" w:rsidP="00360825">
      <w:pPr>
        <w:pStyle w:val="Heading2"/>
        <w:rPr>
          <w:rFonts w:ascii="Arial" w:hAnsi="Arial" w:cs="Arial"/>
        </w:rPr>
      </w:pPr>
      <w:r w:rsidRPr="00DE1AA1">
        <w:rPr>
          <w:rFonts w:ascii="Arial" w:hAnsi="Arial" w:cs="Arial"/>
        </w:rPr>
        <w:t>Summary</w:t>
      </w:r>
    </w:p>
    <w:p w14:paraId="66B64481" w14:textId="77777777" w:rsidR="00360825" w:rsidRPr="00D556DB" w:rsidRDefault="00360825" w:rsidP="00360825">
      <w:pPr>
        <w:pStyle w:val="Heading3"/>
        <w:rPr>
          <w:rFonts w:ascii="Arial" w:hAnsi="Arial" w:cs="Arial"/>
        </w:rPr>
      </w:pPr>
      <w:r w:rsidRPr="00D556DB">
        <w:rPr>
          <w:rFonts w:ascii="Arial" w:hAnsi="Arial" w:cs="Arial"/>
        </w:rPr>
        <w:t>Homeless Households</w:t>
      </w:r>
    </w:p>
    <w:p w14:paraId="796EF595"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Chichester has had an average of 67 households owed a prevention (threatened with homelessness) or relief (actually homeless) duty each quarter since 1st April 2018. To put this in context, this equates to 1.2 households per every 1,000 households in Chichester, compared with 2.5 in the South East and 2.9 across England. </w:t>
      </w:r>
    </w:p>
    <w:p w14:paraId="30D04479"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Numbers are increasing in comparison to long term trends although they have fallen significantly over the period from June 2018 to December 2020.</w:t>
      </w:r>
    </w:p>
    <w:p w14:paraId="40DFACCD"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There is a significant overlap in the group presenting themselves as homeless and those with mental health problems, physical disabilities, drug and alcohol dependencies as well as other support needs. </w:t>
      </w:r>
    </w:p>
    <w:p w14:paraId="5FF4FBF4" w14:textId="77777777" w:rsidR="00360825" w:rsidRPr="00D556DB" w:rsidRDefault="00360825" w:rsidP="00360825">
      <w:pPr>
        <w:pStyle w:val="Heading3"/>
        <w:rPr>
          <w:rFonts w:ascii="Arial" w:hAnsi="Arial" w:cs="Arial"/>
        </w:rPr>
      </w:pPr>
      <w:r w:rsidRPr="00D556DB">
        <w:rPr>
          <w:rFonts w:ascii="Arial" w:hAnsi="Arial" w:cs="Arial"/>
        </w:rPr>
        <w:t>Students</w:t>
      </w:r>
    </w:p>
    <w:p w14:paraId="5472A46B"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The University of Chichester is a rapidly growing University both in terms of student roll and reputation. The University is at the beginning of a process called Project Cornerstone which will see the University grow its current full-time student numbers from 4,400 in 2020 to around 6,000 by 2025/26 and beyond this to 7,000 students. </w:t>
      </w:r>
    </w:p>
    <w:p w14:paraId="4D1A8279"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In order to meet the accommodation demand from the growing student body the University is seeking to deliver 450 additional bedspaces; 250 of which will be located in Chichester. The University is also undertaking a Demand Study drilling into the need for additional accommodation and will act on its findings.</w:t>
      </w:r>
    </w:p>
    <w:p w14:paraId="0D0C417D"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It is recommended that the Council should continue to engage with the University regarding opportunities to provide additional bedspaces to cater for Undergraduates and other year groups. This is to ensure that demand does not outstrip supply, resulting in unbalanced communities.</w:t>
      </w:r>
    </w:p>
    <w:p w14:paraId="2A39109C"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This is also important to the local economy and the wider goals of improving affordability will also help retain more students.</w:t>
      </w:r>
    </w:p>
    <w:p w14:paraId="6A3EECFD" w14:textId="77777777" w:rsidR="00360825" w:rsidRPr="00D556DB" w:rsidRDefault="00360825" w:rsidP="00360825">
      <w:pPr>
        <w:pStyle w:val="Heading3"/>
        <w:rPr>
          <w:rFonts w:ascii="Arial" w:hAnsi="Arial" w:cs="Arial"/>
        </w:rPr>
      </w:pPr>
      <w:r w:rsidRPr="00D556DB">
        <w:rPr>
          <w:rFonts w:ascii="Arial" w:hAnsi="Arial" w:cs="Arial"/>
        </w:rPr>
        <w:t>Service Families</w:t>
      </w:r>
    </w:p>
    <w:p w14:paraId="0B168838"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According to the Ministry of Defence there were 1,000 military and civilian personnel stationed in Chichester on 1st April 2020 – almost of all of whom are military personnel. </w:t>
      </w:r>
    </w:p>
    <w:p w14:paraId="7A748BCE"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lastRenderedPageBreak/>
        <w:t>On the basis of the evidence and steps being taken at District and County level, it is not considered that there is a need for further intervention from the Council in respect of service families.</w:t>
      </w:r>
    </w:p>
    <w:p w14:paraId="64245844" w14:textId="77777777" w:rsidR="00360825" w:rsidRPr="00D556DB" w:rsidRDefault="00360825" w:rsidP="00360825">
      <w:pPr>
        <w:pStyle w:val="Heading3"/>
        <w:rPr>
          <w:rFonts w:ascii="Arial" w:hAnsi="Arial" w:cs="Arial"/>
        </w:rPr>
      </w:pPr>
      <w:r w:rsidRPr="00D556DB">
        <w:rPr>
          <w:rFonts w:ascii="Arial" w:hAnsi="Arial" w:cs="Arial"/>
        </w:rPr>
        <w:t>Self and Custom Build</w:t>
      </w:r>
    </w:p>
    <w:p w14:paraId="615B2169"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The Council is required to grant sufficient planning permissions to meet the demand identified on their Custom and Self-Build Register </w:t>
      </w:r>
    </w:p>
    <w:p w14:paraId="001DAAE4"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Over the six base periods, there has been a total of 150 registered expressions of interest in a serviced plot of land. And from 1 July 2018, the Council have had 3 applicants which have been placed on part 2 of the register. This averages around 25 per annum</w:t>
      </w:r>
    </w:p>
    <w:p w14:paraId="0D3195F8"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In addition we can draw on </w:t>
      </w:r>
      <w:proofErr w:type="spellStart"/>
      <w:r w:rsidRPr="00DE1AA1">
        <w:rPr>
          <w:rFonts w:ascii="Arial" w:hAnsi="Arial" w:cs="Arial"/>
        </w:rPr>
        <w:t>NaCSBA</w:t>
      </w:r>
      <w:proofErr w:type="spellEnd"/>
      <w:r w:rsidRPr="00DE1AA1">
        <w:rPr>
          <w:rFonts w:ascii="Arial" w:hAnsi="Arial" w:cs="Arial"/>
        </w:rPr>
        <w:t xml:space="preserve"> data to better understand the level of demand for serviced plots in Chichester in relative terms. The data shows that Chichester has mid-levels demand of 125 persons per 100,000 of the population. </w:t>
      </w:r>
    </w:p>
    <w:p w14:paraId="4252F3DB"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Iceni consider that in order to respond to demand in the sector, and in response to the PPG’s requirements, the Council should support, through planning policy, the submission and delivery of self-build and custom housebuilding sites, where opportunities for land arise and where such schemes are consistent with other planning policies.</w:t>
      </w:r>
    </w:p>
    <w:p w14:paraId="0361F996" w14:textId="77777777" w:rsidR="00360825" w:rsidRPr="00D556DB" w:rsidRDefault="00360825" w:rsidP="00360825">
      <w:pPr>
        <w:pStyle w:val="Heading1"/>
        <w:rPr>
          <w:rFonts w:ascii="Arial" w:hAnsi="Arial" w:cs="Arial"/>
        </w:rPr>
      </w:pPr>
      <w:bookmarkStart w:id="53" w:name="_Toc96358141"/>
      <w:bookmarkStart w:id="54" w:name="_Toc97716039"/>
      <w:r w:rsidRPr="00D556DB">
        <w:rPr>
          <w:rFonts w:ascii="Arial" w:hAnsi="Arial" w:cs="Arial"/>
        </w:rPr>
        <w:lastRenderedPageBreak/>
        <w:t>Commercial Property Market</w:t>
      </w:r>
      <w:bookmarkEnd w:id="53"/>
      <w:bookmarkEnd w:id="54"/>
      <w:r w:rsidRPr="00D556DB">
        <w:rPr>
          <w:rFonts w:ascii="Arial" w:hAnsi="Arial" w:cs="Arial"/>
        </w:rPr>
        <w:t xml:space="preserve"> </w:t>
      </w:r>
    </w:p>
    <w:p w14:paraId="60B09C4C" w14:textId="309AF622"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This chapter provides an assessment of the commercial property market in Chichester</w:t>
      </w:r>
      <w:r w:rsidR="00A84269">
        <w:rPr>
          <w:rFonts w:ascii="Arial" w:hAnsi="Arial" w:cs="Arial"/>
        </w:rPr>
        <w:t xml:space="preserve"> District</w:t>
      </w:r>
      <w:r w:rsidRPr="00D556DB">
        <w:rPr>
          <w:rFonts w:ascii="Arial" w:hAnsi="Arial" w:cs="Arial"/>
        </w:rPr>
        <w:t>. It is split into two sections – one on the office market and one on the industrial market (where industrial refers to general industrial, light industrial and warehousing).</w:t>
      </w:r>
    </w:p>
    <w:p w14:paraId="7269014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analysis uses CoStar data – one of the UKs largest providers of commercial property data. Valuation Office Agency data has also been used which provides the best indication of the </w:t>
      </w:r>
      <w:r w:rsidRPr="00DE1AA1">
        <w:rPr>
          <w:rFonts w:ascii="Arial" w:hAnsi="Arial" w:cs="Arial"/>
        </w:rPr>
        <w:t>amount</w:t>
      </w:r>
      <w:r w:rsidRPr="00D556DB">
        <w:rPr>
          <w:rFonts w:ascii="Arial" w:hAnsi="Arial" w:cs="Arial"/>
        </w:rPr>
        <w:t xml:space="preserve"> of commercial floorspace in the area.</w:t>
      </w:r>
    </w:p>
    <w:p w14:paraId="4162C953" w14:textId="77777777" w:rsidR="00360825" w:rsidRPr="00D556DB" w:rsidRDefault="00360825" w:rsidP="00360825">
      <w:pPr>
        <w:pStyle w:val="Heading2"/>
        <w:rPr>
          <w:rFonts w:ascii="Arial" w:hAnsi="Arial" w:cs="Arial"/>
        </w:rPr>
      </w:pPr>
      <w:r w:rsidRPr="00D556DB">
        <w:rPr>
          <w:rFonts w:ascii="Arial" w:hAnsi="Arial" w:cs="Arial"/>
        </w:rPr>
        <w:t>Office</w:t>
      </w:r>
    </w:p>
    <w:p w14:paraId="05D24867" w14:textId="6BD03F22"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This section provides an assessment of Chichester</w:t>
      </w:r>
      <w:r w:rsidR="00A84269">
        <w:rPr>
          <w:rFonts w:ascii="Arial" w:hAnsi="Arial" w:cs="Arial"/>
        </w:rPr>
        <w:t xml:space="preserve"> District</w:t>
      </w:r>
      <w:r w:rsidRPr="00D556DB">
        <w:rPr>
          <w:rFonts w:ascii="Arial" w:hAnsi="Arial" w:cs="Arial"/>
        </w:rPr>
        <w:t>’s office market. This will be used to inform the scale and type of future need which is identified later in this report.</w:t>
      </w:r>
    </w:p>
    <w:p w14:paraId="6F304353" w14:textId="77777777" w:rsidR="00360825" w:rsidRPr="00D556DB" w:rsidRDefault="00360825" w:rsidP="00360825">
      <w:pPr>
        <w:pStyle w:val="Heading3"/>
        <w:rPr>
          <w:rFonts w:ascii="Arial" w:hAnsi="Arial" w:cs="Arial"/>
        </w:rPr>
      </w:pPr>
      <w:r w:rsidRPr="00D556DB">
        <w:rPr>
          <w:rFonts w:ascii="Arial" w:hAnsi="Arial" w:cs="Arial"/>
        </w:rPr>
        <w:t>UK Office Market Overview</w:t>
      </w:r>
    </w:p>
    <w:p w14:paraId="2993B1E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report that “increasing optimism surrounding the vaccine rollout and the economic recovery has resulted in a pick-up in office leasing in recent months. Office take-up reached its highest level in more than two years in the third quarter of 2021. September was particularly busy, with firms increasingly pressing the button on moves as they </w:t>
      </w:r>
      <w:r w:rsidRPr="00DE1AA1">
        <w:rPr>
          <w:rFonts w:ascii="Arial" w:hAnsi="Arial" w:cs="Arial"/>
        </w:rPr>
        <w:t>decide</w:t>
      </w:r>
      <w:r w:rsidRPr="00D556DB">
        <w:rPr>
          <w:rFonts w:ascii="Arial" w:hAnsi="Arial" w:cs="Arial"/>
        </w:rPr>
        <w:t xml:space="preserve"> upon space needs in a post-pandemic world.”</w:t>
      </w:r>
    </w:p>
    <w:p w14:paraId="221DA4C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However, “the overall demand picture remains subdued” in comparison to pre-pandemic levels with negative net absorption (increasing occupier move-outs) for the sixth quarter in a row as businesses continue to release space. Combined with continued strong net deliveries, this has led to a continued increase of the national vacancy </w:t>
      </w:r>
      <w:r w:rsidRPr="00DE1AA1">
        <w:rPr>
          <w:rFonts w:ascii="Arial" w:hAnsi="Arial" w:cs="Arial"/>
        </w:rPr>
        <w:t>rate</w:t>
      </w:r>
      <w:r w:rsidRPr="00D556DB">
        <w:rPr>
          <w:rFonts w:ascii="Arial" w:hAnsi="Arial" w:cs="Arial"/>
        </w:rPr>
        <w:t>, “nudging above 6% for the first time in three years”. Furthermore, there is a significant amount of under construction space, much of which is due to be delivered in the next 18 months. Assuming subdued levels of demand continue, this will cause vacancy rates to rise further.</w:t>
      </w:r>
    </w:p>
    <w:p w14:paraId="6647D57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CoStar go on to state that “Office asking rents tend to be quite slow to respond to downturns, but the effects of falling demand and rising vacancy are now coming through. Annual rent growth currently stands at -0.3%, with further losses likely in the next couple of years. Prime buildings should outperform secondary ones as firms pivot to better-quality, well ventilated space—to attract staff and welcome clients—even if they take less space overall amid a more permanent rise in home working. This could lead to the accelerated removal of older stock.”</w:t>
      </w:r>
    </w:p>
    <w:p w14:paraId="6CD50846" w14:textId="77777777" w:rsidR="00360825" w:rsidRPr="00D556DB" w:rsidRDefault="00360825" w:rsidP="00360825">
      <w:pPr>
        <w:pStyle w:val="Heading3"/>
        <w:rPr>
          <w:rFonts w:ascii="Arial" w:hAnsi="Arial" w:cs="Arial"/>
        </w:rPr>
      </w:pPr>
      <w:r w:rsidRPr="00D556DB">
        <w:rPr>
          <w:rFonts w:ascii="Arial" w:hAnsi="Arial" w:cs="Arial"/>
        </w:rPr>
        <w:lastRenderedPageBreak/>
        <w:t>South Coast Office Market Overview</w:t>
      </w:r>
    </w:p>
    <w:p w14:paraId="43AB61A9" w14:textId="77777777" w:rsidR="00360825" w:rsidRPr="00D556DB" w:rsidRDefault="00360825" w:rsidP="001A7584">
      <w:pPr>
        <w:pStyle w:val="BodyText"/>
        <w:numPr>
          <w:ilvl w:val="1"/>
          <w:numId w:val="6"/>
        </w:numPr>
        <w:tabs>
          <w:tab w:val="num" w:pos="0"/>
        </w:tabs>
        <w:ind w:left="0" w:hanging="709"/>
        <w:rPr>
          <w:rFonts w:ascii="Arial" w:hAnsi="Arial" w:cs="Arial"/>
        </w:rPr>
      </w:pPr>
      <w:proofErr w:type="gramStart"/>
      <w:r w:rsidRPr="00D556DB">
        <w:rPr>
          <w:rFonts w:ascii="Arial" w:hAnsi="Arial" w:cs="Arial"/>
        </w:rPr>
        <w:t>CoStar</w:t>
      </w:r>
      <w:proofErr w:type="gramEnd"/>
      <w:r w:rsidRPr="00D556DB">
        <w:rPr>
          <w:rFonts w:ascii="Arial" w:hAnsi="Arial" w:cs="Arial"/>
        </w:rPr>
        <w:t xml:space="preserve"> define a </w:t>
      </w:r>
      <w:r w:rsidRPr="00DE1AA1">
        <w:rPr>
          <w:rFonts w:ascii="Arial" w:hAnsi="Arial" w:cs="Arial"/>
        </w:rPr>
        <w:t>number</w:t>
      </w:r>
      <w:r w:rsidRPr="00D556DB">
        <w:rPr>
          <w:rFonts w:ascii="Arial" w:hAnsi="Arial" w:cs="Arial"/>
        </w:rPr>
        <w:t xml:space="preserve"> of distinct office markets across the UK. Chichester falls within the South Coast Office Market which can be seen in the map below.</w:t>
      </w:r>
      <w:r>
        <w:rPr>
          <w:rFonts w:ascii="Arial" w:hAnsi="Arial" w:cs="Arial"/>
        </w:rPr>
        <w:t xml:space="preserve"> </w:t>
      </w:r>
      <w:r w:rsidRPr="00D556DB">
        <w:rPr>
          <w:rFonts w:ascii="Arial" w:hAnsi="Arial" w:cs="Arial"/>
        </w:rPr>
        <w:t>Note that this is different from the Functional Economic Market Area.</w:t>
      </w:r>
    </w:p>
    <w:p w14:paraId="20CE7088" w14:textId="1D58476D" w:rsidR="00360825" w:rsidRPr="00D556DB" w:rsidRDefault="00360825" w:rsidP="001A7584">
      <w:pPr>
        <w:pStyle w:val="Heading4"/>
        <w:ind w:firstLine="0"/>
      </w:pPr>
      <w:r w:rsidRPr="00D556DB">
        <w:t>South Coast Office Market Area</w:t>
      </w:r>
    </w:p>
    <w:p w14:paraId="2ABFC69B"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3C768AA3" wp14:editId="1DBD6BFF">
            <wp:extent cx="5616000" cy="2896519"/>
            <wp:effectExtent l="0" t="0" r="3810" b="0"/>
            <wp:docPr id="32" name="Picture 32" descr="Chichester falls within the South Coast Office Market which extends from Bridport to Bognor Regis and northwards to And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ichester falls within the South Coast Office Market which extends from Bridport to Bognor Regis and northwards to Andover"/>
                    <pic:cNvPicPr/>
                  </pic:nvPicPr>
                  <pic:blipFill>
                    <a:blip r:embed="rId59" cstate="email">
                      <a:extLst>
                        <a:ext uri="{28A0092B-C50C-407E-A947-70E740481C1C}">
                          <a14:useLocalDpi xmlns:a14="http://schemas.microsoft.com/office/drawing/2010/main"/>
                        </a:ext>
                      </a:extLst>
                    </a:blip>
                    <a:stretch>
                      <a:fillRect/>
                    </a:stretch>
                  </pic:blipFill>
                  <pic:spPr>
                    <a:xfrm>
                      <a:off x="0" y="0"/>
                      <a:ext cx="5616000" cy="2896519"/>
                    </a:xfrm>
                    <a:prstGeom prst="rect">
                      <a:avLst/>
                    </a:prstGeom>
                  </pic:spPr>
                </pic:pic>
              </a:graphicData>
            </a:graphic>
          </wp:inline>
        </w:drawing>
      </w:r>
    </w:p>
    <w:p w14:paraId="1A3300CD"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CoStar</w:t>
      </w:r>
    </w:p>
    <w:p w14:paraId="31B27FCE" w14:textId="77777777" w:rsidR="00360825" w:rsidRPr="00DE1AA1"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With regards to the South Coast office market, CoStar report that the pandemic brought activity to a near standstill, halting 2019's momentum and bringing widespread uncertainty for both occupiers and investors. They go on to state that, “</w:t>
      </w:r>
      <w:r w:rsidRPr="00DE1AA1">
        <w:rPr>
          <w:rFonts w:ascii="Arial" w:hAnsi="Arial" w:cs="Arial"/>
        </w:rPr>
        <w:t>while the impact of the coronavirus on South Coast's office market remains unclear, the eventual outcome rests on how businesses weather the storm and how government policy responds to the ongoing pandemic.”</w:t>
      </w:r>
    </w:p>
    <w:p w14:paraId="27DDD8A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also report that, “Prior to the pandemic, South Coast's office sector had strong momentum and was riding a wave of optimism. Confidence was running high on the back of </w:t>
      </w:r>
      <w:r w:rsidRPr="00DE1AA1">
        <w:rPr>
          <w:rFonts w:ascii="Arial" w:hAnsi="Arial" w:cs="Arial"/>
        </w:rPr>
        <w:t>strong</w:t>
      </w:r>
      <w:r w:rsidRPr="00D556DB">
        <w:rPr>
          <w:rFonts w:ascii="Arial" w:hAnsi="Arial" w:cs="Arial"/>
        </w:rPr>
        <w:t xml:space="preserve"> demand from professional and business and </w:t>
      </w:r>
      <w:bookmarkStart w:id="55" w:name="_Hlk88832675"/>
      <w:r w:rsidRPr="00D556DB">
        <w:rPr>
          <w:rFonts w:ascii="Arial" w:hAnsi="Arial" w:cs="Arial"/>
        </w:rPr>
        <w:t>TMT [Technology, Medial and Telecommunications] firms</w:t>
      </w:r>
      <w:bookmarkEnd w:id="55"/>
      <w:r w:rsidRPr="00D556DB">
        <w:rPr>
          <w:rFonts w:ascii="Arial" w:hAnsi="Arial" w:cs="Arial"/>
        </w:rPr>
        <w:t xml:space="preserve"> and co-working providers. Owners were having little trouble finding tenants amid restricted availability, and a lack of speculative construction and office-to-residential conversions were helping to drive vacancies down near historic lows.”</w:t>
      </w:r>
    </w:p>
    <w:p w14:paraId="04CE52B2" w14:textId="77777777" w:rsidR="00360825" w:rsidRPr="00D556DB" w:rsidRDefault="00360825" w:rsidP="00360825">
      <w:pPr>
        <w:pStyle w:val="Heading3"/>
        <w:rPr>
          <w:rFonts w:ascii="Arial" w:hAnsi="Arial" w:cs="Arial"/>
        </w:rPr>
      </w:pPr>
      <w:r w:rsidRPr="00D556DB">
        <w:rPr>
          <w:rFonts w:ascii="Arial" w:hAnsi="Arial" w:cs="Arial"/>
        </w:rPr>
        <w:t>Chichester Office Stock</w:t>
      </w:r>
    </w:p>
    <w:p w14:paraId="7A47351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VOA</w:t>
      </w:r>
      <w:r w:rsidRPr="00D556DB">
        <w:rPr>
          <w:rStyle w:val="FootnoteReference"/>
          <w:rFonts w:ascii="Arial" w:hAnsi="Arial" w:cs="Arial"/>
        </w:rPr>
        <w:footnoteReference w:id="24"/>
      </w:r>
      <w:r w:rsidRPr="00D556DB">
        <w:rPr>
          <w:rFonts w:ascii="Arial" w:hAnsi="Arial" w:cs="Arial"/>
        </w:rPr>
        <w:t xml:space="preserve"> provide information on the amount of office floorspace by administrative area. In Chichester at the end of FY 2019/20, there was 102,000 sqm of office </w:t>
      </w:r>
      <w:r w:rsidRPr="00DE1AA1">
        <w:rPr>
          <w:rFonts w:ascii="Arial" w:hAnsi="Arial" w:cs="Arial"/>
        </w:rPr>
        <w:t>floorspace</w:t>
      </w:r>
      <w:r w:rsidRPr="00D556DB">
        <w:rPr>
          <w:rFonts w:ascii="Arial" w:hAnsi="Arial" w:cs="Arial"/>
        </w:rPr>
        <w:t xml:space="preserve"> in total. This makes </w:t>
      </w:r>
      <w:r w:rsidRPr="00D556DB">
        <w:rPr>
          <w:rFonts w:ascii="Arial" w:hAnsi="Arial" w:cs="Arial"/>
        </w:rPr>
        <w:lastRenderedPageBreak/>
        <w:t>up 10% of total floorspace across West Sussex. This suggests that Chichester has a moderately sized office market within the context of West Sussex (Crawley is the main office market with 367,000 sqm of office floorspace). However, Chichester is a small-medium sized office market within the context of the South East with around 1% of the region’s office floorspace.</w:t>
      </w:r>
    </w:p>
    <w:p w14:paraId="18CC25D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CoStar suggests that Chichester had 117,534 sqm of office floorspace at the end of Q1 2020 which is 15% higher than the VOA data suggests. This difference is due to a number of reasons including that the definition of office space used by CoStar differs to that used by the VOA and the fact that data is collected in a different manner by each organisation. CoStar suggests that the amount of office floorspace in Chichester has decreased to 117,127 in 2021 to date. Iceni recommends using VOA data for total volume change for consistency.</w:t>
      </w:r>
    </w:p>
    <w:p w14:paraId="6AD59B2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amount of floorspace in Chichester between 2000/01 and 2019/20. It can be seen that the amount of office floorspace in Chichester has remained relatively stable since 2003/04, after a decline of 18,000 sqm between 2002/03 – 2003/04. </w:t>
      </w:r>
      <w:r w:rsidRPr="00DE1AA1">
        <w:rPr>
          <w:rFonts w:ascii="Arial" w:hAnsi="Arial" w:cs="Arial"/>
        </w:rPr>
        <w:t>However</w:t>
      </w:r>
      <w:r w:rsidRPr="00D556DB">
        <w:rPr>
          <w:rFonts w:ascii="Arial" w:hAnsi="Arial" w:cs="Arial"/>
        </w:rPr>
        <w:t>, over the last 10 years there has been a slight increase in office floorspace, of about 6,000 sqm.</w:t>
      </w:r>
    </w:p>
    <w:p w14:paraId="1FAEEBE9" w14:textId="3EDACED4" w:rsidR="00360825" w:rsidRPr="00D556DB" w:rsidRDefault="00360825" w:rsidP="001A7584">
      <w:pPr>
        <w:pStyle w:val="Heading4"/>
        <w:ind w:firstLine="0"/>
      </w:pPr>
      <w:r w:rsidRPr="00D556DB">
        <w:t>– Office Floorspace (2000/01 – 2019/20)</w:t>
      </w:r>
    </w:p>
    <w:p w14:paraId="149D061D"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70B0EB6E" wp14:editId="2D673F10">
            <wp:extent cx="5616000" cy="2880000"/>
            <wp:effectExtent l="0" t="0" r="3810" b="15875"/>
            <wp:docPr id="38" name="Chart 38" descr="The figure shows the amount of floorspace in Chichester between 2000/01 and 2019/20. It can be seen that the amount of office floorspace in Chichester has remained relatively stable since 2003/04, after a decline of 18,000 sqm between 2002/03 – 2003/04. However, over the last 10 years there has been a slight increase in office floorspace, of about 6,000 sqm.">
              <a:extLst xmlns:a="http://schemas.openxmlformats.org/drawingml/2006/main">
                <a:ext uri="{FF2B5EF4-FFF2-40B4-BE49-F238E27FC236}">
                  <a16:creationId xmlns:a16="http://schemas.microsoft.com/office/drawing/2014/main" id="{802E8C08-89D6-49AC-9D01-F4E55C40B7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700506A"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VOA data</w:t>
      </w:r>
    </w:p>
    <w:p w14:paraId="1219D01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how the amount of floorspace has changed in Chichester relative to the </w:t>
      </w:r>
      <w:r w:rsidRPr="00DE1AA1">
        <w:rPr>
          <w:rFonts w:ascii="Arial" w:hAnsi="Arial" w:cs="Arial"/>
        </w:rPr>
        <w:t>county</w:t>
      </w:r>
      <w:r w:rsidRPr="00D556DB">
        <w:rPr>
          <w:rFonts w:ascii="Arial" w:hAnsi="Arial" w:cs="Arial"/>
        </w:rPr>
        <w:t>, the region and England. It can be seen that over the last 20 years both Chichester and West Sussex have seen an overall decline in office floorspace unlike England and, to a lesser extent, the South East which have seen growth.</w:t>
      </w:r>
    </w:p>
    <w:p w14:paraId="0350FD8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Chichester bucks the trends of decline/stability seen across the comparator areas over the last 10 years. However, over the last 5 years Chichester has seen similar levels of decline </w:t>
      </w:r>
      <w:r w:rsidRPr="00DE1AA1">
        <w:rPr>
          <w:rFonts w:ascii="Arial" w:hAnsi="Arial" w:cs="Arial"/>
        </w:rPr>
        <w:t>to</w:t>
      </w:r>
      <w:r w:rsidRPr="00D556DB">
        <w:rPr>
          <w:rFonts w:ascii="Arial" w:hAnsi="Arial" w:cs="Arial"/>
        </w:rPr>
        <w:t xml:space="preserve"> that observed across the comparator areas.</w:t>
      </w:r>
    </w:p>
    <w:p w14:paraId="551B6249" w14:textId="6B3D686A" w:rsidR="00360825" w:rsidRPr="00D556DB" w:rsidRDefault="00360825" w:rsidP="001A7584">
      <w:pPr>
        <w:pStyle w:val="Heading4"/>
        <w:ind w:firstLine="0"/>
      </w:pPr>
      <w:r w:rsidRPr="00D556DB">
        <w:t>- Indexed Office Floorspace Change (2000/01 – 2019/20)</w:t>
      </w:r>
    </w:p>
    <w:p w14:paraId="16966B7B"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42762D8F" wp14:editId="1792B128">
            <wp:extent cx="5616000" cy="2880000"/>
            <wp:effectExtent l="0" t="0" r="3810" b="15875"/>
            <wp:docPr id="2" name="Chart 2" descr="The figure below shows how the amount of floorspace has changed in Chichester relative to the county, the region and England. It can be seen that over the last 20 years both Chichester and West Sussex have seen an overall decline in office floorspace unlike England and, to a lesser extent, the South East which have seen growth.&#10;&#10;Chichester bucks the trends of decline/stability seen across the comparator areas over the last 10 years. However, over the last 5 years Chichester has seen similar levels of decline to that observed across the comparator areas.&#10;">
              <a:extLst xmlns:a="http://schemas.openxmlformats.org/drawingml/2006/main">
                <a:ext uri="{FF2B5EF4-FFF2-40B4-BE49-F238E27FC236}">
                  <a16:creationId xmlns:a16="http://schemas.microsoft.com/office/drawing/2014/main" id="{6BDF15BA-5DD1-4105-A45E-59F3C99768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3A619D0"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VOA data</w:t>
      </w:r>
    </w:p>
    <w:p w14:paraId="36390905"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Conclusions</w:t>
      </w:r>
    </w:p>
    <w:p w14:paraId="451BD118"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56" w:name="_Hlk88832737"/>
      <w:r w:rsidRPr="00D556DB">
        <w:rPr>
          <w:rFonts w:ascii="Arial" w:hAnsi="Arial" w:cs="Arial"/>
        </w:rPr>
        <w:t xml:space="preserve">Chichester has a relatively small office market which has remained stable in size since 2002/03. However, in the last 5 years the amount of office floorspace in Chichester has </w:t>
      </w:r>
      <w:r w:rsidRPr="00DE1AA1">
        <w:rPr>
          <w:rFonts w:ascii="Arial" w:hAnsi="Arial" w:cs="Arial"/>
        </w:rPr>
        <w:t>been</w:t>
      </w:r>
      <w:r w:rsidRPr="00D556DB">
        <w:rPr>
          <w:rFonts w:ascii="Arial" w:hAnsi="Arial" w:cs="Arial"/>
        </w:rPr>
        <w:t xml:space="preserve"> shrinking at a similar rate to West Sussex, the South East and England as a whole.</w:t>
      </w:r>
      <w:bookmarkEnd w:id="56"/>
    </w:p>
    <w:p w14:paraId="57315C1C" w14:textId="77777777" w:rsidR="00360825" w:rsidRPr="00D556DB" w:rsidRDefault="00360825" w:rsidP="00360825">
      <w:pPr>
        <w:pStyle w:val="Heading3"/>
        <w:rPr>
          <w:rFonts w:ascii="Arial" w:hAnsi="Arial" w:cs="Arial"/>
        </w:rPr>
      </w:pPr>
      <w:r w:rsidRPr="00D556DB">
        <w:rPr>
          <w:rFonts w:ascii="Arial" w:hAnsi="Arial" w:cs="Arial"/>
        </w:rPr>
        <w:t>Overall Supply-Demand Balance – Chichester Office Market</w:t>
      </w:r>
    </w:p>
    <w:p w14:paraId="1BA7889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overall supply-demand balance has been assessed by looking at headline </w:t>
      </w:r>
      <w:r w:rsidRPr="00DE1AA1">
        <w:rPr>
          <w:rFonts w:ascii="Arial" w:hAnsi="Arial" w:cs="Arial"/>
        </w:rPr>
        <w:t>indicators</w:t>
      </w:r>
      <w:r w:rsidRPr="00D556DB">
        <w:rPr>
          <w:rFonts w:ascii="Arial" w:hAnsi="Arial" w:cs="Arial"/>
        </w:rPr>
        <w:t xml:space="preserve"> – namely vacancy rates and rents. The drivers of changing vacancy rates, demand and supply have also been assessed by looking at net absorption and net deliveries.</w:t>
      </w:r>
    </w:p>
    <w:p w14:paraId="052F202F"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Vacancy Rates</w:t>
      </w:r>
    </w:p>
    <w:p w14:paraId="7BF2681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how the vacancy rate in Chichester has changed over time </w:t>
      </w:r>
      <w:r w:rsidRPr="00DE1AA1">
        <w:rPr>
          <w:rFonts w:ascii="Arial" w:hAnsi="Arial" w:cs="Arial"/>
        </w:rPr>
        <w:t>compared</w:t>
      </w:r>
      <w:r w:rsidRPr="00D556DB">
        <w:rPr>
          <w:rFonts w:ascii="Arial" w:hAnsi="Arial" w:cs="Arial"/>
        </w:rPr>
        <w:t xml:space="preserve"> to the wider CoStar market (the South Coast) and the UK. In November 2021 the vacancy rate in Chichester stood at 5.5%. This is a moderate vacancy rate when compared to the extreme lows observed between 2009 and 2015 and the higher rates observed in 2018 and 2019. However, it should be noted that the vacancy rate observed between 2009 and 2015 may be based on erroneous data.</w:t>
      </w:r>
    </w:p>
    <w:p w14:paraId="1D8F287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current vacancy rate in Chichester is similar to the South Coast rate and slightly below the UK rate. The current vacancy rate is slightly below the historic (2009-2021) for the South Coast (5.9%) and further below the historic rate for the UK (7.4%).</w:t>
      </w:r>
    </w:p>
    <w:p w14:paraId="18106AC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This suggests that the market is not oversupplied but neither is it particularly constrained. </w:t>
      </w:r>
      <w:r w:rsidRPr="00DE1AA1">
        <w:rPr>
          <w:rFonts w:ascii="Arial" w:hAnsi="Arial" w:cs="Arial"/>
        </w:rPr>
        <w:t>However</w:t>
      </w:r>
      <w:r w:rsidRPr="00D556DB">
        <w:rPr>
          <w:rFonts w:ascii="Arial" w:hAnsi="Arial" w:cs="Arial"/>
        </w:rPr>
        <w:t>, if the vacancy rate were to fall any further the market may become undersupplied. However, the vacancy rate has been increasing since 2015 and the 2020-21 data should be treated with caution considering wider trends office market usage due to working from home requirements in the pandemic.</w:t>
      </w:r>
    </w:p>
    <w:p w14:paraId="48DCE5FA" w14:textId="2DDB9CB3" w:rsidR="00360825" w:rsidRPr="00D556DB" w:rsidRDefault="00360825" w:rsidP="001A7584">
      <w:pPr>
        <w:pStyle w:val="Heading4"/>
        <w:ind w:firstLine="0"/>
      </w:pPr>
      <w:r w:rsidRPr="00D556DB">
        <w:t>- Vacancy Rate</w:t>
      </w:r>
    </w:p>
    <w:p w14:paraId="5D6F7C90"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0B0EFAE2" wp14:editId="176E6BD3">
            <wp:extent cx="5616000" cy="2880000"/>
            <wp:effectExtent l="0" t="0" r="3810" b="15875"/>
            <wp:docPr id="42" name="Chart 42" descr="The figure below shows how the vacancy rate in Chichester has changed over time compared to the wider CoStar market (the South Coast) and the UK. &#10;&#10;In November 2021 the vacancy rate in Chichester stood at 5.5%. This is a moderate vacancy rate when compared to the extreme lows observed between 2009 and 2015 and the higher rates observed in 2018 and 2019. &#10;&#10;However, it should be noted that the vacancy rate observed between 2009 and 2015 may be based on erroneous data.&#10;&#10;The current vacancy rate in Chichester is similar to the South Coast rate and slightly below the UK rate. The current vacancy rate is slightly below the historic (2009-2021) for the South Coast (5.9%) and further below the historic rate for the UK (7.4%).&#10;">
              <a:extLst xmlns:a="http://schemas.openxmlformats.org/drawingml/2006/main">
                <a:ext uri="{FF2B5EF4-FFF2-40B4-BE49-F238E27FC236}">
                  <a16:creationId xmlns:a16="http://schemas.microsoft.com/office/drawing/2014/main" id="{5DD7F5CA-AB27-4152-893F-14C7F7C293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90A8ADD"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447DFF00"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Demand and Supply Indicators</w:t>
      </w:r>
    </w:p>
    <w:p w14:paraId="30AC7E1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CoStar provides data on net absorption. This is the balance between the amount of space moved into and moved out of (i.e. Net absorption = Move ins – Move outs). It provides an indicator of the strength of demand. Net deliveries are the difference between floorspace delivered (i.e. constructed and brought onto the market) and demolished (or otherwise taken out of use and removed from the market).</w:t>
      </w:r>
    </w:p>
    <w:p w14:paraId="646EF39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 positive net absorption figure indicates strong demand and leads to a falling vacancy rate (unless it is outweighed by net deliveries). On the other hand, a negative net absorption figure indicates weaker demand and leads to a rising vacancy rate (unless it is outweighed by negative net deliveries).</w:t>
      </w:r>
    </w:p>
    <w:p w14:paraId="0F8354D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net absorption, net deliveries and their resulting impact on vacancy rates in Chichester. It can be seen that net absorption has been highly variable over the last 13 years. Between 2016 and 2019 net absorption was negative each year with 2016 and 2018 being significantly negative. Since then, 2020 and 2021 to date have both seen significant positive net absorption indicating high levels of demand – although these figures should be treated with caution given the Covid-19 pandemic as noted above.</w:t>
      </w:r>
    </w:p>
    <w:p w14:paraId="3C59F73F" w14:textId="0465BBB9"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There has been limited net deliveries of office floorspace in Chichester aside from in 2018 when there were net deliveries of nearly 4,000 sqm. Since then, there have been </w:t>
      </w:r>
      <w:r w:rsidR="002B1913" w:rsidRPr="00D556DB">
        <w:rPr>
          <w:rFonts w:ascii="Arial" w:hAnsi="Arial" w:cs="Arial"/>
        </w:rPr>
        <w:t>small</w:t>
      </w:r>
      <w:r w:rsidRPr="00D556DB">
        <w:rPr>
          <w:rFonts w:ascii="Arial" w:hAnsi="Arial" w:cs="Arial"/>
        </w:rPr>
        <w:t xml:space="preserve"> losses of floorspace.</w:t>
      </w:r>
    </w:p>
    <w:p w14:paraId="626F087F" w14:textId="5D1751F9" w:rsidR="00360825" w:rsidRPr="00D556DB" w:rsidRDefault="00360825" w:rsidP="001A7584">
      <w:pPr>
        <w:pStyle w:val="Heading4"/>
        <w:ind w:firstLine="0"/>
      </w:pPr>
      <w:r w:rsidRPr="00D556DB">
        <w:t>- Net Absorption, Net Deliveries and Vacancy Rates</w:t>
      </w:r>
    </w:p>
    <w:p w14:paraId="58A5DD75" w14:textId="77777777" w:rsidR="00360825" w:rsidRPr="007E243D"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266F6762" wp14:editId="7204CCFD">
            <wp:extent cx="5616000" cy="2880000"/>
            <wp:effectExtent l="0" t="0" r="3810" b="15875"/>
            <wp:docPr id="45" name="Chart 45" descr="The figure shows net absorption, net deliveries and their resulting impact on vacancy rates in Chichester. &#10;&#10;It can be seen that net absorption has been highly variable over the last 13 years. Between 2016 and 2019 net absorption was negative each year with 2016 and 2018 being significantly negative. &#10;&#10;Since then, 2020 and 2021 to date have both seen significant positive net absorption indicating high levels of demand – although these figures should be treated with caution given the Covid-19 pandemic as noted above.">
              <a:extLst xmlns:a="http://schemas.openxmlformats.org/drawingml/2006/main">
                <a:ext uri="{FF2B5EF4-FFF2-40B4-BE49-F238E27FC236}">
                  <a16:creationId xmlns:a16="http://schemas.microsoft.com/office/drawing/2014/main" id="{D76C4056-EFC5-4864-BAA6-D4231A5AA5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E2DABDD" w14:textId="77777777" w:rsidR="00360825" w:rsidRPr="00D556DB" w:rsidRDefault="00360825" w:rsidP="00360825">
      <w:pPr>
        <w:pStyle w:val="BodyText"/>
        <w:numPr>
          <w:ilvl w:val="0"/>
          <w:numId w:val="0"/>
        </w:numPr>
        <w:rPr>
          <w:rFonts w:ascii="Arial" w:hAnsi="Arial" w:cs="Arial"/>
          <w:noProof/>
        </w:rPr>
      </w:pPr>
      <w:r w:rsidRPr="00D556DB">
        <w:rPr>
          <w:rFonts w:ascii="Arial" w:hAnsi="Arial" w:cs="Arial"/>
          <w:i/>
          <w:iCs/>
        </w:rPr>
        <w:t>Source: Iceni analysis of CoStar data</w:t>
      </w:r>
    </w:p>
    <w:p w14:paraId="69273FB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Negative net absorption between 2015 and 2019 (and strong net deliveries in 2018) rapidly increased the vacancy rate and by 2019 the market was oversupplied. However, strong net absorption in the last 2 years (perhaps supported by a lack of new-build) led to a declining vacancy rate and presently the supply-demand balance is at a healthy level of 5.5%.</w:t>
      </w:r>
    </w:p>
    <w:p w14:paraId="21C4F24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should be noted that there is no pipeline supply (i.e. under construction or proposed) office </w:t>
      </w:r>
      <w:r w:rsidRPr="00DE1AA1">
        <w:rPr>
          <w:rFonts w:ascii="Arial" w:hAnsi="Arial" w:cs="Arial"/>
        </w:rPr>
        <w:t>space</w:t>
      </w:r>
      <w:r w:rsidRPr="00D556DB">
        <w:rPr>
          <w:rFonts w:ascii="Arial" w:hAnsi="Arial" w:cs="Arial"/>
        </w:rPr>
        <w:t xml:space="preserve"> in Chichester according to CoStar. Therefore, if net absorption remains positive in the coming years the vacancy rate will continue to fall leading to a more constrained market. However, future demand is highly uncertain.</w:t>
      </w:r>
    </w:p>
    <w:p w14:paraId="1B8F659D"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Rents</w:t>
      </w:r>
    </w:p>
    <w:p w14:paraId="6739E703" w14:textId="68707654"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figure</w:t>
      </w:r>
      <w:r w:rsidRPr="00D556DB">
        <w:rPr>
          <w:rFonts w:ascii="Arial" w:hAnsi="Arial" w:cs="Arial"/>
        </w:rPr>
        <w:t xml:space="preserve"> below shows how average rental prices in Chichester have changed over time compared to the wider CoStar market (the South Coast) and the UK. In November 2021, the average office rental price stood at £15.21 per </w:t>
      </w:r>
      <w:r w:rsidR="004C7B56" w:rsidRPr="00D556DB">
        <w:rPr>
          <w:rFonts w:ascii="Arial" w:hAnsi="Arial" w:cs="Arial"/>
        </w:rPr>
        <w:t>sq.</w:t>
      </w:r>
      <w:r w:rsidRPr="00D556DB">
        <w:rPr>
          <w:rFonts w:ascii="Arial" w:hAnsi="Arial" w:cs="Arial"/>
        </w:rPr>
        <w:t xml:space="preserve"> ft. This is slightly lower than for the South Coast as a whole which were £15.86 per </w:t>
      </w:r>
      <w:r w:rsidR="004C7B56" w:rsidRPr="00D556DB">
        <w:rPr>
          <w:rFonts w:ascii="Arial" w:hAnsi="Arial" w:cs="Arial"/>
        </w:rPr>
        <w:t>sq.</w:t>
      </w:r>
      <w:r w:rsidRPr="00D556DB">
        <w:rPr>
          <w:rFonts w:ascii="Arial" w:hAnsi="Arial" w:cs="Arial"/>
        </w:rPr>
        <w:t xml:space="preserve"> ft. This is significantly below the average for the UK which stood at £27.21 per </w:t>
      </w:r>
      <w:r w:rsidR="004C7B56" w:rsidRPr="00D556DB">
        <w:rPr>
          <w:rFonts w:ascii="Arial" w:hAnsi="Arial" w:cs="Arial"/>
        </w:rPr>
        <w:t>sq.</w:t>
      </w:r>
      <w:r w:rsidRPr="00D556DB">
        <w:rPr>
          <w:rFonts w:ascii="Arial" w:hAnsi="Arial" w:cs="Arial"/>
        </w:rPr>
        <w:t xml:space="preserve"> ft. However, this is heavily influenced by London and other major cities and is therefore not a good comparator.</w:t>
      </w:r>
    </w:p>
    <w:p w14:paraId="33605A0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Rent growth in Chichester has very closely tracked the South Coast since 2009 with growth of 10% and 14% respectively. This is much lower than the 37% growth seen across the UK. However, since 2013, growth in Chichester (25%) and the South Coast (29%) has been more closely aligned with </w:t>
      </w:r>
      <w:r w:rsidRPr="00D556DB">
        <w:rPr>
          <w:rFonts w:ascii="Arial" w:hAnsi="Arial" w:cs="Arial"/>
        </w:rPr>
        <w:lastRenderedPageBreak/>
        <w:t>that across the UK (31%). Furthermore, over the last 5 years rent growth have grown by 5% and 6% across Chichester and South Coast respectively compared to just 2% across the UK.</w:t>
      </w:r>
    </w:p>
    <w:p w14:paraId="126A5C4B"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Overall</w:t>
      </w:r>
      <w:r w:rsidRPr="00D556DB">
        <w:rPr>
          <w:rFonts w:ascii="Arial" w:hAnsi="Arial" w:cs="Arial"/>
        </w:rPr>
        <w:t>, rent growth in Chichester has been relatively weak and low prices could limit viability.</w:t>
      </w:r>
    </w:p>
    <w:p w14:paraId="156360FF" w14:textId="098F12A9" w:rsidR="00360825" w:rsidRPr="00D556DB" w:rsidRDefault="00360825" w:rsidP="001A7584">
      <w:pPr>
        <w:pStyle w:val="Heading4"/>
        <w:ind w:firstLine="0"/>
      </w:pPr>
      <w:r w:rsidRPr="00D556DB">
        <w:t xml:space="preserve">- Average Rental Price (£ per </w:t>
      </w:r>
      <w:r w:rsidR="004C7B56" w:rsidRPr="00D556DB">
        <w:t>Sq.</w:t>
      </w:r>
      <w:r w:rsidRPr="00D556DB">
        <w:t xml:space="preserve"> ft)</w:t>
      </w:r>
    </w:p>
    <w:p w14:paraId="208CCF82"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4A90C2EE" wp14:editId="4235D066">
            <wp:extent cx="5616000" cy="2880000"/>
            <wp:effectExtent l="0" t="0" r="3810" b="15875"/>
            <wp:docPr id="52" name="Chart 52" descr="The figure shows how average rental prices in Chichester have changed over time compared to the wider CoStar market (the South Coast) and the UK. &#10;&#10;In November 2021, the average office rental price stood at £15.21 per sq. ft. This is slightly lower than for the South Coast as a whole which were £15.86 per sq. ft. This is significantly below the average for the UK which stood at £27.21 per sq. ft. &#10;&#10;However, this is heavily influenced by London and other major cities and is therefore not a good comparator.&#10;&#10;Rent growth in Chichester has very closely tracked the South Coast since 2009 with growth of 10% and 14% respectively. This is much lower than the 37% growth seen across the UK. &#10;&#10;However, since 2013, growth in Chichester (25%) and the South Coast (29%) has been more closely aligned with that across the UK (31%). Furthermore, over the last 5 years rent growth have grown by 5% and 6% across Chichester and South Coast respectively compared to just 2% across the UK.&#10;&#10;Overall, rent growth in Chichester has been relatively weak and low prices could limit viability.&#10;">
              <a:extLst xmlns:a="http://schemas.openxmlformats.org/drawingml/2006/main">
                <a:ext uri="{FF2B5EF4-FFF2-40B4-BE49-F238E27FC236}">
                  <a16:creationId xmlns:a16="http://schemas.microsoft.com/office/drawing/2014/main" id="{8E1105F5-AC8B-4EAB-A62D-70CC0144C6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50182E5"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36076EC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Over the last 12 years, there has not been a relationship between vacancy rates and rents in Chichester. However, rapidly decreasing vacancy rates over the last 2 years have coincided with 3% rent growth (compared to just 2% and 0% across the South Coast </w:t>
      </w:r>
      <w:r w:rsidRPr="00DE1AA1">
        <w:rPr>
          <w:rFonts w:ascii="Arial" w:hAnsi="Arial" w:cs="Arial"/>
        </w:rPr>
        <w:t>and</w:t>
      </w:r>
      <w:r w:rsidRPr="00D556DB">
        <w:rPr>
          <w:rFonts w:ascii="Arial" w:hAnsi="Arial" w:cs="Arial"/>
        </w:rPr>
        <w:t xml:space="preserve"> UK respectively) and a continued fall in vacancy rates could push up rents further. Despite recent growth in rents Chichester still remains a relatively affordable office market.</w:t>
      </w:r>
    </w:p>
    <w:p w14:paraId="563164C4"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Conclusions</w:t>
      </w:r>
    </w:p>
    <w:p w14:paraId="3FF38DF1"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57" w:name="_Hlk88832814"/>
      <w:r w:rsidRPr="00DE1AA1">
        <w:rPr>
          <w:rFonts w:ascii="Arial" w:hAnsi="Arial" w:cs="Arial"/>
        </w:rPr>
        <w:t>Chichester’s</w:t>
      </w:r>
      <w:r w:rsidRPr="00D556DB">
        <w:rPr>
          <w:rFonts w:ascii="Arial" w:hAnsi="Arial" w:cs="Arial"/>
        </w:rPr>
        <w:t xml:space="preserve"> office market is not oversupplied but neither is it particularly constrained. However, if the strong demand observed over the last 2 years continues the market may become undersupplied, unless new floorspace is delivered. </w:t>
      </w:r>
      <w:bookmarkEnd w:id="57"/>
      <w:r w:rsidRPr="00D556DB">
        <w:rPr>
          <w:rFonts w:ascii="Arial" w:hAnsi="Arial" w:cs="Arial"/>
        </w:rPr>
        <w:t xml:space="preserve">CoStar data suggests that deliveries are unlikely given there is no floorspace under construction or proposed. </w:t>
      </w:r>
    </w:p>
    <w:p w14:paraId="7D992F1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Similarly, if office space is lost in Chichester (for example, under Permitted Development Rights) the market may also become undersupplied.</w:t>
      </w:r>
    </w:p>
    <w:p w14:paraId="78B16032"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Average</w:t>
      </w:r>
      <w:r w:rsidRPr="00D556DB">
        <w:rPr>
          <w:rFonts w:ascii="Arial" w:hAnsi="Arial" w:cs="Arial"/>
        </w:rPr>
        <w:t xml:space="preserve"> rents in Chichester are relatively low. This makes office property affordable but may limit the viability of construction which would normally require £20 </w:t>
      </w:r>
      <w:proofErr w:type="spellStart"/>
      <w:r w:rsidRPr="00D556DB">
        <w:rPr>
          <w:rFonts w:ascii="Arial" w:hAnsi="Arial" w:cs="Arial"/>
        </w:rPr>
        <w:t>psf</w:t>
      </w:r>
      <w:proofErr w:type="spellEnd"/>
      <w:r w:rsidRPr="00D556DB">
        <w:rPr>
          <w:rFonts w:ascii="Arial" w:hAnsi="Arial" w:cs="Arial"/>
        </w:rPr>
        <w:t xml:space="preserve"> for speculative build.</w:t>
      </w:r>
    </w:p>
    <w:p w14:paraId="47C45753" w14:textId="77777777" w:rsidR="00360825" w:rsidRPr="00D556DB" w:rsidRDefault="00360825" w:rsidP="00360825">
      <w:pPr>
        <w:pStyle w:val="Heading3"/>
        <w:spacing w:after="120"/>
        <w:rPr>
          <w:rFonts w:ascii="Arial" w:hAnsi="Arial" w:cs="Arial"/>
        </w:rPr>
      </w:pPr>
      <w:r w:rsidRPr="00D556DB">
        <w:rPr>
          <w:rFonts w:ascii="Arial" w:hAnsi="Arial" w:cs="Arial"/>
        </w:rPr>
        <w:lastRenderedPageBreak/>
        <w:t>Supply-demand Balance by Quality and Age</w:t>
      </w:r>
    </w:p>
    <w:p w14:paraId="5256DA0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is important to understand if overall vacancy rates are reflected when considering vacancy rates for stock of varying quality/age. It is particularly important to understand vacancy rates </w:t>
      </w:r>
      <w:r w:rsidRPr="00DE1AA1">
        <w:rPr>
          <w:rFonts w:ascii="Arial" w:hAnsi="Arial" w:cs="Arial"/>
        </w:rPr>
        <w:t>in</w:t>
      </w:r>
      <w:r w:rsidRPr="00D556DB">
        <w:rPr>
          <w:rFonts w:ascii="Arial" w:hAnsi="Arial" w:cs="Arial"/>
        </w:rPr>
        <w:t xml:space="preserve"> high quality stock as this provides a good indicator of demand for new, high quality stock.</w:t>
      </w:r>
    </w:p>
    <w:p w14:paraId="68F808D3" w14:textId="0D097789"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the vacancy rate for office stock by quality (in terms of CoStar’s Building Rating System</w:t>
      </w:r>
      <w:r w:rsidRPr="00D556DB">
        <w:rPr>
          <w:rStyle w:val="FootnoteReference"/>
          <w:rFonts w:ascii="Arial" w:hAnsi="Arial" w:cs="Arial"/>
        </w:rPr>
        <w:footnoteReference w:id="25"/>
      </w:r>
      <w:r w:rsidRPr="00D556DB">
        <w:rPr>
          <w:rFonts w:ascii="Arial" w:hAnsi="Arial" w:cs="Arial"/>
        </w:rPr>
        <w:t xml:space="preserve">). It can be seen that the vacancy rate for 1-star property is 0% suggesting that any very low-quality space in the district is well utilised and should not be lost unless absolutely necessary (especially given that there is </w:t>
      </w:r>
      <w:r w:rsidR="002B1913" w:rsidRPr="00D556DB">
        <w:rPr>
          <w:rFonts w:ascii="Arial" w:hAnsi="Arial" w:cs="Arial"/>
        </w:rPr>
        <w:t>little</w:t>
      </w:r>
      <w:r w:rsidRPr="00D556DB">
        <w:rPr>
          <w:rFonts w:ascii="Arial" w:hAnsi="Arial" w:cs="Arial"/>
        </w:rPr>
        <w:t xml:space="preserve"> 1-star stock in the District. </w:t>
      </w:r>
    </w:p>
    <w:p w14:paraId="0E777A4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vacancy rate for 2-star property is also lower than the overall rate further making the case that there is demand for lower quality (and more affordable) office stock in the Chichester. </w:t>
      </w:r>
    </w:p>
    <w:p w14:paraId="189A66F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highest vacancy rate is in the 3-star category in which around two thirds of floorspace lies. There is no vacant 4-star space and no 5-star space whatsoever. This may suggest that the upper end of the market is constrained, and in theory any new, high quality space is likely </w:t>
      </w:r>
      <w:r w:rsidRPr="00DE1AA1">
        <w:rPr>
          <w:rFonts w:ascii="Arial" w:hAnsi="Arial" w:cs="Arial"/>
        </w:rPr>
        <w:t>to</w:t>
      </w:r>
      <w:r w:rsidRPr="00D556DB">
        <w:rPr>
          <w:rFonts w:ascii="Arial" w:hAnsi="Arial" w:cs="Arial"/>
        </w:rPr>
        <w:t xml:space="preserve"> be taken-up. However, the complete lack of 5-star space and limited amount of 4-star space is likely to suggest that there is simply not the market for top-end space in Chichester. Overall, the level of demand for higher end office space is uncertain.</w:t>
      </w:r>
    </w:p>
    <w:p w14:paraId="404A53D0" w14:textId="77777777" w:rsidR="00360825" w:rsidRPr="00D556DB" w:rsidRDefault="00360825" w:rsidP="001A7584">
      <w:pPr>
        <w:pStyle w:val="Heading4"/>
        <w:ind w:firstLine="0"/>
      </w:pPr>
      <w:r w:rsidRPr="00D556DB">
        <w:t>Vacancy Rate by Star Rating</w:t>
      </w:r>
    </w:p>
    <w:tbl>
      <w:tblPr>
        <w:tblStyle w:val="TableGrid"/>
        <w:tblW w:w="5000" w:type="pct"/>
        <w:tblLook w:val="04A0" w:firstRow="1" w:lastRow="0" w:firstColumn="1" w:lastColumn="0" w:noHBand="0" w:noVBand="1"/>
      </w:tblPr>
      <w:tblGrid>
        <w:gridCol w:w="1755"/>
        <w:gridCol w:w="2584"/>
        <w:gridCol w:w="2389"/>
        <w:gridCol w:w="2049"/>
      </w:tblGrid>
      <w:tr w:rsidR="00360825" w:rsidRPr="00DE1AA1" w14:paraId="27B861E7" w14:textId="77777777" w:rsidTr="00C04569">
        <w:tc>
          <w:tcPr>
            <w:tcW w:w="1000" w:type="pct"/>
            <w:shd w:val="clear" w:color="auto" w:fill="002060"/>
            <w:noWrap/>
            <w:hideMark/>
          </w:tcPr>
          <w:p w14:paraId="7E7E2E7F" w14:textId="77777777" w:rsidR="00360825" w:rsidRPr="00D556DB" w:rsidRDefault="00360825" w:rsidP="00C04569">
            <w:pPr>
              <w:keepNext/>
              <w:spacing w:after="0" w:line="300" w:lineRule="auto"/>
              <w:jc w:val="left"/>
              <w:rPr>
                <w:rFonts w:ascii="Arial" w:hAnsi="Arial" w:cs="Arial"/>
                <w:color w:val="FFFFFF"/>
              </w:rPr>
            </w:pPr>
            <w:r w:rsidRPr="00D556DB">
              <w:rPr>
                <w:rFonts w:ascii="Arial" w:hAnsi="Arial" w:cs="Arial"/>
                <w:color w:val="FFFFFF"/>
              </w:rPr>
              <w:t>Star Rating</w:t>
            </w:r>
          </w:p>
        </w:tc>
        <w:tc>
          <w:tcPr>
            <w:tcW w:w="1472" w:type="pct"/>
            <w:shd w:val="clear" w:color="auto" w:fill="002060"/>
            <w:noWrap/>
            <w:hideMark/>
          </w:tcPr>
          <w:p w14:paraId="49CAB978"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Vacant Space (Sqm)</w:t>
            </w:r>
          </w:p>
        </w:tc>
        <w:tc>
          <w:tcPr>
            <w:tcW w:w="1361" w:type="pct"/>
            <w:shd w:val="clear" w:color="auto" w:fill="002060"/>
            <w:noWrap/>
            <w:hideMark/>
          </w:tcPr>
          <w:p w14:paraId="013A09D6"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Total Space (Sqm)</w:t>
            </w:r>
          </w:p>
        </w:tc>
        <w:tc>
          <w:tcPr>
            <w:tcW w:w="1167" w:type="pct"/>
            <w:shd w:val="clear" w:color="auto" w:fill="002060"/>
            <w:noWrap/>
            <w:hideMark/>
          </w:tcPr>
          <w:p w14:paraId="2A981708"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Vacancy Rate</w:t>
            </w:r>
          </w:p>
        </w:tc>
      </w:tr>
      <w:tr w:rsidR="00360825" w:rsidRPr="00DE1AA1" w14:paraId="33823A37" w14:textId="77777777" w:rsidTr="00C04569">
        <w:tc>
          <w:tcPr>
            <w:tcW w:w="1000" w:type="pct"/>
            <w:noWrap/>
            <w:hideMark/>
          </w:tcPr>
          <w:p w14:paraId="6790B1A5"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1</w:t>
            </w:r>
          </w:p>
        </w:tc>
        <w:tc>
          <w:tcPr>
            <w:tcW w:w="1472" w:type="pct"/>
            <w:noWrap/>
            <w:hideMark/>
          </w:tcPr>
          <w:p w14:paraId="34FBFD8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c>
          <w:tcPr>
            <w:tcW w:w="1361" w:type="pct"/>
            <w:noWrap/>
            <w:hideMark/>
          </w:tcPr>
          <w:p w14:paraId="423988C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1,885</w:t>
            </w:r>
          </w:p>
        </w:tc>
        <w:tc>
          <w:tcPr>
            <w:tcW w:w="1167" w:type="pct"/>
            <w:noWrap/>
            <w:hideMark/>
          </w:tcPr>
          <w:p w14:paraId="3440C2E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0.0%</w:t>
            </w:r>
          </w:p>
        </w:tc>
      </w:tr>
      <w:tr w:rsidR="00360825" w:rsidRPr="00DE1AA1" w14:paraId="0858D802" w14:textId="77777777" w:rsidTr="00C04569">
        <w:tc>
          <w:tcPr>
            <w:tcW w:w="1000" w:type="pct"/>
            <w:noWrap/>
            <w:hideMark/>
          </w:tcPr>
          <w:p w14:paraId="26001418"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w:t>
            </w:r>
          </w:p>
        </w:tc>
        <w:tc>
          <w:tcPr>
            <w:tcW w:w="1472" w:type="pct"/>
            <w:noWrap/>
            <w:hideMark/>
          </w:tcPr>
          <w:p w14:paraId="6C0F947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1,373</w:t>
            </w:r>
          </w:p>
        </w:tc>
        <w:tc>
          <w:tcPr>
            <w:tcW w:w="1361" w:type="pct"/>
            <w:noWrap/>
            <w:hideMark/>
          </w:tcPr>
          <w:p w14:paraId="2CBF787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34,135</w:t>
            </w:r>
          </w:p>
        </w:tc>
        <w:tc>
          <w:tcPr>
            <w:tcW w:w="1167" w:type="pct"/>
            <w:noWrap/>
            <w:hideMark/>
          </w:tcPr>
          <w:p w14:paraId="487D41F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r>
      <w:tr w:rsidR="00360825" w:rsidRPr="00DE1AA1" w14:paraId="1CA48E81" w14:textId="77777777" w:rsidTr="00C04569">
        <w:tc>
          <w:tcPr>
            <w:tcW w:w="1000" w:type="pct"/>
            <w:noWrap/>
            <w:hideMark/>
          </w:tcPr>
          <w:p w14:paraId="53638371"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3</w:t>
            </w:r>
          </w:p>
        </w:tc>
        <w:tc>
          <w:tcPr>
            <w:tcW w:w="1472" w:type="pct"/>
            <w:noWrap/>
            <w:hideMark/>
          </w:tcPr>
          <w:p w14:paraId="2BB6612A"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5,012</w:t>
            </w:r>
          </w:p>
        </w:tc>
        <w:tc>
          <w:tcPr>
            <w:tcW w:w="1361" w:type="pct"/>
            <w:noWrap/>
            <w:hideMark/>
          </w:tcPr>
          <w:p w14:paraId="0EBA5D4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79,825</w:t>
            </w:r>
          </w:p>
        </w:tc>
        <w:tc>
          <w:tcPr>
            <w:tcW w:w="1167" w:type="pct"/>
            <w:noWrap/>
            <w:hideMark/>
          </w:tcPr>
          <w:p w14:paraId="1E9A330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6.3%</w:t>
            </w:r>
          </w:p>
        </w:tc>
      </w:tr>
      <w:tr w:rsidR="00360825" w:rsidRPr="00DE1AA1" w14:paraId="4B5B1F45" w14:textId="77777777" w:rsidTr="00C04569">
        <w:tc>
          <w:tcPr>
            <w:tcW w:w="1000" w:type="pct"/>
            <w:noWrap/>
            <w:hideMark/>
          </w:tcPr>
          <w:p w14:paraId="6FFBA11C"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4</w:t>
            </w:r>
          </w:p>
        </w:tc>
        <w:tc>
          <w:tcPr>
            <w:tcW w:w="1472" w:type="pct"/>
            <w:noWrap/>
            <w:hideMark/>
          </w:tcPr>
          <w:p w14:paraId="23609C7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c>
          <w:tcPr>
            <w:tcW w:w="1361" w:type="pct"/>
            <w:noWrap/>
            <w:hideMark/>
          </w:tcPr>
          <w:p w14:paraId="4C60683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1,283</w:t>
            </w:r>
          </w:p>
        </w:tc>
        <w:tc>
          <w:tcPr>
            <w:tcW w:w="1167" w:type="pct"/>
            <w:noWrap/>
            <w:hideMark/>
          </w:tcPr>
          <w:p w14:paraId="298AC2A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0.0%</w:t>
            </w:r>
          </w:p>
        </w:tc>
      </w:tr>
      <w:tr w:rsidR="00360825" w:rsidRPr="00DE1AA1" w14:paraId="2D44DFEA" w14:textId="77777777" w:rsidTr="00C04569">
        <w:tc>
          <w:tcPr>
            <w:tcW w:w="1000" w:type="pct"/>
            <w:noWrap/>
          </w:tcPr>
          <w:p w14:paraId="01CB6B4B"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5</w:t>
            </w:r>
          </w:p>
        </w:tc>
        <w:tc>
          <w:tcPr>
            <w:tcW w:w="1472" w:type="pct"/>
            <w:noWrap/>
          </w:tcPr>
          <w:p w14:paraId="73DFCBD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c>
          <w:tcPr>
            <w:tcW w:w="1361" w:type="pct"/>
            <w:noWrap/>
          </w:tcPr>
          <w:p w14:paraId="6B9B449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c>
          <w:tcPr>
            <w:tcW w:w="1167" w:type="pct"/>
            <w:noWrap/>
          </w:tcPr>
          <w:p w14:paraId="3EA3CEE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r>
      <w:tr w:rsidR="00360825" w:rsidRPr="00DE1AA1" w14:paraId="2DE044C4" w14:textId="77777777" w:rsidTr="00C04569">
        <w:tc>
          <w:tcPr>
            <w:tcW w:w="1000" w:type="pct"/>
            <w:noWrap/>
            <w:hideMark/>
          </w:tcPr>
          <w:p w14:paraId="464EDABD"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Overall</w:t>
            </w:r>
          </w:p>
        </w:tc>
        <w:tc>
          <w:tcPr>
            <w:tcW w:w="1472" w:type="pct"/>
            <w:noWrap/>
            <w:hideMark/>
          </w:tcPr>
          <w:p w14:paraId="5A2A707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6,385</w:t>
            </w:r>
          </w:p>
        </w:tc>
        <w:tc>
          <w:tcPr>
            <w:tcW w:w="1361" w:type="pct"/>
            <w:noWrap/>
            <w:hideMark/>
          </w:tcPr>
          <w:p w14:paraId="292A072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117,127</w:t>
            </w:r>
          </w:p>
        </w:tc>
        <w:tc>
          <w:tcPr>
            <w:tcW w:w="1167" w:type="pct"/>
            <w:noWrap/>
            <w:hideMark/>
          </w:tcPr>
          <w:p w14:paraId="4C60852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5.5%</w:t>
            </w:r>
          </w:p>
        </w:tc>
      </w:tr>
    </w:tbl>
    <w:p w14:paraId="0FBADDC3"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0EDA2B0E" w14:textId="1C1F6F0D"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vacancy rate for office stock by age band. It can be seen that vacancy rates are </w:t>
      </w:r>
      <w:r w:rsidR="002B1913" w:rsidRPr="00D556DB">
        <w:rPr>
          <w:rFonts w:ascii="Arial" w:hAnsi="Arial" w:cs="Arial"/>
        </w:rPr>
        <w:t>extremely high</w:t>
      </w:r>
      <w:r w:rsidRPr="00D556DB">
        <w:rPr>
          <w:rFonts w:ascii="Arial" w:hAnsi="Arial" w:cs="Arial"/>
        </w:rPr>
        <w:t xml:space="preserve"> for property built/renovated from 2015-2019 (and 2020). This suggests that the demand for new property is not massive. Whilst to some </w:t>
      </w:r>
      <w:r w:rsidRPr="00DE1AA1">
        <w:rPr>
          <w:rFonts w:ascii="Arial" w:hAnsi="Arial" w:cs="Arial"/>
        </w:rPr>
        <w:t>extent</w:t>
      </w:r>
      <w:r w:rsidRPr="00D556DB">
        <w:rPr>
          <w:rFonts w:ascii="Arial" w:hAnsi="Arial" w:cs="Arial"/>
        </w:rPr>
        <w:t xml:space="preserve"> this may reflect the time needed for new build space to be taken-up, availability rates are also extremely high in these age bands.</w:t>
      </w:r>
    </w:p>
    <w:p w14:paraId="62B267D0" w14:textId="77777777" w:rsidR="00360825" w:rsidRPr="00D556DB" w:rsidRDefault="00360825" w:rsidP="001A7584">
      <w:pPr>
        <w:pStyle w:val="Heading4"/>
        <w:ind w:firstLine="0"/>
      </w:pPr>
      <w:r w:rsidRPr="00D556DB">
        <w:lastRenderedPageBreak/>
        <w:t>Vacancy Rate by Age</w:t>
      </w:r>
    </w:p>
    <w:tbl>
      <w:tblPr>
        <w:tblStyle w:val="TableGrid"/>
        <w:tblW w:w="5000" w:type="pct"/>
        <w:tblLook w:val="04A0" w:firstRow="1" w:lastRow="0" w:firstColumn="1" w:lastColumn="0" w:noHBand="0" w:noVBand="1"/>
      </w:tblPr>
      <w:tblGrid>
        <w:gridCol w:w="1933"/>
        <w:gridCol w:w="2603"/>
        <w:gridCol w:w="2175"/>
        <w:gridCol w:w="2066"/>
      </w:tblGrid>
      <w:tr w:rsidR="00360825" w:rsidRPr="00DE1AA1" w14:paraId="39B4A1E3" w14:textId="77777777" w:rsidTr="00C04569">
        <w:tc>
          <w:tcPr>
            <w:tcW w:w="1101" w:type="pct"/>
            <w:shd w:val="clear" w:color="auto" w:fill="002060"/>
            <w:noWrap/>
            <w:hideMark/>
          </w:tcPr>
          <w:p w14:paraId="71458B73" w14:textId="77777777" w:rsidR="00360825" w:rsidRPr="00D556DB" w:rsidRDefault="00360825" w:rsidP="00C04569">
            <w:pPr>
              <w:keepNext/>
              <w:spacing w:after="0" w:line="300" w:lineRule="auto"/>
              <w:jc w:val="left"/>
              <w:rPr>
                <w:rFonts w:ascii="Arial" w:hAnsi="Arial" w:cs="Arial"/>
                <w:color w:val="FFFFFF"/>
              </w:rPr>
            </w:pPr>
            <w:r w:rsidRPr="00D556DB">
              <w:rPr>
                <w:rFonts w:ascii="Arial" w:hAnsi="Arial" w:cs="Arial"/>
                <w:color w:val="FFFFFF"/>
              </w:rPr>
              <w:t>Age Band</w:t>
            </w:r>
          </w:p>
        </w:tc>
        <w:tc>
          <w:tcPr>
            <w:tcW w:w="1483" w:type="pct"/>
            <w:shd w:val="clear" w:color="auto" w:fill="002060"/>
            <w:noWrap/>
            <w:hideMark/>
          </w:tcPr>
          <w:p w14:paraId="1403A268"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Sum of Vacant SQM</w:t>
            </w:r>
          </w:p>
        </w:tc>
        <w:tc>
          <w:tcPr>
            <w:tcW w:w="1239" w:type="pct"/>
            <w:shd w:val="clear" w:color="auto" w:fill="002060"/>
            <w:noWrap/>
            <w:hideMark/>
          </w:tcPr>
          <w:p w14:paraId="6A7A2B59"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Sum of NIA SQM</w:t>
            </w:r>
          </w:p>
        </w:tc>
        <w:tc>
          <w:tcPr>
            <w:tcW w:w="1177" w:type="pct"/>
            <w:shd w:val="clear" w:color="auto" w:fill="002060"/>
            <w:noWrap/>
            <w:hideMark/>
          </w:tcPr>
          <w:p w14:paraId="6BDDDEAE"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Vacancy Rate</w:t>
            </w:r>
          </w:p>
        </w:tc>
      </w:tr>
      <w:tr w:rsidR="00360825" w:rsidRPr="00DE1AA1" w14:paraId="2B143AE3" w14:textId="77777777" w:rsidTr="00C04569">
        <w:tc>
          <w:tcPr>
            <w:tcW w:w="1101" w:type="pct"/>
            <w:noWrap/>
            <w:hideMark/>
          </w:tcPr>
          <w:p w14:paraId="61B351DC"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Pre 1940</w:t>
            </w:r>
          </w:p>
        </w:tc>
        <w:tc>
          <w:tcPr>
            <w:tcW w:w="1483" w:type="pct"/>
            <w:noWrap/>
            <w:hideMark/>
          </w:tcPr>
          <w:p w14:paraId="3758614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1,116</w:t>
            </w:r>
          </w:p>
        </w:tc>
        <w:tc>
          <w:tcPr>
            <w:tcW w:w="1239" w:type="pct"/>
            <w:noWrap/>
            <w:hideMark/>
          </w:tcPr>
          <w:p w14:paraId="5499B4E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47,606</w:t>
            </w:r>
          </w:p>
        </w:tc>
        <w:tc>
          <w:tcPr>
            <w:tcW w:w="1177" w:type="pct"/>
            <w:noWrap/>
            <w:hideMark/>
          </w:tcPr>
          <w:p w14:paraId="27BD7A9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w:t>
            </w:r>
          </w:p>
        </w:tc>
      </w:tr>
      <w:tr w:rsidR="00360825" w:rsidRPr="00DE1AA1" w14:paraId="7F995599" w14:textId="77777777" w:rsidTr="00C04569">
        <w:tc>
          <w:tcPr>
            <w:tcW w:w="1101" w:type="pct"/>
            <w:noWrap/>
            <w:hideMark/>
          </w:tcPr>
          <w:p w14:paraId="4223D601"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1940-1959</w:t>
            </w:r>
          </w:p>
        </w:tc>
        <w:tc>
          <w:tcPr>
            <w:tcW w:w="1483" w:type="pct"/>
            <w:noWrap/>
            <w:hideMark/>
          </w:tcPr>
          <w:p w14:paraId="73D5BF6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c>
          <w:tcPr>
            <w:tcW w:w="1239" w:type="pct"/>
            <w:noWrap/>
            <w:hideMark/>
          </w:tcPr>
          <w:p w14:paraId="6A1CA07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2,018</w:t>
            </w:r>
          </w:p>
        </w:tc>
        <w:tc>
          <w:tcPr>
            <w:tcW w:w="1177" w:type="pct"/>
            <w:noWrap/>
            <w:hideMark/>
          </w:tcPr>
          <w:p w14:paraId="6745E61A"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0.0%</w:t>
            </w:r>
          </w:p>
        </w:tc>
      </w:tr>
      <w:tr w:rsidR="00360825" w:rsidRPr="00DE1AA1" w14:paraId="0B4B7068" w14:textId="77777777" w:rsidTr="00C04569">
        <w:tc>
          <w:tcPr>
            <w:tcW w:w="1101" w:type="pct"/>
            <w:noWrap/>
            <w:hideMark/>
          </w:tcPr>
          <w:p w14:paraId="3875CCD6"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1960-1979</w:t>
            </w:r>
          </w:p>
        </w:tc>
        <w:tc>
          <w:tcPr>
            <w:tcW w:w="1483" w:type="pct"/>
            <w:noWrap/>
            <w:hideMark/>
          </w:tcPr>
          <w:p w14:paraId="1A400A2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2,397</w:t>
            </w:r>
          </w:p>
        </w:tc>
        <w:tc>
          <w:tcPr>
            <w:tcW w:w="1239" w:type="pct"/>
            <w:noWrap/>
            <w:hideMark/>
          </w:tcPr>
          <w:p w14:paraId="25D16C6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18,370</w:t>
            </w:r>
          </w:p>
        </w:tc>
        <w:tc>
          <w:tcPr>
            <w:tcW w:w="1177" w:type="pct"/>
            <w:noWrap/>
            <w:hideMark/>
          </w:tcPr>
          <w:p w14:paraId="6E38922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13.1%</w:t>
            </w:r>
          </w:p>
        </w:tc>
      </w:tr>
      <w:tr w:rsidR="00360825" w:rsidRPr="00DE1AA1" w14:paraId="6E1A74FE" w14:textId="77777777" w:rsidTr="00C04569">
        <w:tc>
          <w:tcPr>
            <w:tcW w:w="1101" w:type="pct"/>
            <w:noWrap/>
            <w:hideMark/>
          </w:tcPr>
          <w:p w14:paraId="68240D09"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1980-1999</w:t>
            </w:r>
          </w:p>
        </w:tc>
        <w:tc>
          <w:tcPr>
            <w:tcW w:w="1483" w:type="pct"/>
            <w:noWrap/>
            <w:hideMark/>
          </w:tcPr>
          <w:p w14:paraId="4A15088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63</w:t>
            </w:r>
          </w:p>
        </w:tc>
        <w:tc>
          <w:tcPr>
            <w:tcW w:w="1239" w:type="pct"/>
            <w:noWrap/>
            <w:hideMark/>
          </w:tcPr>
          <w:p w14:paraId="23F42ED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26,497</w:t>
            </w:r>
          </w:p>
        </w:tc>
        <w:tc>
          <w:tcPr>
            <w:tcW w:w="1177" w:type="pct"/>
            <w:noWrap/>
            <w:hideMark/>
          </w:tcPr>
          <w:p w14:paraId="69B55F6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0.2%</w:t>
            </w:r>
          </w:p>
        </w:tc>
      </w:tr>
      <w:tr w:rsidR="00360825" w:rsidRPr="00DE1AA1" w14:paraId="3E47B7D1" w14:textId="77777777" w:rsidTr="00C04569">
        <w:tc>
          <w:tcPr>
            <w:tcW w:w="1101" w:type="pct"/>
            <w:noWrap/>
            <w:hideMark/>
          </w:tcPr>
          <w:p w14:paraId="08072E69"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2000-2009</w:t>
            </w:r>
          </w:p>
        </w:tc>
        <w:tc>
          <w:tcPr>
            <w:tcW w:w="1483" w:type="pct"/>
            <w:noWrap/>
            <w:hideMark/>
          </w:tcPr>
          <w:p w14:paraId="168C289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1,119</w:t>
            </w:r>
          </w:p>
        </w:tc>
        <w:tc>
          <w:tcPr>
            <w:tcW w:w="1239" w:type="pct"/>
            <w:noWrap/>
            <w:hideMark/>
          </w:tcPr>
          <w:p w14:paraId="19FF114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13,917</w:t>
            </w:r>
          </w:p>
        </w:tc>
        <w:tc>
          <w:tcPr>
            <w:tcW w:w="1177" w:type="pct"/>
            <w:noWrap/>
            <w:hideMark/>
          </w:tcPr>
          <w:p w14:paraId="6946055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8.0%</w:t>
            </w:r>
          </w:p>
        </w:tc>
      </w:tr>
      <w:tr w:rsidR="00360825" w:rsidRPr="00DE1AA1" w14:paraId="7FB77D54" w14:textId="77777777" w:rsidTr="00C04569">
        <w:tc>
          <w:tcPr>
            <w:tcW w:w="1101" w:type="pct"/>
            <w:noWrap/>
            <w:hideMark/>
          </w:tcPr>
          <w:p w14:paraId="6063A544"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2010-2014</w:t>
            </w:r>
          </w:p>
        </w:tc>
        <w:tc>
          <w:tcPr>
            <w:tcW w:w="1483" w:type="pct"/>
            <w:noWrap/>
            <w:hideMark/>
          </w:tcPr>
          <w:p w14:paraId="69C8017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159</w:t>
            </w:r>
          </w:p>
        </w:tc>
        <w:tc>
          <w:tcPr>
            <w:tcW w:w="1239" w:type="pct"/>
            <w:noWrap/>
            <w:hideMark/>
          </w:tcPr>
          <w:p w14:paraId="38ECEAF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2,890</w:t>
            </w:r>
          </w:p>
        </w:tc>
        <w:tc>
          <w:tcPr>
            <w:tcW w:w="1177" w:type="pct"/>
            <w:noWrap/>
            <w:hideMark/>
          </w:tcPr>
          <w:p w14:paraId="73FE595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5.5%</w:t>
            </w:r>
          </w:p>
        </w:tc>
      </w:tr>
      <w:tr w:rsidR="00360825" w:rsidRPr="00DE1AA1" w14:paraId="07F85072" w14:textId="77777777" w:rsidTr="00C04569">
        <w:tc>
          <w:tcPr>
            <w:tcW w:w="1101" w:type="pct"/>
            <w:noWrap/>
            <w:hideMark/>
          </w:tcPr>
          <w:p w14:paraId="3D500E68"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2015-2019</w:t>
            </w:r>
          </w:p>
        </w:tc>
        <w:tc>
          <w:tcPr>
            <w:tcW w:w="1483" w:type="pct"/>
            <w:noWrap/>
            <w:hideMark/>
          </w:tcPr>
          <w:p w14:paraId="43456E3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910</w:t>
            </w:r>
          </w:p>
        </w:tc>
        <w:tc>
          <w:tcPr>
            <w:tcW w:w="1239" w:type="pct"/>
            <w:noWrap/>
            <w:hideMark/>
          </w:tcPr>
          <w:p w14:paraId="59A31EC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5,117</w:t>
            </w:r>
          </w:p>
        </w:tc>
        <w:tc>
          <w:tcPr>
            <w:tcW w:w="1177" w:type="pct"/>
            <w:noWrap/>
            <w:hideMark/>
          </w:tcPr>
          <w:p w14:paraId="61E0CBD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17.8%</w:t>
            </w:r>
          </w:p>
        </w:tc>
      </w:tr>
      <w:tr w:rsidR="00360825" w:rsidRPr="00DE1AA1" w14:paraId="6990E47F" w14:textId="77777777" w:rsidTr="00C04569">
        <w:tc>
          <w:tcPr>
            <w:tcW w:w="1101" w:type="pct"/>
            <w:noWrap/>
            <w:hideMark/>
          </w:tcPr>
          <w:p w14:paraId="5C32E361"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2020</w:t>
            </w:r>
          </w:p>
        </w:tc>
        <w:tc>
          <w:tcPr>
            <w:tcW w:w="1483" w:type="pct"/>
            <w:noWrap/>
            <w:hideMark/>
          </w:tcPr>
          <w:p w14:paraId="2749E26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621</w:t>
            </w:r>
          </w:p>
        </w:tc>
        <w:tc>
          <w:tcPr>
            <w:tcW w:w="1239" w:type="pct"/>
            <w:noWrap/>
            <w:hideMark/>
          </w:tcPr>
          <w:p w14:paraId="587F149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711</w:t>
            </w:r>
          </w:p>
        </w:tc>
        <w:tc>
          <w:tcPr>
            <w:tcW w:w="1177" w:type="pct"/>
            <w:noWrap/>
            <w:hideMark/>
          </w:tcPr>
          <w:p w14:paraId="1E45747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87.4%</w:t>
            </w:r>
          </w:p>
        </w:tc>
      </w:tr>
      <w:tr w:rsidR="00360825" w:rsidRPr="00DE1AA1" w14:paraId="2EFFD874" w14:textId="77777777" w:rsidTr="00C04569">
        <w:tc>
          <w:tcPr>
            <w:tcW w:w="1101" w:type="pct"/>
            <w:noWrap/>
            <w:hideMark/>
          </w:tcPr>
          <w:p w14:paraId="769AC6FB"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Overall</w:t>
            </w:r>
          </w:p>
        </w:tc>
        <w:tc>
          <w:tcPr>
            <w:tcW w:w="1483" w:type="pct"/>
            <w:noWrap/>
            <w:hideMark/>
          </w:tcPr>
          <w:p w14:paraId="2AD08C2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6,385</w:t>
            </w:r>
          </w:p>
        </w:tc>
        <w:tc>
          <w:tcPr>
            <w:tcW w:w="1239" w:type="pct"/>
            <w:noWrap/>
            <w:hideMark/>
          </w:tcPr>
          <w:p w14:paraId="1D9CE56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117,127</w:t>
            </w:r>
          </w:p>
        </w:tc>
        <w:tc>
          <w:tcPr>
            <w:tcW w:w="1177" w:type="pct"/>
            <w:noWrap/>
            <w:hideMark/>
          </w:tcPr>
          <w:p w14:paraId="271A176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5.5%</w:t>
            </w:r>
          </w:p>
        </w:tc>
      </w:tr>
    </w:tbl>
    <w:p w14:paraId="281FA96B"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61B32817"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Conclusions</w:t>
      </w:r>
    </w:p>
    <w:p w14:paraId="3115D95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demand for higher quality office space in Chichester is uncertain. However, the limited top end space in Chichester is fully occupied. Demand for new space seems to be limited in Chichester and on recent evidence it may take time to fill.</w:t>
      </w:r>
    </w:p>
    <w:p w14:paraId="2E40AAE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However, if recent high levels of demand continue the businesses may be forced to take up high quality/new office space.</w:t>
      </w:r>
    </w:p>
    <w:p w14:paraId="01E99C97"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58" w:name="_Hlk88833244"/>
      <w:r w:rsidRPr="00D556DB">
        <w:rPr>
          <w:rFonts w:ascii="Arial" w:hAnsi="Arial" w:cs="Arial"/>
        </w:rPr>
        <w:t>Lower quality office space in Chichester is well occupied and should not be lost unless absolutely necessary.</w:t>
      </w:r>
    </w:p>
    <w:bookmarkEnd w:id="58"/>
    <w:p w14:paraId="7A290E90" w14:textId="77777777" w:rsidR="00360825" w:rsidRPr="00D556DB" w:rsidRDefault="00360825" w:rsidP="00360825">
      <w:pPr>
        <w:pStyle w:val="Heading3"/>
        <w:rPr>
          <w:rFonts w:ascii="Arial" w:hAnsi="Arial" w:cs="Arial"/>
        </w:rPr>
      </w:pPr>
      <w:r w:rsidRPr="00D556DB">
        <w:rPr>
          <w:rFonts w:ascii="Arial" w:hAnsi="Arial" w:cs="Arial"/>
        </w:rPr>
        <w:t>Demand by Size</w:t>
      </w:r>
    </w:p>
    <w:p w14:paraId="1420B5F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amount</w:t>
      </w:r>
      <w:r w:rsidRPr="00D556DB">
        <w:rPr>
          <w:rFonts w:ascii="Arial" w:hAnsi="Arial" w:cs="Arial"/>
        </w:rPr>
        <w:t xml:space="preserve"> of leasing activity which has occurred in various size bands has been assessed to provide an indication of demand by size. Leasing activity differs from absorption in that it refers to the amount of space which is leased (i.e. signed for rather than physically moved in to).</w:t>
      </w:r>
    </w:p>
    <w:p w14:paraId="45F23EE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amount of leasing activity (sqm) by size band which has occurred over the last 5 years. It can be seen that leasing activity has declined over the last 5 years. This has been due to a lack of transactions for between 500 and 2,000 sqm of floorspace as well as a declining amount of floorspace being leased which is between 100 and 500 sqm. The amount of floorspace leased in the 0-100 sqm category has </w:t>
      </w:r>
      <w:r w:rsidRPr="00DE1AA1">
        <w:rPr>
          <w:rFonts w:ascii="Arial" w:hAnsi="Arial" w:cs="Arial"/>
        </w:rPr>
        <w:t>remained</w:t>
      </w:r>
      <w:r w:rsidRPr="00D556DB">
        <w:rPr>
          <w:rFonts w:ascii="Arial" w:hAnsi="Arial" w:cs="Arial"/>
        </w:rPr>
        <w:t xml:space="preserve"> stable. </w:t>
      </w:r>
    </w:p>
    <w:p w14:paraId="796483F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It should also be noted that there have been no leases of over 2,000 sqm showing Chichester’s office market is focused on small and mid-sized provision.</w:t>
      </w:r>
    </w:p>
    <w:p w14:paraId="20270587" w14:textId="2C192B3D" w:rsidR="00360825" w:rsidRPr="00D556DB" w:rsidRDefault="00360825" w:rsidP="001A7584">
      <w:pPr>
        <w:pStyle w:val="Heading4"/>
        <w:ind w:firstLine="0"/>
      </w:pPr>
      <w:r w:rsidRPr="00D556DB">
        <w:lastRenderedPageBreak/>
        <w:t>- Leasing Activity Over Time by Size Band (Sqm)</w:t>
      </w:r>
    </w:p>
    <w:p w14:paraId="140BD673"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563B9847" wp14:editId="3E02FE15">
            <wp:extent cx="5616000" cy="2880000"/>
            <wp:effectExtent l="0" t="0" r="3810" b="15875"/>
            <wp:docPr id="53" name="Chart 53" descr="The figure shows the amount of leasing activity (sqm) by size band which has occurred over the last 5 years. It can be seen that leasing activity has declined over the last 5 years. This has been due to a lack of transactions for between 500 and 2,000 sqm of floorspace as well as a declining amount of floorspace being leased which is between 100 and 500 sqm. The amount of floorspace leased in the 0-100 sqm category has remained stable. &#10;&#10;It should also be noted that there have been no leases of over 2,000 sqm showing Chichester’s office market is focused on small and mid-sized provision.&#10;">
              <a:extLst xmlns:a="http://schemas.openxmlformats.org/drawingml/2006/main">
                <a:ext uri="{FF2B5EF4-FFF2-40B4-BE49-F238E27FC236}">
                  <a16:creationId xmlns:a16="http://schemas.microsoft.com/office/drawing/2014/main" id="{98415A75-D601-42C5-BCC2-3ED148061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52EBB6B" w14:textId="77777777" w:rsidR="00360825" w:rsidRPr="00D556DB" w:rsidRDefault="00360825" w:rsidP="00360825">
      <w:pPr>
        <w:pStyle w:val="BodyText"/>
        <w:numPr>
          <w:ilvl w:val="0"/>
          <w:numId w:val="0"/>
        </w:numPr>
        <w:rPr>
          <w:rFonts w:ascii="Arial" w:hAnsi="Arial" w:cs="Arial"/>
          <w:noProof/>
        </w:rPr>
      </w:pPr>
      <w:r w:rsidRPr="00D556DB">
        <w:rPr>
          <w:rFonts w:ascii="Arial" w:hAnsi="Arial" w:cs="Arial"/>
          <w:i/>
          <w:iCs/>
        </w:rPr>
        <w:t>Source: Iceni analysis of CoStar data</w:t>
      </w:r>
    </w:p>
    <w:p w14:paraId="0CD8AFD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percentage of leasing activity by size band in the last year and over the last 5 years. It can be seen that over the last 6 years, over half of floorspace leased was between 100-500 sqm in size. However, in 2020 alone this dropped to under a third </w:t>
      </w:r>
      <w:r w:rsidRPr="00DE1AA1">
        <w:rPr>
          <w:rFonts w:ascii="Arial" w:hAnsi="Arial" w:cs="Arial"/>
        </w:rPr>
        <w:t>and</w:t>
      </w:r>
      <w:r w:rsidRPr="00D556DB">
        <w:rPr>
          <w:rFonts w:ascii="Arial" w:hAnsi="Arial" w:cs="Arial"/>
        </w:rPr>
        <w:t xml:space="preserve"> the amount of floorspace leased of between 0-100 and 500-2,000 sqm increased to over a third. Whilst 2020 saw a higher percentage of activity in the 0-100 sqm category this does not reflect increased activity in this size band.</w:t>
      </w:r>
    </w:p>
    <w:p w14:paraId="4F5B9C31" w14:textId="77777777" w:rsidR="00360825" w:rsidRPr="00D556DB" w:rsidRDefault="00360825" w:rsidP="001A7584">
      <w:pPr>
        <w:pStyle w:val="Heading4"/>
        <w:ind w:firstLine="0"/>
      </w:pPr>
      <w:r w:rsidRPr="00D556DB">
        <w:t>Percentage of Leasing Activity by Size Band</w:t>
      </w:r>
    </w:p>
    <w:tbl>
      <w:tblPr>
        <w:tblStyle w:val="TableGrid"/>
        <w:tblW w:w="5000" w:type="pct"/>
        <w:tblLook w:val="04A0" w:firstRow="1" w:lastRow="0" w:firstColumn="1" w:lastColumn="0" w:noHBand="0" w:noVBand="1"/>
      </w:tblPr>
      <w:tblGrid>
        <w:gridCol w:w="3413"/>
        <w:gridCol w:w="1820"/>
        <w:gridCol w:w="1611"/>
        <w:gridCol w:w="1933"/>
      </w:tblGrid>
      <w:tr w:rsidR="00360825" w:rsidRPr="00DE1AA1" w14:paraId="50641176" w14:textId="77777777" w:rsidTr="00C04569">
        <w:tc>
          <w:tcPr>
            <w:tcW w:w="1944" w:type="pct"/>
            <w:shd w:val="clear" w:color="auto" w:fill="002060"/>
            <w:noWrap/>
            <w:hideMark/>
          </w:tcPr>
          <w:p w14:paraId="0883E895" w14:textId="77777777" w:rsidR="00360825" w:rsidRPr="00D556DB" w:rsidRDefault="00360825" w:rsidP="00C04569">
            <w:pPr>
              <w:keepNext/>
              <w:spacing w:after="0" w:line="300" w:lineRule="auto"/>
              <w:jc w:val="center"/>
              <w:rPr>
                <w:rFonts w:ascii="Arial" w:hAnsi="Arial" w:cs="Arial"/>
                <w:color w:val="FFFFFF" w:themeColor="background1"/>
              </w:rPr>
            </w:pPr>
          </w:p>
        </w:tc>
        <w:tc>
          <w:tcPr>
            <w:tcW w:w="1037" w:type="pct"/>
            <w:shd w:val="clear" w:color="auto" w:fill="002060"/>
            <w:noWrap/>
            <w:hideMark/>
          </w:tcPr>
          <w:p w14:paraId="477E5B5E"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0-100 sqm</w:t>
            </w:r>
          </w:p>
        </w:tc>
        <w:tc>
          <w:tcPr>
            <w:tcW w:w="918" w:type="pct"/>
            <w:shd w:val="clear" w:color="auto" w:fill="002060"/>
            <w:noWrap/>
            <w:hideMark/>
          </w:tcPr>
          <w:p w14:paraId="55840AAD"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100 - 500 sqm</w:t>
            </w:r>
          </w:p>
        </w:tc>
        <w:tc>
          <w:tcPr>
            <w:tcW w:w="1101" w:type="pct"/>
            <w:shd w:val="clear" w:color="auto" w:fill="002060"/>
          </w:tcPr>
          <w:p w14:paraId="459A6D68"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500 - 2,000 sqm</w:t>
            </w:r>
          </w:p>
        </w:tc>
      </w:tr>
      <w:tr w:rsidR="00360825" w:rsidRPr="00DE1AA1" w14:paraId="5A818B2A" w14:textId="77777777" w:rsidTr="00C04569">
        <w:tc>
          <w:tcPr>
            <w:tcW w:w="1944" w:type="pct"/>
            <w:noWrap/>
            <w:hideMark/>
          </w:tcPr>
          <w:p w14:paraId="29FEBE2D" w14:textId="77777777" w:rsidR="00360825" w:rsidRPr="00D556DB" w:rsidRDefault="00360825" w:rsidP="00C04569">
            <w:pPr>
              <w:keepNext/>
              <w:spacing w:after="0" w:line="300" w:lineRule="auto"/>
              <w:rPr>
                <w:rFonts w:ascii="Arial" w:hAnsi="Arial" w:cs="Arial"/>
              </w:rPr>
            </w:pPr>
            <w:r w:rsidRPr="00D556DB">
              <w:rPr>
                <w:rFonts w:ascii="Arial" w:hAnsi="Arial" w:cs="Arial"/>
              </w:rPr>
              <w:t>2015-2020</w:t>
            </w:r>
          </w:p>
        </w:tc>
        <w:tc>
          <w:tcPr>
            <w:tcW w:w="1037" w:type="pct"/>
            <w:noWrap/>
            <w:hideMark/>
          </w:tcPr>
          <w:p w14:paraId="2CD283D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25%</w:t>
            </w:r>
          </w:p>
        </w:tc>
        <w:tc>
          <w:tcPr>
            <w:tcW w:w="918" w:type="pct"/>
            <w:noWrap/>
            <w:hideMark/>
          </w:tcPr>
          <w:p w14:paraId="231796A2"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59%</w:t>
            </w:r>
          </w:p>
        </w:tc>
        <w:tc>
          <w:tcPr>
            <w:tcW w:w="1101" w:type="pct"/>
          </w:tcPr>
          <w:p w14:paraId="5AFA970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16%</w:t>
            </w:r>
          </w:p>
        </w:tc>
      </w:tr>
      <w:tr w:rsidR="00360825" w:rsidRPr="00DE1AA1" w14:paraId="22ECC7C7" w14:textId="77777777" w:rsidTr="00C04569">
        <w:tc>
          <w:tcPr>
            <w:tcW w:w="1944" w:type="pct"/>
            <w:noWrap/>
            <w:hideMark/>
          </w:tcPr>
          <w:p w14:paraId="36C4A200" w14:textId="77777777" w:rsidR="00360825" w:rsidRPr="00D556DB" w:rsidRDefault="00360825" w:rsidP="00C04569">
            <w:pPr>
              <w:keepNext/>
              <w:spacing w:after="0" w:line="300" w:lineRule="auto"/>
              <w:jc w:val="left"/>
              <w:rPr>
                <w:rFonts w:ascii="Arial" w:hAnsi="Arial" w:cs="Arial"/>
              </w:rPr>
            </w:pPr>
            <w:r w:rsidRPr="00D556DB">
              <w:rPr>
                <w:rFonts w:ascii="Arial" w:hAnsi="Arial" w:cs="Arial"/>
              </w:rPr>
              <w:t>2020</w:t>
            </w:r>
          </w:p>
        </w:tc>
        <w:tc>
          <w:tcPr>
            <w:tcW w:w="1037" w:type="pct"/>
            <w:noWrap/>
            <w:hideMark/>
          </w:tcPr>
          <w:p w14:paraId="3087A86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37%</w:t>
            </w:r>
          </w:p>
        </w:tc>
        <w:tc>
          <w:tcPr>
            <w:tcW w:w="918" w:type="pct"/>
            <w:noWrap/>
            <w:hideMark/>
          </w:tcPr>
          <w:p w14:paraId="5F53449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29%</w:t>
            </w:r>
          </w:p>
        </w:tc>
        <w:tc>
          <w:tcPr>
            <w:tcW w:w="1101" w:type="pct"/>
          </w:tcPr>
          <w:p w14:paraId="187A326A"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34%</w:t>
            </w:r>
          </w:p>
        </w:tc>
      </w:tr>
    </w:tbl>
    <w:p w14:paraId="70B8EAC4"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01135A5E"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Conclusions</w:t>
      </w:r>
    </w:p>
    <w:p w14:paraId="5E7E70AF"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59" w:name="_Hlk88833393"/>
      <w:r w:rsidRPr="00D556DB">
        <w:rPr>
          <w:rFonts w:ascii="Arial" w:hAnsi="Arial" w:cs="Arial"/>
        </w:rPr>
        <w:t xml:space="preserve">Chichester’s office market is focussed on small to medium sized provision. </w:t>
      </w:r>
      <w:bookmarkEnd w:id="59"/>
      <w:r w:rsidRPr="00D556DB">
        <w:rPr>
          <w:rFonts w:ascii="Arial" w:hAnsi="Arial" w:cs="Arial"/>
        </w:rPr>
        <w:t xml:space="preserve">There has been steady demand for office space of between 0 and 100 sqm which makes up around a quarter of all leasing activity (in terms of sqm leased). Demand for space from 100-500 sqm and 500 sqm-2,000 sqm is more variable but is likely to make up around half and a quarter of demand respectively (in terms of sqm leased). </w:t>
      </w:r>
    </w:p>
    <w:p w14:paraId="33B5CDAE" w14:textId="77777777" w:rsidR="00360825" w:rsidRPr="00D556DB" w:rsidRDefault="00360825" w:rsidP="00360825">
      <w:pPr>
        <w:pStyle w:val="Heading3"/>
        <w:rPr>
          <w:rFonts w:ascii="Arial" w:hAnsi="Arial" w:cs="Arial"/>
        </w:rPr>
      </w:pPr>
      <w:r w:rsidRPr="00D556DB">
        <w:rPr>
          <w:rFonts w:ascii="Arial" w:hAnsi="Arial" w:cs="Arial"/>
        </w:rPr>
        <w:t xml:space="preserve">Office Market Summary </w:t>
      </w:r>
    </w:p>
    <w:p w14:paraId="60A064ED"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60" w:name="_Hlk89091584"/>
      <w:r w:rsidRPr="00D556DB">
        <w:rPr>
          <w:rFonts w:ascii="Arial" w:hAnsi="Arial" w:cs="Arial"/>
        </w:rPr>
        <w:t xml:space="preserve">The UK office market is recovering from the pandemic but demand still remains subdued in comparison to pre-pandemic levels. Prime </w:t>
      </w:r>
      <w:r w:rsidRPr="00DE1AA1">
        <w:rPr>
          <w:rFonts w:ascii="Arial" w:hAnsi="Arial" w:cs="Arial"/>
        </w:rPr>
        <w:t>offices</w:t>
      </w:r>
      <w:r w:rsidRPr="00D556DB">
        <w:rPr>
          <w:rFonts w:ascii="Arial" w:hAnsi="Arial" w:cs="Arial"/>
        </w:rPr>
        <w:t xml:space="preserve"> are likely to be most in demand as firms look for quality over quantity.</w:t>
      </w:r>
    </w:p>
    <w:p w14:paraId="044CB45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The impact of the pandemic on the South Coast’s office market is unclear. However, before the market was strong, particularly due to demand from professional, business, and TMT (Technology, Medial and Telecommunications) firms and co-working providers.</w:t>
      </w:r>
    </w:p>
    <w:p w14:paraId="0DAF11B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Chichester has a relatively small office market which has remained stable in size since 2002/03. However, in the last 5 years the amount of office floorspace in Chichester has </w:t>
      </w:r>
      <w:r w:rsidRPr="00DE1AA1">
        <w:rPr>
          <w:rFonts w:ascii="Arial" w:hAnsi="Arial" w:cs="Arial"/>
        </w:rPr>
        <w:t>been</w:t>
      </w:r>
      <w:r w:rsidRPr="00D556DB">
        <w:rPr>
          <w:rFonts w:ascii="Arial" w:hAnsi="Arial" w:cs="Arial"/>
        </w:rPr>
        <w:t xml:space="preserve"> shrinking at a similar rate to West Sussex, the South East and England as a whole.</w:t>
      </w:r>
    </w:p>
    <w:p w14:paraId="1047AED1"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Chichester’s</w:t>
      </w:r>
      <w:r w:rsidRPr="00D556DB">
        <w:rPr>
          <w:rFonts w:ascii="Arial" w:hAnsi="Arial" w:cs="Arial"/>
        </w:rPr>
        <w:t xml:space="preserve"> office market is not oversupplied but neither is it particularly constrained. However, if the strong demand observed over the last 2 years continues the market may become undersupplied, unless new floorspace is delivered.</w:t>
      </w:r>
    </w:p>
    <w:p w14:paraId="290A3BC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level</w:t>
      </w:r>
      <w:r w:rsidRPr="00D556DB">
        <w:rPr>
          <w:rFonts w:ascii="Arial" w:hAnsi="Arial" w:cs="Arial"/>
        </w:rPr>
        <w:t xml:space="preserve"> of demand for high quality office space in Chichester is uncertain but there is no evidence to suggest that the demand for prime space identified at a national level does not exist in the district.</w:t>
      </w:r>
    </w:p>
    <w:p w14:paraId="08A40F7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Lower quality office space in Chichester is well occupied and should not be lost unless absolutely necessary.</w:t>
      </w:r>
    </w:p>
    <w:p w14:paraId="18F14D33"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Chichester’s</w:t>
      </w:r>
      <w:r w:rsidRPr="00D556DB">
        <w:rPr>
          <w:rFonts w:ascii="Arial" w:hAnsi="Arial" w:cs="Arial"/>
        </w:rPr>
        <w:t xml:space="preserve"> office market is focussed on small to medium sized provision. Around half of space demand is likely to come from the 100-500 sqm category with the 0-100 sqm categories and 500-2,000 sqm categories making up around a quarter each.</w:t>
      </w:r>
    </w:p>
    <w:p w14:paraId="7C2B6D9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Overall, the vacancy rates of 5.5% indicate current supply-demand position is neutral and hence no significant </w:t>
      </w:r>
      <w:r w:rsidRPr="00DE1AA1">
        <w:rPr>
          <w:rFonts w:ascii="Arial" w:hAnsi="Arial" w:cs="Arial"/>
        </w:rPr>
        <w:t>adjustments</w:t>
      </w:r>
      <w:r w:rsidRPr="00D556DB">
        <w:rPr>
          <w:rFonts w:ascii="Arial" w:hAnsi="Arial" w:cs="Arial"/>
        </w:rPr>
        <w:t xml:space="preserve"> need to be made to future floorspace needs modelling later in this report to address this specifically.</w:t>
      </w:r>
    </w:p>
    <w:bookmarkEnd w:id="60"/>
    <w:p w14:paraId="291973A2" w14:textId="77777777" w:rsidR="00360825" w:rsidRPr="00D556DB" w:rsidRDefault="00360825" w:rsidP="00360825">
      <w:pPr>
        <w:pStyle w:val="Heading2"/>
        <w:rPr>
          <w:rFonts w:ascii="Arial" w:hAnsi="Arial" w:cs="Arial"/>
        </w:rPr>
      </w:pPr>
      <w:r w:rsidRPr="00D556DB">
        <w:rPr>
          <w:rFonts w:ascii="Arial" w:hAnsi="Arial" w:cs="Arial"/>
        </w:rPr>
        <w:t>Industrial</w:t>
      </w:r>
    </w:p>
    <w:p w14:paraId="5075E5E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This section provides an assessment of Chichester’s industrial market. This will be used to </w:t>
      </w:r>
      <w:r w:rsidRPr="00DE1AA1">
        <w:rPr>
          <w:rFonts w:ascii="Arial" w:hAnsi="Arial" w:cs="Arial"/>
        </w:rPr>
        <w:t>inform</w:t>
      </w:r>
      <w:r w:rsidRPr="00D556DB">
        <w:rPr>
          <w:rFonts w:ascii="Arial" w:hAnsi="Arial" w:cs="Arial"/>
        </w:rPr>
        <w:t xml:space="preserve"> the scale and type of future need which is identified later in this report.</w:t>
      </w:r>
      <w:r>
        <w:rPr>
          <w:rFonts w:ascii="Arial" w:hAnsi="Arial" w:cs="Arial"/>
        </w:rPr>
        <w:t xml:space="preserve"> </w:t>
      </w:r>
      <w:r w:rsidRPr="00D556DB">
        <w:rPr>
          <w:rFonts w:ascii="Arial" w:hAnsi="Arial" w:cs="Arial"/>
        </w:rPr>
        <w:t>The industrial market includes both factories and warehouses.</w:t>
      </w:r>
    </w:p>
    <w:p w14:paraId="56014613" w14:textId="77777777" w:rsidR="00360825" w:rsidRPr="00D556DB" w:rsidRDefault="00360825" w:rsidP="00360825">
      <w:pPr>
        <w:pStyle w:val="Heading3"/>
        <w:rPr>
          <w:rFonts w:ascii="Arial" w:hAnsi="Arial" w:cs="Arial"/>
        </w:rPr>
      </w:pPr>
      <w:r w:rsidRPr="00D556DB">
        <w:rPr>
          <w:rFonts w:ascii="Arial" w:hAnsi="Arial" w:cs="Arial"/>
        </w:rPr>
        <w:t>UK Industrial Market Overview</w:t>
      </w:r>
    </w:p>
    <w:p w14:paraId="09EA367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report that “industrial demand conditions have rarely been stronger. The accelerated shift to e-commerce brought about by the pandemic has fuelled the </w:t>
      </w:r>
      <w:r w:rsidRPr="00DE1AA1">
        <w:rPr>
          <w:rFonts w:ascii="Arial" w:hAnsi="Arial" w:cs="Arial"/>
        </w:rPr>
        <w:t>expansion</w:t>
      </w:r>
      <w:r w:rsidRPr="00D556DB">
        <w:rPr>
          <w:rFonts w:ascii="Arial" w:hAnsi="Arial" w:cs="Arial"/>
        </w:rPr>
        <w:t xml:space="preserve"> of retailers and third-party logistics firms, while the UK's exit from the EU single market and customs union is leading to increased inventory holding, resulting in the need for additional warehousing. At the same time, a diverse mix of other industrial-using businesses including modular housebuilders, lithium-ion battery makers, data centre operators and film production companies are competing for a relatively limited supply of stock.”</w:t>
      </w:r>
    </w:p>
    <w:p w14:paraId="7938853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They go on to state that, “Developers are responding with record amounts of new </w:t>
      </w:r>
      <w:r w:rsidRPr="00DE1AA1">
        <w:rPr>
          <w:rFonts w:ascii="Arial" w:hAnsi="Arial" w:cs="Arial"/>
        </w:rPr>
        <w:t>construction</w:t>
      </w:r>
      <w:r w:rsidRPr="00D556DB">
        <w:rPr>
          <w:rFonts w:ascii="Arial" w:hAnsi="Arial" w:cs="Arial"/>
        </w:rPr>
        <w:t>, though there is virtually no risk of overbuilding” as requirements outweigh pipeline supply by around a third (and two thirds of pipeline supply is pre-let).</w:t>
      </w:r>
    </w:p>
    <w:p w14:paraId="085A7C5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They also state that historically low vacancy rates and strong occupier demand have fuelled accelerated rent growth in recent months. This means that industrial rents have grown faster than for other major property types, such as offices and retail, meaning investor appetite is at an all-time high.</w:t>
      </w:r>
    </w:p>
    <w:p w14:paraId="12612A31" w14:textId="77777777" w:rsidR="00360825" w:rsidRPr="00D556DB" w:rsidRDefault="00360825" w:rsidP="00360825">
      <w:pPr>
        <w:pStyle w:val="Heading3"/>
        <w:rPr>
          <w:rFonts w:ascii="Arial" w:hAnsi="Arial" w:cs="Arial"/>
        </w:rPr>
      </w:pPr>
      <w:r w:rsidRPr="00D556DB">
        <w:rPr>
          <w:rFonts w:ascii="Arial" w:hAnsi="Arial" w:cs="Arial"/>
        </w:rPr>
        <w:t>South Coast Industrial Market Overview</w:t>
      </w:r>
    </w:p>
    <w:p w14:paraId="349C54B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defines a number of distinct industrial markets across the UK. Chichester falls within </w:t>
      </w:r>
      <w:r w:rsidRPr="00DE1AA1">
        <w:rPr>
          <w:rFonts w:ascii="Arial" w:hAnsi="Arial" w:cs="Arial"/>
        </w:rPr>
        <w:t>the</w:t>
      </w:r>
      <w:r w:rsidRPr="00D556DB">
        <w:rPr>
          <w:rFonts w:ascii="Arial" w:hAnsi="Arial" w:cs="Arial"/>
        </w:rPr>
        <w:t xml:space="preserve"> South Coast Industrial Market which can be seen in the map below. Note that this is different from the Functional Economic Market Area.</w:t>
      </w:r>
    </w:p>
    <w:p w14:paraId="6C6A01A9" w14:textId="5C9C9548" w:rsidR="00360825" w:rsidRPr="00D556DB" w:rsidRDefault="00360825" w:rsidP="001A7584">
      <w:pPr>
        <w:pStyle w:val="Heading4"/>
        <w:ind w:firstLine="0"/>
      </w:pPr>
      <w:r w:rsidRPr="00D556DB">
        <w:t>- South Coast Industrial Market Area</w:t>
      </w:r>
    </w:p>
    <w:p w14:paraId="39CE97CC"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0A0487A0" wp14:editId="1BD073B3">
            <wp:extent cx="5579745" cy="2877820"/>
            <wp:effectExtent l="0" t="0" r="1905" b="0"/>
            <wp:docPr id="54" name="Picture 54" descr="Chichester falls within the South Coast Office Market which extends from Bridport to Bognor Regis and northwards to And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ichester falls within the South Coast Office Market which extends from Bridport to Bognor Regis and northwards to Andover"/>
                    <pic:cNvPicPr/>
                  </pic:nvPicPr>
                  <pic:blipFill>
                    <a:blip r:embed="rId59" cstate="email">
                      <a:extLst>
                        <a:ext uri="{28A0092B-C50C-407E-A947-70E740481C1C}">
                          <a14:useLocalDpi xmlns:a14="http://schemas.microsoft.com/office/drawing/2010/main"/>
                        </a:ext>
                      </a:extLst>
                    </a:blip>
                    <a:stretch>
                      <a:fillRect/>
                    </a:stretch>
                  </pic:blipFill>
                  <pic:spPr>
                    <a:xfrm>
                      <a:off x="0" y="0"/>
                      <a:ext cx="5579745" cy="2877820"/>
                    </a:xfrm>
                    <a:prstGeom prst="rect">
                      <a:avLst/>
                    </a:prstGeom>
                  </pic:spPr>
                </pic:pic>
              </a:graphicData>
            </a:graphic>
          </wp:inline>
        </w:drawing>
      </w:r>
    </w:p>
    <w:p w14:paraId="45A23A10"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CoStar</w:t>
      </w:r>
    </w:p>
    <w:p w14:paraId="7B9A403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CoStar report that “the South Coast has a significant industrial property market. The market has one of the largest industrial inventories in southern England, one of the largest urban conurbations, and good connectivity by road, rail, air and sea. Its location at the western end of the M3 and M27 corridors makes it a key industrial and logistics hub. Portsmouth and Southampton port container terminals are also located in the market. The latter is the UK's second-largest container terminal and one of the 15 busiest container ports in Europe”.</w:t>
      </w:r>
    </w:p>
    <w:p w14:paraId="679D837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go on to report that the market was strong prior to the pandemic and has </w:t>
      </w:r>
      <w:r w:rsidRPr="00DE1AA1">
        <w:rPr>
          <w:rFonts w:ascii="Arial" w:hAnsi="Arial" w:cs="Arial"/>
        </w:rPr>
        <w:t>experienced</w:t>
      </w:r>
      <w:r w:rsidRPr="00D556DB">
        <w:rPr>
          <w:rFonts w:ascii="Arial" w:hAnsi="Arial" w:cs="Arial"/>
        </w:rPr>
        <w:t xml:space="preserve"> minimal COVID-19 related impacts. A sustained positive demand/supply balance has caused the vacancy rate to decline from 8% in 2012 to 2.7% in November, despite a wave of construction in recent years. </w:t>
      </w:r>
      <w:r w:rsidRPr="00D556DB">
        <w:rPr>
          <w:rFonts w:ascii="Arial" w:hAnsi="Arial" w:cs="Arial"/>
        </w:rPr>
        <w:lastRenderedPageBreak/>
        <w:t>This demand has been for logistics space in particular. However, a significant amount of further space is under construction, half of which was still available going into Q4 2021, which should increase vacancies in the short term.</w:t>
      </w:r>
    </w:p>
    <w:p w14:paraId="20C9938C" w14:textId="77777777" w:rsidR="00360825" w:rsidRPr="00D556DB" w:rsidRDefault="00360825" w:rsidP="00360825">
      <w:pPr>
        <w:pStyle w:val="Heading3"/>
        <w:rPr>
          <w:rFonts w:ascii="Arial" w:hAnsi="Arial" w:cs="Arial"/>
        </w:rPr>
      </w:pPr>
      <w:r w:rsidRPr="00D556DB">
        <w:rPr>
          <w:rFonts w:ascii="Arial" w:hAnsi="Arial" w:cs="Arial"/>
        </w:rPr>
        <w:t>Chichester Industrial Stock</w:t>
      </w:r>
    </w:p>
    <w:p w14:paraId="702E2C7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VOA</w:t>
      </w:r>
      <w:r w:rsidRPr="00D556DB">
        <w:rPr>
          <w:rStyle w:val="FootnoteReference"/>
          <w:rFonts w:ascii="Arial" w:hAnsi="Arial" w:cs="Arial"/>
        </w:rPr>
        <w:footnoteReference w:id="26"/>
      </w:r>
      <w:r w:rsidRPr="00D556DB">
        <w:rPr>
          <w:rFonts w:ascii="Arial" w:hAnsi="Arial" w:cs="Arial"/>
        </w:rPr>
        <w:t xml:space="preserve"> provide information on the amount of industrial floorspace by administrative area. In Chichester at the end of FY 2019/20, there was 504,000 sqm of industrial </w:t>
      </w:r>
      <w:r w:rsidRPr="00DE1AA1">
        <w:rPr>
          <w:rFonts w:ascii="Arial" w:hAnsi="Arial" w:cs="Arial"/>
        </w:rPr>
        <w:t>floorspace</w:t>
      </w:r>
      <w:r w:rsidRPr="00D556DB">
        <w:rPr>
          <w:rFonts w:ascii="Arial" w:hAnsi="Arial" w:cs="Arial"/>
        </w:rPr>
        <w:t xml:space="preserve"> in total. This makes up 15% of total floorspace across West Sussex. This suggests that Chichester has a moderately sized industrial property market in the context of West Sussex. Crawley has the largest industrial market in West Sussex with 703,000 sqm of space. However, in the context of some other authorities on the south coast which have over 1,000,000 sqm of industrial space, Chichester’s industrial market is small to medium sized.</w:t>
      </w:r>
    </w:p>
    <w:p w14:paraId="366D8DF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suggests that Chichester had 375,021 sqm of industrial floorspace at the end of Q1 2020 which is 26% lower than the VOA data suggests. This difference is due to a number of reasons including that the definition of industrial space used by CoStar differs to that </w:t>
      </w:r>
      <w:r w:rsidRPr="00DE1AA1">
        <w:rPr>
          <w:rFonts w:ascii="Arial" w:hAnsi="Arial" w:cs="Arial"/>
        </w:rPr>
        <w:t>used</w:t>
      </w:r>
      <w:r w:rsidRPr="00D556DB">
        <w:rPr>
          <w:rFonts w:ascii="Arial" w:hAnsi="Arial" w:cs="Arial"/>
        </w:rPr>
        <w:t xml:space="preserve"> by the VOA and the fact that data is collected in a different manner by each organisation. CoStar suggests that the amount of industrial floorspace in Chichester remained the same in November 2021.</w:t>
      </w:r>
    </w:p>
    <w:p w14:paraId="23EB9BB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amount of floorspace in Chichester between 2000/01 and 2019/20. It can be seen that the amount of industrial floorspace in Chichester grew </w:t>
      </w:r>
      <w:r w:rsidRPr="00DE1AA1">
        <w:rPr>
          <w:rFonts w:ascii="Arial" w:hAnsi="Arial" w:cs="Arial"/>
        </w:rPr>
        <w:t>significantly</w:t>
      </w:r>
      <w:r w:rsidRPr="00D556DB">
        <w:rPr>
          <w:rFonts w:ascii="Arial" w:hAnsi="Arial" w:cs="Arial"/>
        </w:rPr>
        <w:t xml:space="preserve"> (by 116,000 sqm) over the last 20 years. However, 41% of this growth took place between 2000/01 and 2002/03 and since then growth has been steadier. Over the last 5 years, the amount of industrial floorspace has remained stable.</w:t>
      </w:r>
    </w:p>
    <w:p w14:paraId="20C084CF" w14:textId="7E17C7FD" w:rsidR="00360825" w:rsidRPr="00D556DB" w:rsidRDefault="00360825" w:rsidP="001A7584">
      <w:pPr>
        <w:pStyle w:val="Heading4"/>
        <w:ind w:firstLine="0"/>
      </w:pPr>
      <w:r w:rsidRPr="00D556DB">
        <w:lastRenderedPageBreak/>
        <w:t>- Industrial Floorspace (2000/01 – 2019/20)</w:t>
      </w:r>
    </w:p>
    <w:p w14:paraId="14B3B2D2"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55A031A9" wp14:editId="4CFB88F3">
            <wp:extent cx="5616000" cy="2880000"/>
            <wp:effectExtent l="0" t="0" r="3810" b="15875"/>
            <wp:docPr id="55" name="Chart 55" descr="The figure shows the amount of floorspace in Chichester between 2000/01 and 2019/20. It can be seen that the amount of industrial floorspace in Chichester grew significantly (by 116,000 sqm) over the last 20 years. However, 41% of this growth took place between 2000/01 and 2002/03 and since then growth has been steadier. Over the last 5 years, the amount of industrial floorspace has remained stable.">
              <a:extLst xmlns:a="http://schemas.openxmlformats.org/drawingml/2006/main">
                <a:ext uri="{FF2B5EF4-FFF2-40B4-BE49-F238E27FC236}">
                  <a16:creationId xmlns:a16="http://schemas.microsoft.com/office/drawing/2014/main" id="{AA469D5B-D168-4E72-9622-58544CE2AB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CDFEFEA" w14:textId="77777777" w:rsidR="00360825" w:rsidRPr="00D556DB" w:rsidRDefault="00360825" w:rsidP="00360825">
      <w:pPr>
        <w:pStyle w:val="BodyText"/>
        <w:numPr>
          <w:ilvl w:val="0"/>
          <w:numId w:val="0"/>
        </w:numPr>
        <w:rPr>
          <w:rFonts w:ascii="Arial" w:hAnsi="Arial" w:cs="Arial"/>
          <w:noProof/>
        </w:rPr>
      </w:pPr>
      <w:r w:rsidRPr="00D556DB">
        <w:rPr>
          <w:rFonts w:ascii="Arial" w:hAnsi="Arial" w:cs="Arial"/>
          <w:i/>
          <w:iCs/>
        </w:rPr>
        <w:t>Source: Iceni analysis of VOA data</w:t>
      </w:r>
    </w:p>
    <w:p w14:paraId="4603C4B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how the amount of floorspace has changed in Chichester relative to the county, the region and England. It can be seen that industrial floorspace growth in Chichester has significantly outstripped that seen across West </w:t>
      </w:r>
      <w:r w:rsidRPr="00DE1AA1">
        <w:rPr>
          <w:rFonts w:ascii="Arial" w:hAnsi="Arial" w:cs="Arial"/>
        </w:rPr>
        <w:t>Sussex</w:t>
      </w:r>
      <w:r w:rsidRPr="00D556DB">
        <w:rPr>
          <w:rFonts w:ascii="Arial" w:hAnsi="Arial" w:cs="Arial"/>
        </w:rPr>
        <w:t xml:space="preserve"> and the South East whilst England as a whole has seen a loss of floorspace over the last 20 years. Growth in Chichester has also been strong when just considering the last 10 years.</w:t>
      </w:r>
    </w:p>
    <w:p w14:paraId="199F739C" w14:textId="71603722" w:rsidR="00360825" w:rsidRPr="00D556DB" w:rsidRDefault="00360825" w:rsidP="001A7584">
      <w:pPr>
        <w:pStyle w:val="Heading4"/>
        <w:ind w:firstLine="0"/>
      </w:pPr>
      <w:r w:rsidRPr="00D556DB">
        <w:t>- Indexed Industrial Floorspace Change (2000/01 – 2019/20)</w:t>
      </w:r>
    </w:p>
    <w:p w14:paraId="1522DF32" w14:textId="77777777" w:rsidR="00360825" w:rsidRDefault="00360825" w:rsidP="00360825">
      <w:pPr>
        <w:pStyle w:val="BodyT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3444770D" wp14:editId="3BF81DA4">
            <wp:extent cx="5616000" cy="2880000"/>
            <wp:effectExtent l="0" t="0" r="3810" b="15875"/>
            <wp:docPr id="56" name="Chart 56" descr="The figure shows how the amount of floorspace has changed in Chichester relative to the county, the region and England. It can be seen that industrial floorspace growth in Chichester has significantly outstripped that seen across West Sussex and the South East whilst England as a whole has seen a loss of floorspace over the last 20 years. Growth in Chichester has also been strong when just considering the last 10 years.">
              <a:extLst xmlns:a="http://schemas.openxmlformats.org/drawingml/2006/main">
                <a:ext uri="{FF2B5EF4-FFF2-40B4-BE49-F238E27FC236}">
                  <a16:creationId xmlns:a16="http://schemas.microsoft.com/office/drawing/2014/main" id="{66B9F4F2-A61C-4819-AA10-235E075B96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5D94B7D"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VOA data</w:t>
      </w:r>
    </w:p>
    <w:p w14:paraId="2C3201CF" w14:textId="77777777" w:rsidR="00360825" w:rsidRPr="00D556DB" w:rsidRDefault="00360825" w:rsidP="00360825">
      <w:pPr>
        <w:pStyle w:val="Heading2"/>
        <w:rPr>
          <w:rFonts w:ascii="Arial" w:hAnsi="Arial" w:cs="Arial"/>
        </w:rPr>
      </w:pPr>
      <w:r w:rsidRPr="00D556DB">
        <w:rPr>
          <w:rFonts w:ascii="Arial" w:hAnsi="Arial" w:cs="Arial"/>
        </w:rPr>
        <w:lastRenderedPageBreak/>
        <w:t>Conclusions</w:t>
      </w:r>
    </w:p>
    <w:p w14:paraId="157C1E5F"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61" w:name="_Hlk88849730"/>
      <w:r w:rsidRPr="00D556DB">
        <w:rPr>
          <w:rFonts w:ascii="Arial" w:hAnsi="Arial" w:cs="Arial"/>
        </w:rPr>
        <w:t>Chichester’s industrial market has grown rapidly over the last 10 years and is now a mid-sized market which makes an important contribution to the industrial market of West Sussex and the South East.</w:t>
      </w:r>
    </w:p>
    <w:bookmarkEnd w:id="61"/>
    <w:p w14:paraId="55A5D084" w14:textId="77777777" w:rsidR="00360825" w:rsidRPr="00D556DB" w:rsidRDefault="00360825" w:rsidP="00360825">
      <w:pPr>
        <w:pStyle w:val="Heading3"/>
        <w:rPr>
          <w:rFonts w:ascii="Arial" w:hAnsi="Arial" w:cs="Arial"/>
        </w:rPr>
      </w:pPr>
      <w:r w:rsidRPr="00D556DB">
        <w:rPr>
          <w:rFonts w:ascii="Arial" w:hAnsi="Arial" w:cs="Arial"/>
        </w:rPr>
        <w:t>Overall Supply-Demand Balance –Chichester Industrial Market</w:t>
      </w:r>
    </w:p>
    <w:p w14:paraId="553D460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overall supply-demand balance has been assessed by looking at headline </w:t>
      </w:r>
      <w:r w:rsidRPr="00DE1AA1">
        <w:rPr>
          <w:rFonts w:ascii="Arial" w:hAnsi="Arial" w:cs="Arial"/>
        </w:rPr>
        <w:t>indicators</w:t>
      </w:r>
      <w:r w:rsidRPr="00D556DB">
        <w:rPr>
          <w:rFonts w:ascii="Arial" w:hAnsi="Arial" w:cs="Arial"/>
        </w:rPr>
        <w:t xml:space="preserve"> – namely vacancy rates and rents. The drivers of changing vacancy rates, demand and supply have also been assessed by looking at net absorption and net deliveries.</w:t>
      </w:r>
    </w:p>
    <w:p w14:paraId="2AB42780"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Vacancy Rates</w:t>
      </w:r>
    </w:p>
    <w:p w14:paraId="5C5C32B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how the vacancy rate in Chichester has changed over time compared to the wider South Coast market and the UK. The current (November 2021) vacancy rate in Chichester is extremely low at just 0.4%. This is due to a sharp decline from a peak of 7.1% in 2018. The vacancy rate in Chichester is even lower than the historic lows seen across the South Coast and the UK as a whole. This suggests that Chichester’s industrial market is extremely undersupplied at present.</w:t>
      </w:r>
    </w:p>
    <w:p w14:paraId="5813635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should be noted that the vacancy rate observed between 2009 and 2015 is likely to be due to increased stock coming into the market and being re-absorbed. </w:t>
      </w:r>
    </w:p>
    <w:p w14:paraId="7AD5C80E" w14:textId="34AA9482" w:rsidR="00360825" w:rsidRPr="00D556DB" w:rsidRDefault="00360825" w:rsidP="001A7584">
      <w:pPr>
        <w:pStyle w:val="Heading4"/>
        <w:ind w:firstLine="0"/>
      </w:pPr>
      <w:r w:rsidRPr="00D556DB">
        <w:t xml:space="preserve"> - Vacancy Rate – Chichester</w:t>
      </w:r>
      <w:r>
        <w:t xml:space="preserve"> </w:t>
      </w:r>
      <w:r w:rsidRPr="00D556DB">
        <w:t>(2009-21)</w:t>
      </w:r>
    </w:p>
    <w:p w14:paraId="7668B2AD"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7F028104" wp14:editId="594ADBC5">
            <wp:extent cx="5616000" cy="2880000"/>
            <wp:effectExtent l="0" t="0" r="3810" b="15875"/>
            <wp:docPr id="57" name="Chart 57" descr="The figure below shows how the vacancy rate in Chichester has changed over time compared to the wider South Coast market and the UK. The current (November 2021) vacancy rate in Chichester is extremely low at just 0.4%. This is due to a sharp decline from a peak of 7.1% in 2018. The vacancy rate in Chichester is even lower than the historic lows seen across the South Coast and the UK as a whole. This suggests that Chichester’s industrial market is extremely undersupplied at present.&#10;&#10;It should be noted that the vacancy rate observed between 2009 and 2015 is likely to be due to increased stock coming into the market and being re-absorbed. &#10;">
              <a:extLst xmlns:a="http://schemas.openxmlformats.org/drawingml/2006/main">
                <a:ext uri="{FF2B5EF4-FFF2-40B4-BE49-F238E27FC236}">
                  <a16:creationId xmlns:a16="http://schemas.microsoft.com/office/drawing/2014/main" id="{BDB3D050-A42C-4590-9E8C-E0EC1C2C39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99B7EC6"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4D5B495F"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Supply and Demand Indicators</w:t>
      </w:r>
    </w:p>
    <w:p w14:paraId="421A9A60" w14:textId="77777777" w:rsidR="00360825" w:rsidRPr="00D556DB" w:rsidRDefault="00360825" w:rsidP="00360825">
      <w:pPr>
        <w:pStyle w:val="BodyText"/>
        <w:numPr>
          <w:ilvl w:val="0"/>
          <w:numId w:val="0"/>
        </w:numPr>
        <w:spacing w:after="0"/>
        <w:rPr>
          <w:rFonts w:ascii="Arial" w:hAnsi="Arial" w:cs="Arial"/>
          <w:i/>
          <w:iCs/>
        </w:rPr>
      </w:pPr>
    </w:p>
    <w:p w14:paraId="11A13F0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provides data on net absorption. This is the balance between the amount of space moved into and moved out of (i.e. Net absorption = Move ins – Move outs). It provides an indicator of the </w:t>
      </w:r>
      <w:r w:rsidRPr="00D556DB">
        <w:rPr>
          <w:rFonts w:ascii="Arial" w:hAnsi="Arial" w:cs="Arial"/>
        </w:rPr>
        <w:lastRenderedPageBreak/>
        <w:t xml:space="preserve">strength of demand. Net deliveries are the difference between floorspace delivered (i.e. constructed and brought onto the market) and </w:t>
      </w:r>
      <w:r w:rsidRPr="00DE1AA1">
        <w:rPr>
          <w:rFonts w:ascii="Arial" w:hAnsi="Arial" w:cs="Arial"/>
        </w:rPr>
        <w:t>demolished</w:t>
      </w:r>
      <w:r w:rsidRPr="00D556DB">
        <w:rPr>
          <w:rFonts w:ascii="Arial" w:hAnsi="Arial" w:cs="Arial"/>
        </w:rPr>
        <w:t xml:space="preserve"> (or otherwise taken out of use and removed from the market).</w:t>
      </w:r>
    </w:p>
    <w:p w14:paraId="71FC97F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 positive net absorption figure indicates strong demand and leads to a falling vacancy rate (</w:t>
      </w:r>
      <w:r w:rsidRPr="00DE1AA1">
        <w:rPr>
          <w:rFonts w:ascii="Arial" w:hAnsi="Arial" w:cs="Arial"/>
        </w:rPr>
        <w:t>unless</w:t>
      </w:r>
      <w:r w:rsidRPr="00D556DB">
        <w:rPr>
          <w:rFonts w:ascii="Arial" w:hAnsi="Arial" w:cs="Arial"/>
        </w:rPr>
        <w:t xml:space="preserve"> it is outweighed by net deliveries). On the other hand, a negative net absorption figure indicates weaker demand and leads to a rising vacancy rate (unless it is outweighed by negative net deliveries).</w:t>
      </w:r>
    </w:p>
    <w:p w14:paraId="025E81B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net absorption, net deliveries and their resulting impact on vacancy rates in Chichester. It can be seen that net absorption has been positive in 12 of the last 13 years and each of the last 5 years. 2019 in particular so significant levels of positive net absorption but 2020 and 2021 saw the 4</w:t>
      </w:r>
      <w:r w:rsidRPr="00D556DB">
        <w:rPr>
          <w:rFonts w:ascii="Arial" w:hAnsi="Arial" w:cs="Arial"/>
          <w:vertAlign w:val="superscript"/>
        </w:rPr>
        <w:t>th</w:t>
      </w:r>
      <w:r w:rsidRPr="00D556DB">
        <w:rPr>
          <w:rFonts w:ascii="Arial" w:hAnsi="Arial" w:cs="Arial"/>
        </w:rPr>
        <w:t xml:space="preserve"> and 5</w:t>
      </w:r>
      <w:r w:rsidRPr="00D556DB">
        <w:rPr>
          <w:rFonts w:ascii="Arial" w:hAnsi="Arial" w:cs="Arial"/>
          <w:vertAlign w:val="superscript"/>
        </w:rPr>
        <w:t>th</w:t>
      </w:r>
      <w:r w:rsidRPr="00D556DB">
        <w:rPr>
          <w:rFonts w:ascii="Arial" w:hAnsi="Arial" w:cs="Arial"/>
        </w:rPr>
        <w:t xml:space="preserve"> highest levels of net absorption in the last 13 years.</w:t>
      </w:r>
    </w:p>
    <w:p w14:paraId="7EA36973" w14:textId="0F10164C" w:rsidR="00360825" w:rsidRPr="00D556DB" w:rsidRDefault="00360825" w:rsidP="001A7584">
      <w:pPr>
        <w:pStyle w:val="Heading4"/>
        <w:ind w:firstLine="0"/>
      </w:pPr>
      <w:r w:rsidRPr="00D556DB">
        <w:t>- Net Absorption, Net Deliveries and Vacancy Rates</w:t>
      </w:r>
    </w:p>
    <w:p w14:paraId="5E11596A"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46C70858" wp14:editId="2A628748">
            <wp:extent cx="5616000" cy="2880000"/>
            <wp:effectExtent l="0" t="0" r="3810" b="15875"/>
            <wp:docPr id="58" name="Chart 58" descr="The figure below shows net absorption, net deliveries and their resulting impact on vacancy rates in Chichester. It can be seen that net absorption has been positive in 12 of the last 13 years and each of the last 5 years. 2019 in particular so significant levels of positive net absorption but 2020 and 2021 saw the 4th and 5th highest levels of net absorption in the last 13 years.">
              <a:extLst xmlns:a="http://schemas.openxmlformats.org/drawingml/2006/main">
                <a:ext uri="{FF2B5EF4-FFF2-40B4-BE49-F238E27FC236}">
                  <a16:creationId xmlns:a16="http://schemas.microsoft.com/office/drawing/2014/main" id="{0EDC0C05-4441-40E6-8A19-129480BB62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AA012FE" w14:textId="77777777" w:rsidR="00360825" w:rsidRPr="00D556DB" w:rsidRDefault="00360825" w:rsidP="00360825">
      <w:pPr>
        <w:pStyle w:val="BodyText"/>
        <w:numPr>
          <w:ilvl w:val="0"/>
          <w:numId w:val="0"/>
        </w:numPr>
        <w:rPr>
          <w:rFonts w:ascii="Arial" w:hAnsi="Arial" w:cs="Arial"/>
          <w:noProof/>
        </w:rPr>
      </w:pPr>
      <w:r w:rsidRPr="00D556DB">
        <w:rPr>
          <w:rFonts w:ascii="Arial" w:hAnsi="Arial" w:cs="Arial"/>
          <w:i/>
          <w:iCs/>
        </w:rPr>
        <w:t>Source: Iceni analysis of CoStar data</w:t>
      </w:r>
    </w:p>
    <w:p w14:paraId="4A05922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Net deliveries have been strong, keeping pace with net absorption until 2019. This led to rising vacancy rates between 2015 and 2018. However, between 2019 and 2021 net deliveries have been low and have not kept pace with strong net absorption leading to a plummeting vacancy rate.</w:t>
      </w:r>
    </w:p>
    <w:p w14:paraId="52C4FA59"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Rents</w:t>
      </w:r>
    </w:p>
    <w:p w14:paraId="69C4FECC" w14:textId="63DC0078"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how average rental prices in Chichester have changed over time compared to the South Coast and the UK. At present (November 2021), the average rental price in Chichester is 9.28 per </w:t>
      </w:r>
      <w:r w:rsidR="004C7B56" w:rsidRPr="00D556DB">
        <w:rPr>
          <w:rFonts w:ascii="Arial" w:hAnsi="Arial" w:cs="Arial"/>
        </w:rPr>
        <w:t>sq.</w:t>
      </w:r>
      <w:r w:rsidRPr="00D556DB">
        <w:rPr>
          <w:rFonts w:ascii="Arial" w:hAnsi="Arial" w:cs="Arial"/>
        </w:rPr>
        <w:t xml:space="preserve"> ft. This is above the South Coast average and even further above the UK average and has been for each of the last 13 years. This shows the desirability of industrial space in </w:t>
      </w:r>
      <w:r w:rsidRPr="00D556DB">
        <w:rPr>
          <w:rFonts w:ascii="Arial" w:hAnsi="Arial" w:cs="Arial"/>
        </w:rPr>
        <w:lastRenderedPageBreak/>
        <w:t>Chichester which may reflect the area’s good links to south coast ports and London (and potentially historic low vacancy levels).</w:t>
      </w:r>
    </w:p>
    <w:p w14:paraId="456FC97A" w14:textId="70E4A691" w:rsidR="00360825" w:rsidRPr="00D556DB" w:rsidRDefault="00360825" w:rsidP="001A7584">
      <w:pPr>
        <w:pStyle w:val="Heading4"/>
        <w:ind w:firstLine="0"/>
      </w:pPr>
      <w:r w:rsidRPr="00D556DB">
        <w:t xml:space="preserve">- Inflation Adjusted Average Rental Price (£ per </w:t>
      </w:r>
      <w:r w:rsidR="004C7B56" w:rsidRPr="00D556DB">
        <w:t>Sq.</w:t>
      </w:r>
      <w:r w:rsidRPr="00D556DB">
        <w:t xml:space="preserve"> ft)</w:t>
      </w:r>
    </w:p>
    <w:p w14:paraId="6C912057"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4D46B6CF" wp14:editId="1DE51E35">
            <wp:extent cx="5616000" cy="2880000"/>
            <wp:effectExtent l="0" t="0" r="3810" b="15875"/>
            <wp:docPr id="60" name="Chart 60" descr="The figure shows how average rental prices in Chichester have changed over time compared to the South Coast and the UK. At present (November 2021), the average rental price in Chichester is 9.28 per sq. ft. This is above the South Coast average and even further above the UK average and has been for each of the last 13 years. This shows the desirability of industrial space in Chichester which may reflect the area’s good links to south coast ports and London (and potentially historic low vacancy levels).">
              <a:extLst xmlns:a="http://schemas.openxmlformats.org/drawingml/2006/main">
                <a:ext uri="{FF2B5EF4-FFF2-40B4-BE49-F238E27FC236}">
                  <a16:creationId xmlns:a16="http://schemas.microsoft.com/office/drawing/2014/main" id="{0246A513-4C8B-44C5-80A6-19F6A35006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6928D56"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0F44ED18"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Conclusions</w:t>
      </w:r>
    </w:p>
    <w:p w14:paraId="624864D1" w14:textId="77777777" w:rsidR="00360825" w:rsidRPr="00D556DB" w:rsidRDefault="00360825" w:rsidP="00360825">
      <w:pPr>
        <w:pStyle w:val="BodyText"/>
        <w:numPr>
          <w:ilvl w:val="0"/>
          <w:numId w:val="0"/>
        </w:numPr>
        <w:spacing w:after="0"/>
        <w:rPr>
          <w:rFonts w:ascii="Arial" w:hAnsi="Arial" w:cs="Arial"/>
          <w:i/>
          <w:iCs/>
        </w:rPr>
      </w:pPr>
    </w:p>
    <w:p w14:paraId="0E50A17C"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62" w:name="_Hlk88849745"/>
      <w:r w:rsidRPr="00D556DB">
        <w:rPr>
          <w:rFonts w:ascii="Arial" w:hAnsi="Arial" w:cs="Arial"/>
        </w:rPr>
        <w:t xml:space="preserve">Chichester’s industrial market is extremely undersupplied. This is due to both strong recent </w:t>
      </w:r>
      <w:r w:rsidRPr="00DE1AA1">
        <w:rPr>
          <w:rFonts w:ascii="Arial" w:hAnsi="Arial" w:cs="Arial"/>
        </w:rPr>
        <w:t>demand</w:t>
      </w:r>
      <w:r w:rsidRPr="00D556DB">
        <w:rPr>
          <w:rFonts w:ascii="Arial" w:hAnsi="Arial" w:cs="Arial"/>
        </w:rPr>
        <w:t xml:space="preserve"> and low levels of delivery.</w:t>
      </w:r>
    </w:p>
    <w:p w14:paraId="464FD9A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Rents </w:t>
      </w:r>
      <w:r w:rsidRPr="00DE1AA1">
        <w:rPr>
          <w:rFonts w:ascii="Arial" w:hAnsi="Arial" w:cs="Arial"/>
        </w:rPr>
        <w:t>are</w:t>
      </w:r>
      <w:r w:rsidRPr="00D556DB">
        <w:rPr>
          <w:rFonts w:ascii="Arial" w:hAnsi="Arial" w:cs="Arial"/>
        </w:rPr>
        <w:t xml:space="preserve"> very strong in Chichester reflecting the area’s strategic location (and potentially historically low vacancy rates).</w:t>
      </w:r>
    </w:p>
    <w:bookmarkEnd w:id="62"/>
    <w:p w14:paraId="005EB491" w14:textId="77777777" w:rsidR="00360825" w:rsidRPr="00D556DB" w:rsidRDefault="00360825" w:rsidP="00360825">
      <w:pPr>
        <w:pStyle w:val="Heading3"/>
        <w:rPr>
          <w:rFonts w:ascii="Arial" w:hAnsi="Arial" w:cs="Arial"/>
        </w:rPr>
      </w:pPr>
      <w:r w:rsidRPr="00D556DB">
        <w:rPr>
          <w:rFonts w:ascii="Arial" w:hAnsi="Arial" w:cs="Arial"/>
        </w:rPr>
        <w:t>Demand by Size</w:t>
      </w:r>
    </w:p>
    <w:p w14:paraId="4C41D5A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amount of leasing activity which has occurred in various size bands has been </w:t>
      </w:r>
      <w:r w:rsidRPr="00DE1AA1">
        <w:rPr>
          <w:rFonts w:ascii="Arial" w:hAnsi="Arial" w:cs="Arial"/>
        </w:rPr>
        <w:t>assessed</w:t>
      </w:r>
      <w:r w:rsidRPr="00D556DB">
        <w:rPr>
          <w:rFonts w:ascii="Arial" w:hAnsi="Arial" w:cs="Arial"/>
        </w:rPr>
        <w:t xml:space="preserve"> to provide an indication of demand by size. Leasing activity differs from absorption in that it refers to the amount of space which is leased (i.e. signed for rather than physically moved in to).</w:t>
      </w:r>
    </w:p>
    <w:p w14:paraId="14AF0DC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amount of leasing activity (sqm) by size band which has occurred </w:t>
      </w:r>
      <w:r w:rsidRPr="00DE1AA1">
        <w:rPr>
          <w:rFonts w:ascii="Arial" w:hAnsi="Arial" w:cs="Arial"/>
        </w:rPr>
        <w:t>over</w:t>
      </w:r>
      <w:r w:rsidRPr="00D556DB">
        <w:rPr>
          <w:rFonts w:ascii="Arial" w:hAnsi="Arial" w:cs="Arial"/>
        </w:rPr>
        <w:t xml:space="preserve"> the last 5 years. There is no clear trend in leasing activity over time. However, in the year with the most leasing activity (2017), 39% of space leased was over 10,000 sqm in size whilst no leasing in this size band occurred in any other year.</w:t>
      </w:r>
    </w:p>
    <w:p w14:paraId="1AAFD7BF" w14:textId="247B7A45" w:rsidR="00360825" w:rsidRPr="00D556DB" w:rsidRDefault="00360825" w:rsidP="001A7584">
      <w:pPr>
        <w:pStyle w:val="Heading4"/>
        <w:ind w:firstLine="0"/>
      </w:pPr>
      <w:r w:rsidRPr="00D556DB">
        <w:lastRenderedPageBreak/>
        <w:t>- Leasing Activity Over Time by Size Band (Sqm)</w:t>
      </w:r>
    </w:p>
    <w:p w14:paraId="66F46F0F"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28C75120" wp14:editId="0A926093">
            <wp:extent cx="5616000" cy="2880000"/>
            <wp:effectExtent l="0" t="0" r="3810" b="15875"/>
            <wp:docPr id="61" name="Chart 61" descr="The figure shows the amount of leasing activity (sqm) by size band which has occurred over the last 5 years. There is no clear trend in leasing activity over time. However, in the year with the most leasing activity (2017), 39% of space leased was over 10,000 sqm in size whilst no leasing in this size band occurred in any other year.">
              <a:extLst xmlns:a="http://schemas.openxmlformats.org/drawingml/2006/main">
                <a:ext uri="{FF2B5EF4-FFF2-40B4-BE49-F238E27FC236}">
                  <a16:creationId xmlns:a16="http://schemas.microsoft.com/office/drawing/2014/main" id="{A11E8BB4-A8A4-4F50-838A-56277BE85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A5586E3" w14:textId="77777777" w:rsidR="00360825" w:rsidRPr="00D556DB" w:rsidRDefault="00360825" w:rsidP="00360825">
      <w:pPr>
        <w:pStyle w:val="BodyText"/>
        <w:numPr>
          <w:ilvl w:val="0"/>
          <w:numId w:val="0"/>
        </w:numPr>
        <w:rPr>
          <w:rFonts w:ascii="Arial" w:hAnsi="Arial" w:cs="Arial"/>
          <w:noProof/>
        </w:rPr>
      </w:pPr>
      <w:r w:rsidRPr="00D556DB">
        <w:rPr>
          <w:rFonts w:ascii="Arial" w:hAnsi="Arial" w:cs="Arial"/>
          <w:i/>
          <w:iCs/>
        </w:rPr>
        <w:t>Source: Iceni analysis of CoStar data</w:t>
      </w:r>
    </w:p>
    <w:p w14:paraId="4E2496A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the percentage of leasing activity by size band in the last year and over the last 5 years. It can be seen that there was no leasing of space above 2,000 sqm in 2020 and the majority of leasing activity has been between 100 and 2,000 sqm. However, when considering the last 6 years, leasing is more evenly distributed across all size bands even though over half of space leased was between 100 and 2,000 sqm.</w:t>
      </w:r>
    </w:p>
    <w:p w14:paraId="6CB40C29" w14:textId="77777777" w:rsidR="00360825" w:rsidRPr="00D556DB" w:rsidRDefault="00360825" w:rsidP="001A7584">
      <w:pPr>
        <w:pStyle w:val="Heading4"/>
        <w:ind w:firstLine="0"/>
      </w:pPr>
      <w:r w:rsidRPr="00D556DB">
        <w:t>Percentage of Leasing Activity by Size Band</w:t>
      </w:r>
    </w:p>
    <w:tbl>
      <w:tblPr>
        <w:tblStyle w:val="TableGrid"/>
        <w:tblW w:w="5000" w:type="pct"/>
        <w:tblLayout w:type="fixed"/>
        <w:tblLook w:val="04A0" w:firstRow="1" w:lastRow="0" w:firstColumn="1" w:lastColumn="0" w:noHBand="0" w:noVBand="1"/>
      </w:tblPr>
      <w:tblGrid>
        <w:gridCol w:w="1254"/>
        <w:gridCol w:w="1254"/>
        <w:gridCol w:w="1254"/>
        <w:gridCol w:w="1254"/>
        <w:gridCol w:w="1254"/>
        <w:gridCol w:w="1254"/>
        <w:gridCol w:w="1253"/>
      </w:tblGrid>
      <w:tr w:rsidR="00360825" w:rsidRPr="00DE1AA1" w14:paraId="05F1CF44" w14:textId="77777777" w:rsidTr="00C04569">
        <w:tc>
          <w:tcPr>
            <w:tcW w:w="714" w:type="pct"/>
            <w:shd w:val="clear" w:color="auto" w:fill="002060"/>
            <w:noWrap/>
            <w:hideMark/>
          </w:tcPr>
          <w:p w14:paraId="52436107" w14:textId="77777777" w:rsidR="00360825" w:rsidRPr="00D556DB" w:rsidRDefault="00360825" w:rsidP="00C04569">
            <w:pPr>
              <w:keepNext/>
              <w:spacing w:after="0" w:line="300" w:lineRule="auto"/>
              <w:jc w:val="left"/>
              <w:rPr>
                <w:rFonts w:ascii="Arial" w:hAnsi="Arial" w:cs="Arial"/>
                <w:color w:val="FFFFFF"/>
              </w:rPr>
            </w:pPr>
            <w:r w:rsidRPr="00D556DB">
              <w:rPr>
                <w:rFonts w:ascii="Arial" w:hAnsi="Arial" w:cs="Arial"/>
                <w:color w:val="FFFFFF"/>
              </w:rPr>
              <w:t>Age Band</w:t>
            </w:r>
          </w:p>
        </w:tc>
        <w:tc>
          <w:tcPr>
            <w:tcW w:w="714" w:type="pct"/>
            <w:shd w:val="clear" w:color="auto" w:fill="002060"/>
            <w:noWrap/>
            <w:hideMark/>
          </w:tcPr>
          <w:p w14:paraId="7DEE252D"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0-100 sqm</w:t>
            </w:r>
          </w:p>
        </w:tc>
        <w:tc>
          <w:tcPr>
            <w:tcW w:w="714" w:type="pct"/>
            <w:shd w:val="clear" w:color="auto" w:fill="002060"/>
            <w:noWrap/>
            <w:hideMark/>
          </w:tcPr>
          <w:p w14:paraId="3415352C"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100 - 500 sqm</w:t>
            </w:r>
          </w:p>
        </w:tc>
        <w:tc>
          <w:tcPr>
            <w:tcW w:w="714" w:type="pct"/>
            <w:shd w:val="clear" w:color="auto" w:fill="002060"/>
            <w:noWrap/>
            <w:hideMark/>
          </w:tcPr>
          <w:p w14:paraId="2CA59C59"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500 - 2,000 sqm</w:t>
            </w:r>
          </w:p>
        </w:tc>
        <w:tc>
          <w:tcPr>
            <w:tcW w:w="714" w:type="pct"/>
            <w:shd w:val="clear" w:color="auto" w:fill="002060"/>
            <w:noWrap/>
            <w:hideMark/>
          </w:tcPr>
          <w:p w14:paraId="686BC11F"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2,000 - 5,000 sqm</w:t>
            </w:r>
          </w:p>
        </w:tc>
        <w:tc>
          <w:tcPr>
            <w:tcW w:w="714" w:type="pct"/>
            <w:shd w:val="clear" w:color="auto" w:fill="002060"/>
            <w:noWrap/>
            <w:hideMark/>
          </w:tcPr>
          <w:p w14:paraId="08DCA459"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5,000 - 10,000 sqm</w:t>
            </w:r>
          </w:p>
        </w:tc>
        <w:tc>
          <w:tcPr>
            <w:tcW w:w="714" w:type="pct"/>
            <w:shd w:val="clear" w:color="auto" w:fill="002060"/>
            <w:noWrap/>
            <w:hideMark/>
          </w:tcPr>
          <w:p w14:paraId="139994E5"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10,000+ sqm</w:t>
            </w:r>
          </w:p>
        </w:tc>
      </w:tr>
      <w:tr w:rsidR="00360825" w:rsidRPr="00DE1AA1" w14:paraId="615911F5" w14:textId="77777777" w:rsidTr="00C04569">
        <w:tc>
          <w:tcPr>
            <w:tcW w:w="714" w:type="pct"/>
            <w:noWrap/>
            <w:hideMark/>
          </w:tcPr>
          <w:p w14:paraId="28A90E6A"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2015-2020</w:t>
            </w:r>
          </w:p>
        </w:tc>
        <w:tc>
          <w:tcPr>
            <w:tcW w:w="714" w:type="pct"/>
            <w:noWrap/>
            <w:hideMark/>
          </w:tcPr>
          <w:p w14:paraId="789AC08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w:t>
            </w:r>
          </w:p>
        </w:tc>
        <w:tc>
          <w:tcPr>
            <w:tcW w:w="714" w:type="pct"/>
            <w:noWrap/>
            <w:hideMark/>
          </w:tcPr>
          <w:p w14:paraId="63D850C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26%</w:t>
            </w:r>
          </w:p>
        </w:tc>
        <w:tc>
          <w:tcPr>
            <w:tcW w:w="714" w:type="pct"/>
            <w:noWrap/>
            <w:hideMark/>
          </w:tcPr>
          <w:p w14:paraId="7C9FF7C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30%</w:t>
            </w:r>
          </w:p>
        </w:tc>
        <w:tc>
          <w:tcPr>
            <w:tcW w:w="714" w:type="pct"/>
            <w:noWrap/>
            <w:hideMark/>
          </w:tcPr>
          <w:p w14:paraId="1FF14F1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16%</w:t>
            </w:r>
          </w:p>
        </w:tc>
        <w:tc>
          <w:tcPr>
            <w:tcW w:w="714" w:type="pct"/>
            <w:noWrap/>
            <w:hideMark/>
          </w:tcPr>
          <w:p w14:paraId="07739EB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10%</w:t>
            </w:r>
          </w:p>
        </w:tc>
        <w:tc>
          <w:tcPr>
            <w:tcW w:w="714" w:type="pct"/>
            <w:noWrap/>
            <w:hideMark/>
          </w:tcPr>
          <w:p w14:paraId="799B996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15%</w:t>
            </w:r>
          </w:p>
        </w:tc>
      </w:tr>
      <w:tr w:rsidR="00360825" w:rsidRPr="00DE1AA1" w14:paraId="5ADB496E" w14:textId="77777777" w:rsidTr="00C04569">
        <w:tc>
          <w:tcPr>
            <w:tcW w:w="714" w:type="pct"/>
            <w:noWrap/>
            <w:hideMark/>
          </w:tcPr>
          <w:p w14:paraId="3112C27D"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2020</w:t>
            </w:r>
          </w:p>
        </w:tc>
        <w:tc>
          <w:tcPr>
            <w:tcW w:w="714" w:type="pct"/>
            <w:noWrap/>
            <w:hideMark/>
          </w:tcPr>
          <w:p w14:paraId="37BC112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w:t>
            </w:r>
          </w:p>
        </w:tc>
        <w:tc>
          <w:tcPr>
            <w:tcW w:w="714" w:type="pct"/>
            <w:noWrap/>
            <w:hideMark/>
          </w:tcPr>
          <w:p w14:paraId="44E9B8B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54%</w:t>
            </w:r>
          </w:p>
        </w:tc>
        <w:tc>
          <w:tcPr>
            <w:tcW w:w="714" w:type="pct"/>
            <w:noWrap/>
            <w:hideMark/>
          </w:tcPr>
          <w:p w14:paraId="555F1D6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42%</w:t>
            </w:r>
          </w:p>
        </w:tc>
        <w:tc>
          <w:tcPr>
            <w:tcW w:w="714" w:type="pct"/>
            <w:noWrap/>
            <w:hideMark/>
          </w:tcPr>
          <w:p w14:paraId="3CF75CE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w:t>
            </w:r>
          </w:p>
        </w:tc>
        <w:tc>
          <w:tcPr>
            <w:tcW w:w="714" w:type="pct"/>
            <w:noWrap/>
            <w:hideMark/>
          </w:tcPr>
          <w:p w14:paraId="78B48A2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w:t>
            </w:r>
          </w:p>
        </w:tc>
        <w:tc>
          <w:tcPr>
            <w:tcW w:w="714" w:type="pct"/>
            <w:noWrap/>
            <w:hideMark/>
          </w:tcPr>
          <w:p w14:paraId="41259BEA"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w:t>
            </w:r>
          </w:p>
        </w:tc>
      </w:tr>
    </w:tbl>
    <w:p w14:paraId="299CF09B"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04C73684"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Conclusions</w:t>
      </w:r>
    </w:p>
    <w:p w14:paraId="69830F03"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63" w:name="_Hlk88849757"/>
      <w:r w:rsidRPr="00D556DB">
        <w:rPr>
          <w:rFonts w:ascii="Arial" w:hAnsi="Arial" w:cs="Arial"/>
        </w:rPr>
        <w:t>There is historic demand is</w:t>
      </w:r>
      <w:r>
        <w:rPr>
          <w:rFonts w:ascii="Arial" w:hAnsi="Arial" w:cs="Arial"/>
        </w:rPr>
        <w:t xml:space="preserve"> </w:t>
      </w:r>
      <w:r w:rsidRPr="00D556DB">
        <w:rPr>
          <w:rFonts w:ascii="Arial" w:hAnsi="Arial" w:cs="Arial"/>
        </w:rPr>
        <w:t>for industrial space of all sizes in Chichester, however over half of demand is for floorspace of between 100 and 2,000 sqm.</w:t>
      </w:r>
      <w:r>
        <w:rPr>
          <w:rFonts w:ascii="Arial" w:hAnsi="Arial" w:cs="Arial"/>
        </w:rPr>
        <w:t xml:space="preserve"> </w:t>
      </w:r>
      <w:r w:rsidRPr="00D556DB">
        <w:rPr>
          <w:rFonts w:ascii="Arial" w:hAnsi="Arial" w:cs="Arial"/>
        </w:rPr>
        <w:t>The overall demand is quantified later in this report.</w:t>
      </w:r>
    </w:p>
    <w:p w14:paraId="63E3D49B" w14:textId="77777777" w:rsidR="00360825" w:rsidRPr="00D556DB" w:rsidRDefault="00360825" w:rsidP="00360825">
      <w:pPr>
        <w:pStyle w:val="Heading2"/>
        <w:rPr>
          <w:rFonts w:ascii="Arial" w:hAnsi="Arial" w:cs="Arial"/>
        </w:rPr>
      </w:pPr>
      <w:r w:rsidRPr="00D556DB">
        <w:rPr>
          <w:rFonts w:ascii="Arial" w:hAnsi="Arial" w:cs="Arial"/>
        </w:rPr>
        <w:t>Engagement</w:t>
      </w:r>
    </w:p>
    <w:p w14:paraId="36603B7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We have </w:t>
      </w:r>
      <w:r w:rsidRPr="00DE1AA1">
        <w:rPr>
          <w:rFonts w:ascii="Arial" w:hAnsi="Arial" w:cs="Arial"/>
        </w:rPr>
        <w:t>also</w:t>
      </w:r>
      <w:r w:rsidRPr="00D556DB">
        <w:rPr>
          <w:rFonts w:ascii="Arial" w:hAnsi="Arial" w:cs="Arial"/>
        </w:rPr>
        <w:t xml:space="preserve"> engaged with the Council Economic Development Officer to get a qualitative understanding of the economy and the commercial property market and its likely direction of travel.</w:t>
      </w:r>
    </w:p>
    <w:p w14:paraId="24D51E91" w14:textId="77777777" w:rsidR="00360825" w:rsidRPr="00D556DB" w:rsidRDefault="00360825" w:rsidP="00360825">
      <w:pPr>
        <w:pStyle w:val="Heading3"/>
        <w:rPr>
          <w:rFonts w:ascii="Arial" w:hAnsi="Arial" w:cs="Arial"/>
        </w:rPr>
      </w:pPr>
      <w:r w:rsidRPr="00D556DB">
        <w:rPr>
          <w:rFonts w:ascii="Arial" w:hAnsi="Arial" w:cs="Arial"/>
        </w:rPr>
        <w:lastRenderedPageBreak/>
        <w:t xml:space="preserve">Industrial </w:t>
      </w:r>
    </w:p>
    <w:p w14:paraId="1F02633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has also been some investment in industrial uses. The St James Industrial estates has had £6m investment to increase floorspace and to ensure the vitality and viability </w:t>
      </w:r>
      <w:r w:rsidRPr="00DE1AA1">
        <w:rPr>
          <w:rFonts w:ascii="Arial" w:hAnsi="Arial" w:cs="Arial"/>
        </w:rPr>
        <w:t>of</w:t>
      </w:r>
      <w:r w:rsidRPr="00D556DB">
        <w:rPr>
          <w:rFonts w:ascii="Arial" w:hAnsi="Arial" w:cs="Arial"/>
        </w:rPr>
        <w:t xml:space="preserve"> local businesses. The development will see 30 new units as well as refurbishment of the existing stock with a combined additional floorspace of 600 sqm.</w:t>
      </w:r>
    </w:p>
    <w:p w14:paraId="39A4F3D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is some </w:t>
      </w:r>
      <w:r w:rsidRPr="00DE1AA1">
        <w:rPr>
          <w:rFonts w:ascii="Arial" w:hAnsi="Arial" w:cs="Arial"/>
        </w:rPr>
        <w:t>demand</w:t>
      </w:r>
      <w:r w:rsidRPr="00D556DB">
        <w:rPr>
          <w:rFonts w:ascii="Arial" w:hAnsi="Arial" w:cs="Arial"/>
        </w:rPr>
        <w:t xml:space="preserve"> for industrial and warehouse stock. The former day care facility at the </w:t>
      </w:r>
      <w:proofErr w:type="spellStart"/>
      <w:r w:rsidRPr="00D556DB">
        <w:rPr>
          <w:rFonts w:ascii="Arial" w:hAnsi="Arial" w:cs="Arial"/>
        </w:rPr>
        <w:t>Glenmoor</w:t>
      </w:r>
      <w:proofErr w:type="spellEnd"/>
      <w:r w:rsidRPr="00D556DB">
        <w:rPr>
          <w:rFonts w:ascii="Arial" w:hAnsi="Arial" w:cs="Arial"/>
        </w:rPr>
        <w:t xml:space="preserve"> site on the A27 is being converted to industrial units. There is also investment in the north of the city or help meet demand.</w:t>
      </w:r>
    </w:p>
    <w:p w14:paraId="082B8E86" w14:textId="77777777" w:rsidR="00360825" w:rsidRPr="00D556DB" w:rsidRDefault="00360825" w:rsidP="00360825">
      <w:pPr>
        <w:pStyle w:val="Heading3"/>
        <w:rPr>
          <w:rFonts w:ascii="Arial" w:hAnsi="Arial" w:cs="Arial"/>
        </w:rPr>
      </w:pPr>
      <w:r w:rsidRPr="00D556DB">
        <w:rPr>
          <w:rFonts w:ascii="Arial" w:hAnsi="Arial" w:cs="Arial"/>
        </w:rPr>
        <w:t>Rolls Royce</w:t>
      </w:r>
    </w:p>
    <w:p w14:paraId="0A07511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As the major employer in the area, it is worthwhile understanding the position of Rolls Royce. However, the company is fairly guarded when it comes to their plan and so their </w:t>
      </w:r>
      <w:r w:rsidRPr="00DE1AA1">
        <w:rPr>
          <w:rFonts w:ascii="Arial" w:hAnsi="Arial" w:cs="Arial"/>
        </w:rPr>
        <w:t>overall</w:t>
      </w:r>
      <w:r w:rsidRPr="00D556DB">
        <w:rPr>
          <w:rFonts w:ascii="Arial" w:hAnsi="Arial" w:cs="Arial"/>
        </w:rPr>
        <w:t xml:space="preserve"> position is unclear. </w:t>
      </w:r>
    </w:p>
    <w:p w14:paraId="55BFCCB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However, the Council understand that the company wish to significantly expand its facilities in Goodwood. This would allow them to meet the demand in the South East Asian market as well as facilitate their intended switch to electric vehicles.</w:t>
      </w:r>
    </w:p>
    <w:p w14:paraId="3A1D094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majority of their workforce are still in Goodwood although there is a shift towards their Bognor Regis facility in recent years. </w:t>
      </w:r>
    </w:p>
    <w:p w14:paraId="06FACF1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company</w:t>
      </w:r>
      <w:r w:rsidRPr="00D556DB">
        <w:rPr>
          <w:rFonts w:ascii="Arial" w:hAnsi="Arial" w:cs="Arial"/>
        </w:rPr>
        <w:t xml:space="preserve"> is extremely important to the local economy and it is vital that their growth is facilitated or they risk losing production to elsewhere in Europe.</w:t>
      </w:r>
    </w:p>
    <w:p w14:paraId="5EE7E32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While they have signified a need for larger facilities, this would not necessarily translate to additional employment. The additional facilities are to promote employee welfare but also facilitate a shift towards automation. There may well be shift towards engineers and robotics programmers but as a luxury brand there will always be an element of hand crafted components.</w:t>
      </w:r>
    </w:p>
    <w:p w14:paraId="01020652" w14:textId="77777777" w:rsidR="00360825" w:rsidRPr="00D556DB" w:rsidRDefault="00360825" w:rsidP="00360825">
      <w:pPr>
        <w:pStyle w:val="Heading3"/>
        <w:rPr>
          <w:rFonts w:ascii="Arial" w:hAnsi="Arial" w:cs="Arial"/>
        </w:rPr>
      </w:pPr>
      <w:r w:rsidRPr="00D556DB">
        <w:rPr>
          <w:rFonts w:ascii="Arial" w:hAnsi="Arial" w:cs="Arial"/>
        </w:rPr>
        <w:t>Horticulture</w:t>
      </w:r>
    </w:p>
    <w:p w14:paraId="45B91F4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There is also a level of automation happening the horticultural sector as Covid and Brexit have hampered seasonal supply of labour. This also effects the hospitality sectors as non-</w:t>
      </w:r>
      <w:r w:rsidRPr="00DE1AA1">
        <w:rPr>
          <w:rFonts w:ascii="Arial" w:hAnsi="Arial" w:cs="Arial"/>
        </w:rPr>
        <w:t>British</w:t>
      </w:r>
      <w:r w:rsidRPr="00D556DB">
        <w:rPr>
          <w:rFonts w:ascii="Arial" w:hAnsi="Arial" w:cs="Arial"/>
        </w:rPr>
        <w:t xml:space="preserve"> workers returned to their home countries during the pandemic and have not returned and domestic workers have found more stable employment in other sectors.</w:t>
      </w:r>
    </w:p>
    <w:p w14:paraId="69F1B61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local </w:t>
      </w:r>
      <w:r w:rsidRPr="00DE1AA1">
        <w:rPr>
          <w:rFonts w:ascii="Arial" w:hAnsi="Arial" w:cs="Arial"/>
        </w:rPr>
        <w:t>MP</w:t>
      </w:r>
      <w:r w:rsidRPr="00D556DB">
        <w:rPr>
          <w:rFonts w:ascii="Arial" w:hAnsi="Arial" w:cs="Arial"/>
        </w:rPr>
        <w:t xml:space="preserve"> has been lobbying for a reduction in the wage threshold for a visa for seasonal workers. Local employers are also promoting staff retention through better pay and facilities. One horticultural grower is seeking to build their own accommodation block for staff.</w:t>
      </w:r>
    </w:p>
    <w:p w14:paraId="78E29638" w14:textId="77777777" w:rsidR="00360825" w:rsidRPr="00D556DB" w:rsidRDefault="00360825" w:rsidP="00360825">
      <w:pPr>
        <w:pStyle w:val="Heading3"/>
        <w:rPr>
          <w:rFonts w:ascii="Arial" w:hAnsi="Arial" w:cs="Arial"/>
        </w:rPr>
      </w:pPr>
      <w:r w:rsidRPr="00D556DB">
        <w:rPr>
          <w:rFonts w:ascii="Arial" w:hAnsi="Arial" w:cs="Arial"/>
        </w:rPr>
        <w:lastRenderedPageBreak/>
        <w:t>Hospitality</w:t>
      </w:r>
    </w:p>
    <w:p w14:paraId="27A9DFB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hospitality industry is struggling for waiting and kitchen staff. Despite this a number of the voided retail units on the high street are being transferred to food and drink </w:t>
      </w:r>
      <w:r w:rsidRPr="00DE1AA1">
        <w:rPr>
          <w:rFonts w:ascii="Arial" w:hAnsi="Arial" w:cs="Arial"/>
        </w:rPr>
        <w:t>establishments</w:t>
      </w:r>
      <w:r w:rsidRPr="00D556DB">
        <w:rPr>
          <w:rFonts w:ascii="Arial" w:hAnsi="Arial" w:cs="Arial"/>
        </w:rPr>
        <w:t>.</w:t>
      </w:r>
    </w:p>
    <w:p w14:paraId="3AF7AB8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retail sector has also been impacted by the pandemic as it has been nationally. The largest </w:t>
      </w:r>
      <w:r w:rsidRPr="00DE1AA1">
        <w:rPr>
          <w:rFonts w:ascii="Arial" w:hAnsi="Arial" w:cs="Arial"/>
        </w:rPr>
        <w:t>closure</w:t>
      </w:r>
      <w:r w:rsidRPr="00D556DB">
        <w:rPr>
          <w:rFonts w:ascii="Arial" w:hAnsi="Arial" w:cs="Arial"/>
        </w:rPr>
        <w:t xml:space="preserve"> in the City is Next although their unit has been taken up by New Look, who have voided their previous unit.</w:t>
      </w:r>
    </w:p>
    <w:p w14:paraId="4A7BF0D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addition, the Southern Gateway site in the City Centre is a mixed use development which also incorporates retail, leisure and accommodation. The Ivy group are also looking to open a new restaurant in the City.</w:t>
      </w:r>
    </w:p>
    <w:p w14:paraId="0FD28A8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has been some interest and actual investment in the district. Co-Communities trading as </w:t>
      </w:r>
      <w:r w:rsidRPr="00DE1AA1">
        <w:rPr>
          <w:rFonts w:ascii="Arial" w:hAnsi="Arial" w:cs="Arial"/>
        </w:rPr>
        <w:t>Bunn</w:t>
      </w:r>
      <w:r w:rsidRPr="00D556DB">
        <w:rPr>
          <w:rFonts w:ascii="Arial" w:hAnsi="Arial" w:cs="Arial"/>
        </w:rPr>
        <w:t xml:space="preserve"> leisure have invested in the West Sands Park in Selsey. There is also a proposal for a high end holiday village in the north of the district.</w:t>
      </w:r>
    </w:p>
    <w:p w14:paraId="1B18EF2E" w14:textId="77777777" w:rsidR="00360825" w:rsidRPr="00D556DB" w:rsidRDefault="00360825" w:rsidP="00360825">
      <w:pPr>
        <w:pStyle w:val="Heading3"/>
        <w:rPr>
          <w:rFonts w:ascii="Arial" w:hAnsi="Arial" w:cs="Arial"/>
        </w:rPr>
      </w:pPr>
      <w:r w:rsidRPr="00D556DB">
        <w:rPr>
          <w:rFonts w:ascii="Arial" w:hAnsi="Arial" w:cs="Arial"/>
        </w:rPr>
        <w:t>Agency Engagement</w:t>
      </w:r>
    </w:p>
    <w:p w14:paraId="269C698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Local agents revealed that the demand for office space is reasonable for a City of Chichester’s size but that the city had lost a lot of space to residential through permitted development which has reducing supply</w:t>
      </w:r>
    </w:p>
    <w:p w14:paraId="5989A4F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agent noted that they had not seen a significant increase in rents until recently and this was brought about by competition due to the reduced supply. They added that there was just one new purpose built office scheme where the Department for Work and Pension had taken a lease at £17-18 per SF.</w:t>
      </w:r>
    </w:p>
    <w:p w14:paraId="108A0BF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general the agents think that it is getting to the stage were more office space is needed. This is also partly because of the quality of space. There are lots of older stock without parking etc. </w:t>
      </w:r>
    </w:p>
    <w:p w14:paraId="1AF9EF1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One agent suggested that there were lots of examples of business space being built out as a shell which is then converted to residential after sitting empty. However, they noted that speculative office development was not currently viable given low rents and higher values for residential and industrial.</w:t>
      </w:r>
    </w:p>
    <w:p w14:paraId="01559EC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agent noted that much of the demand was from small businesses seeking small office accommodation.</w:t>
      </w:r>
      <w:r>
        <w:rPr>
          <w:rFonts w:ascii="Arial" w:hAnsi="Arial" w:cs="Arial"/>
        </w:rPr>
        <w:t xml:space="preserve"> </w:t>
      </w:r>
      <w:r w:rsidRPr="00D556DB">
        <w:rPr>
          <w:rFonts w:ascii="Arial" w:hAnsi="Arial" w:cs="Arial"/>
        </w:rPr>
        <w:t xml:space="preserve">There are some serviced premises which have done quite well and demand has held up during the pandemic e.g. </w:t>
      </w:r>
      <w:proofErr w:type="spellStart"/>
      <w:r w:rsidRPr="00D556DB">
        <w:rPr>
          <w:rFonts w:ascii="Arial" w:hAnsi="Arial" w:cs="Arial"/>
        </w:rPr>
        <w:t>Chilgrove</w:t>
      </w:r>
      <w:proofErr w:type="spellEnd"/>
      <w:r w:rsidRPr="00D556DB">
        <w:rPr>
          <w:rFonts w:ascii="Arial" w:hAnsi="Arial" w:cs="Arial"/>
        </w:rPr>
        <w:t xml:space="preserve"> (a rural office premises) which has remains well occupied.</w:t>
      </w:r>
      <w:r>
        <w:rPr>
          <w:rFonts w:ascii="Arial" w:hAnsi="Arial" w:cs="Arial"/>
        </w:rPr>
        <w:t xml:space="preserve"> </w:t>
      </w:r>
      <w:r w:rsidRPr="00D556DB">
        <w:rPr>
          <w:rFonts w:ascii="Arial" w:hAnsi="Arial" w:cs="Arial"/>
        </w:rPr>
        <w:t>Larger occupiers particularly for officers are few and far between.</w:t>
      </w:r>
    </w:p>
    <w:p w14:paraId="4CB8B08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agents noted an under supply of industrial space in general.</w:t>
      </w:r>
      <w:r>
        <w:rPr>
          <w:rFonts w:ascii="Arial" w:hAnsi="Arial" w:cs="Arial"/>
        </w:rPr>
        <w:t xml:space="preserve"> </w:t>
      </w:r>
      <w:r w:rsidRPr="00D556DB">
        <w:rPr>
          <w:rFonts w:ascii="Arial" w:hAnsi="Arial" w:cs="Arial"/>
        </w:rPr>
        <w:t xml:space="preserve">Noting that key sites - Quarry Lane and Terminus Road had a lot of Trade Counters and car showrooms respectively which commanded </w:t>
      </w:r>
      <w:r w:rsidRPr="00D556DB">
        <w:rPr>
          <w:rFonts w:ascii="Arial" w:hAnsi="Arial" w:cs="Arial"/>
        </w:rPr>
        <w:lastRenderedPageBreak/>
        <w:t>high rents. The remaining stock is older and may not be worth re-developing despite there being very low availability.</w:t>
      </w:r>
    </w:p>
    <w:p w14:paraId="6457FC8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was particularly strong demand for smaller light industrial units (1,000-2,000 </w:t>
      </w:r>
      <w:proofErr w:type="spellStart"/>
      <w:r w:rsidRPr="00D556DB">
        <w:rPr>
          <w:rFonts w:ascii="Arial" w:hAnsi="Arial" w:cs="Arial"/>
        </w:rPr>
        <w:t>sqft</w:t>
      </w:r>
      <w:proofErr w:type="spellEnd"/>
      <w:r w:rsidRPr="00D556DB">
        <w:rPr>
          <w:rFonts w:ascii="Arial" w:hAnsi="Arial" w:cs="Arial"/>
        </w:rPr>
        <w:t xml:space="preserve">) for a range of different types of businesses. Industrial and warehousing is a particular issue. Businesses are looking for reasonable sized and quality warehouse units are likely to find it difficult within the current supply. </w:t>
      </w:r>
    </w:p>
    <w:p w14:paraId="1E7FF78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There is also a lack of available land to build a sheds. E.g. Rolls Royce had to go down to Bognor Regis.</w:t>
      </w:r>
      <w:r>
        <w:rPr>
          <w:rFonts w:ascii="Arial" w:hAnsi="Arial" w:cs="Arial"/>
        </w:rPr>
        <w:t xml:space="preserve"> </w:t>
      </w:r>
      <w:r w:rsidRPr="00D556DB">
        <w:rPr>
          <w:rFonts w:ascii="Arial" w:hAnsi="Arial" w:cs="Arial"/>
        </w:rPr>
        <w:t>The lack of available floorspace is also driving up rents. As a result speculative industrial development is attractive particularly for small business units. There has been a lot of land transactions at high prices suggesting developers think demand is there.</w:t>
      </w:r>
    </w:p>
    <w:p w14:paraId="2E46BA4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agents noted that two industrial estates have been taken out of the supply. </w:t>
      </w:r>
      <w:proofErr w:type="spellStart"/>
      <w:r w:rsidRPr="00D556DB">
        <w:rPr>
          <w:rFonts w:ascii="Arial" w:hAnsi="Arial" w:cs="Arial"/>
        </w:rPr>
        <w:t>Eastmead</w:t>
      </w:r>
      <w:proofErr w:type="spellEnd"/>
      <w:r w:rsidRPr="00D556DB">
        <w:rPr>
          <w:rFonts w:ascii="Arial" w:hAnsi="Arial" w:cs="Arial"/>
        </w:rPr>
        <w:t xml:space="preserve"> industrial estate now has a consent for housing. However, St James’ was demolished a rebuilt with same footprint but only allowing Class E uses. The estate managers are struggling to relocate motor traders meaning business may have to shut down losing half a dozen jobs. </w:t>
      </w:r>
    </w:p>
    <w:p w14:paraId="6A64E1E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agents stated that the Council need to allocate sites to specifically accommodate industrial and logistics uses. There was concern that some employment elements of strategic sites could be lost to residential on viability grounds and the council should be wary of this.</w:t>
      </w:r>
      <w:r>
        <w:rPr>
          <w:rFonts w:ascii="Arial" w:hAnsi="Arial" w:cs="Arial"/>
        </w:rPr>
        <w:t xml:space="preserve"> </w:t>
      </w:r>
      <w:r w:rsidRPr="00D556DB">
        <w:rPr>
          <w:rFonts w:ascii="Arial" w:hAnsi="Arial" w:cs="Arial"/>
        </w:rPr>
        <w:t xml:space="preserve">They noted that lots of the strategic allocations were in bad places (e.g. in the middle of housing estates). </w:t>
      </w:r>
    </w:p>
    <w:p w14:paraId="3B3C1A6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Employment allocations within such residential led development are often placed at the back of the site and are less accessible.</w:t>
      </w:r>
      <w:r>
        <w:rPr>
          <w:rFonts w:ascii="Arial" w:hAnsi="Arial" w:cs="Arial"/>
        </w:rPr>
        <w:t xml:space="preserve"> </w:t>
      </w:r>
      <w:r w:rsidRPr="00D556DB">
        <w:rPr>
          <w:rFonts w:ascii="Arial" w:hAnsi="Arial" w:cs="Arial"/>
        </w:rPr>
        <w:t>The advised that they should be at the front of strategic allocations close to main roads etc with visibility.</w:t>
      </w:r>
    </w:p>
    <w:p w14:paraId="0BCE1BC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B2 and B8 is a particular issue. People looking for reasonable sized and quality warehouse units are likely to find it difficult. Lack of available land to build a shed. E.g. Rolls Royce had to go down to Bognor Regis.</w:t>
      </w:r>
    </w:p>
    <w:p w14:paraId="7D0BFE1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Fragile infrastructure makes logistics quite difficult in Chichester – very difficult to get East. But there are some logistics companies. E.g. Chichester Food Park. Not a big shed market. Have been promised new infrastructure but not forthcoming. Bound by the national park to north and channel to the south. Rare to find businesses moving from Hampshire.</w:t>
      </w:r>
    </w:p>
    <w:p w14:paraId="501F10DE" w14:textId="77777777" w:rsidR="00360825" w:rsidRPr="00D556DB" w:rsidRDefault="00360825" w:rsidP="00360825">
      <w:pPr>
        <w:pStyle w:val="Heading2"/>
        <w:rPr>
          <w:rFonts w:ascii="Arial" w:hAnsi="Arial" w:cs="Arial"/>
        </w:rPr>
      </w:pPr>
      <w:bookmarkStart w:id="64" w:name="_Hlk89091641"/>
      <w:bookmarkEnd w:id="63"/>
      <w:r w:rsidRPr="00D556DB">
        <w:rPr>
          <w:rFonts w:ascii="Arial" w:hAnsi="Arial" w:cs="Arial"/>
        </w:rPr>
        <w:lastRenderedPageBreak/>
        <w:t xml:space="preserve">Industrial Market Summary </w:t>
      </w:r>
    </w:p>
    <w:p w14:paraId="52D6F92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UK </w:t>
      </w:r>
      <w:r w:rsidRPr="00DE1AA1">
        <w:rPr>
          <w:rFonts w:ascii="Arial" w:hAnsi="Arial" w:cs="Arial"/>
        </w:rPr>
        <w:t>industrial</w:t>
      </w:r>
      <w:r w:rsidRPr="00D556DB">
        <w:rPr>
          <w:rFonts w:ascii="Arial" w:hAnsi="Arial" w:cs="Arial"/>
        </w:rPr>
        <w:t xml:space="preserve"> property market is thriving, owing to an accelerated shift towards e-commerce, Brexit and demand from high-tech occupiers. This demand is driving high rents which are growing at a faster rate than other major property types.</w:t>
      </w:r>
    </w:p>
    <w:p w14:paraId="1C2030B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South Coast market has a significant property market with good transport connections. The area’s industrial market has barely been impacted by the pandemic and strong demand has led to an undersupply of space.</w:t>
      </w:r>
    </w:p>
    <w:p w14:paraId="19F9D27F"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Chichester’s</w:t>
      </w:r>
      <w:r w:rsidRPr="00D556DB">
        <w:rPr>
          <w:rFonts w:ascii="Arial" w:hAnsi="Arial" w:cs="Arial"/>
        </w:rPr>
        <w:t xml:space="preserve"> industrial market (factories and warehousing) has grown rapidly over the last 10 years and is now a mid-sized market which makes an important contribution to the industrial market of West Sussex and the South East.</w:t>
      </w:r>
    </w:p>
    <w:p w14:paraId="200D08D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Chichester’s industrial market (including warehousing) is extremely undersupplied. This is due to both strong recent </w:t>
      </w:r>
      <w:r w:rsidRPr="00DE1AA1">
        <w:rPr>
          <w:rFonts w:ascii="Arial" w:hAnsi="Arial" w:cs="Arial"/>
        </w:rPr>
        <w:t>demand</w:t>
      </w:r>
      <w:r w:rsidRPr="00D556DB">
        <w:rPr>
          <w:rFonts w:ascii="Arial" w:hAnsi="Arial" w:cs="Arial"/>
        </w:rPr>
        <w:t xml:space="preserve"> and low levels of delivery.</w:t>
      </w:r>
    </w:p>
    <w:p w14:paraId="2F18C42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Rents are very strong in Chichester reflecting the area’s strategic location (and </w:t>
      </w:r>
      <w:r w:rsidRPr="00DE1AA1">
        <w:rPr>
          <w:rFonts w:ascii="Arial" w:hAnsi="Arial" w:cs="Arial"/>
        </w:rPr>
        <w:t>potentially</w:t>
      </w:r>
      <w:r w:rsidRPr="00D556DB">
        <w:rPr>
          <w:rFonts w:ascii="Arial" w:hAnsi="Arial" w:cs="Arial"/>
        </w:rPr>
        <w:t xml:space="preserve"> historically low vacancy rates).</w:t>
      </w:r>
    </w:p>
    <w:p w14:paraId="6429A77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Recent demand for industrial space is for all sizes in Chichester, however over half of demand is for floorspace of between 100 and 2,000 sqm.</w:t>
      </w:r>
    </w:p>
    <w:p w14:paraId="2D09786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High </w:t>
      </w:r>
      <w:r w:rsidRPr="00DE1AA1">
        <w:rPr>
          <w:rFonts w:ascii="Arial" w:hAnsi="Arial" w:cs="Arial"/>
        </w:rPr>
        <w:t>levels</w:t>
      </w:r>
      <w:r w:rsidRPr="00D556DB">
        <w:rPr>
          <w:rFonts w:ascii="Arial" w:hAnsi="Arial" w:cs="Arial"/>
        </w:rPr>
        <w:t xml:space="preserve"> of undersupply in Chichester’s industrial market will be considered when assessing future floorspace needs.</w:t>
      </w:r>
    </w:p>
    <w:bookmarkEnd w:id="64"/>
    <w:p w14:paraId="5F5C3BBD" w14:textId="77777777" w:rsidR="00360825" w:rsidRPr="00D556DB" w:rsidRDefault="00360825" w:rsidP="00360825">
      <w:pPr>
        <w:pStyle w:val="BodyText"/>
        <w:numPr>
          <w:ilvl w:val="0"/>
          <w:numId w:val="0"/>
        </w:numPr>
        <w:rPr>
          <w:rFonts w:ascii="Arial" w:hAnsi="Arial" w:cs="Arial"/>
        </w:rPr>
      </w:pPr>
    </w:p>
    <w:p w14:paraId="706CB054" w14:textId="77777777" w:rsidR="00360825" w:rsidRPr="00D556DB" w:rsidRDefault="00360825" w:rsidP="00360825">
      <w:pPr>
        <w:pStyle w:val="Heading1"/>
        <w:rPr>
          <w:rFonts w:ascii="Arial" w:hAnsi="Arial" w:cs="Arial"/>
        </w:rPr>
      </w:pPr>
      <w:bookmarkStart w:id="65" w:name="_Toc96358142"/>
      <w:bookmarkStart w:id="66" w:name="_Toc97716040"/>
      <w:r w:rsidRPr="00D556DB">
        <w:rPr>
          <w:rFonts w:ascii="Arial" w:hAnsi="Arial" w:cs="Arial"/>
        </w:rPr>
        <w:lastRenderedPageBreak/>
        <w:t>Employment Growth Forecast</w:t>
      </w:r>
      <w:bookmarkEnd w:id="65"/>
      <w:bookmarkEnd w:id="66"/>
    </w:p>
    <w:p w14:paraId="14B56B3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previous HEDNA update set out a range on indicators relating to the economy, labour supply </w:t>
      </w:r>
      <w:r w:rsidRPr="00DE1AA1">
        <w:rPr>
          <w:rFonts w:ascii="Arial" w:hAnsi="Arial" w:cs="Arial"/>
        </w:rPr>
        <w:t>and</w:t>
      </w:r>
      <w:r w:rsidRPr="00D556DB">
        <w:rPr>
          <w:rFonts w:ascii="Arial" w:hAnsi="Arial" w:cs="Arial"/>
        </w:rPr>
        <w:t xml:space="preserve"> business base. Most of these will not have changed in the interim year since that document was published.</w:t>
      </w:r>
    </w:p>
    <w:p w14:paraId="0EDF21F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However, the pandemic has impacted the local economy with some sectors fairing differently from others. The table below shows the short-term trend. What we </w:t>
      </w:r>
      <w:r w:rsidRPr="00DE1AA1">
        <w:rPr>
          <w:rFonts w:ascii="Arial" w:hAnsi="Arial" w:cs="Arial"/>
        </w:rPr>
        <w:t>can</w:t>
      </w:r>
      <w:r w:rsidRPr="00D556DB">
        <w:rPr>
          <w:rFonts w:ascii="Arial" w:hAnsi="Arial" w:cs="Arial"/>
        </w:rPr>
        <w:t xml:space="preserve"> see from the totals is that the local economy had performed very well between 2018 and 2019 before the pandemic brought it back in line with historic trends in 2020 and below this level in 2021.</w:t>
      </w:r>
    </w:p>
    <w:p w14:paraId="21275D79" w14:textId="77777777" w:rsidR="00360825" w:rsidRPr="00D556DB" w:rsidRDefault="00360825" w:rsidP="001A7584">
      <w:pPr>
        <w:pStyle w:val="Heading4"/>
        <w:ind w:firstLine="0"/>
      </w:pPr>
      <w:r w:rsidRPr="00D556DB">
        <w:t>Total Employment (2018-2021)</w:t>
      </w:r>
    </w:p>
    <w:tbl>
      <w:tblPr>
        <w:tblW w:w="8784" w:type="dxa"/>
        <w:tblLayout w:type="fixed"/>
        <w:tblLook w:val="04A0" w:firstRow="1" w:lastRow="0" w:firstColumn="1" w:lastColumn="0" w:noHBand="0" w:noVBand="1"/>
      </w:tblPr>
      <w:tblGrid>
        <w:gridCol w:w="3681"/>
        <w:gridCol w:w="1275"/>
        <w:gridCol w:w="1276"/>
        <w:gridCol w:w="1276"/>
        <w:gridCol w:w="1276"/>
      </w:tblGrid>
      <w:tr w:rsidR="00360825" w:rsidRPr="00DE1AA1" w14:paraId="4EAA4E57" w14:textId="77777777" w:rsidTr="00C04569">
        <w:tc>
          <w:tcPr>
            <w:tcW w:w="368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E39A2C6" w14:textId="77777777" w:rsidR="00360825" w:rsidRPr="00D556DB" w:rsidRDefault="00360825" w:rsidP="00C04569">
            <w:pPr>
              <w:keepNext/>
              <w:spacing w:after="0" w:line="300" w:lineRule="auto"/>
              <w:jc w:val="left"/>
              <w:rPr>
                <w:rFonts w:ascii="Arial" w:hAnsi="Arial" w:cs="Arial"/>
                <w:color w:val="FFFFFF"/>
              </w:rPr>
            </w:pPr>
          </w:p>
        </w:tc>
        <w:tc>
          <w:tcPr>
            <w:tcW w:w="1275" w:type="dxa"/>
            <w:tcBorders>
              <w:top w:val="single" w:sz="4" w:space="0" w:color="auto"/>
              <w:left w:val="nil"/>
              <w:bottom w:val="single" w:sz="4" w:space="0" w:color="auto"/>
              <w:right w:val="single" w:sz="4" w:space="0" w:color="auto"/>
            </w:tcBorders>
            <w:shd w:val="clear" w:color="000000" w:fill="002060"/>
            <w:noWrap/>
            <w:vAlign w:val="bottom"/>
            <w:hideMark/>
          </w:tcPr>
          <w:p w14:paraId="04269280"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2018</w:t>
            </w:r>
          </w:p>
        </w:tc>
        <w:tc>
          <w:tcPr>
            <w:tcW w:w="1276" w:type="dxa"/>
            <w:tcBorders>
              <w:top w:val="single" w:sz="4" w:space="0" w:color="auto"/>
              <w:left w:val="nil"/>
              <w:bottom w:val="single" w:sz="4" w:space="0" w:color="auto"/>
              <w:right w:val="single" w:sz="4" w:space="0" w:color="auto"/>
            </w:tcBorders>
            <w:shd w:val="clear" w:color="000000" w:fill="002060"/>
            <w:noWrap/>
            <w:vAlign w:val="bottom"/>
            <w:hideMark/>
          </w:tcPr>
          <w:p w14:paraId="56CEE2AF"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2019</w:t>
            </w:r>
          </w:p>
        </w:tc>
        <w:tc>
          <w:tcPr>
            <w:tcW w:w="1276" w:type="dxa"/>
            <w:tcBorders>
              <w:top w:val="single" w:sz="4" w:space="0" w:color="auto"/>
              <w:left w:val="nil"/>
              <w:bottom w:val="single" w:sz="4" w:space="0" w:color="auto"/>
              <w:right w:val="single" w:sz="4" w:space="0" w:color="auto"/>
            </w:tcBorders>
            <w:shd w:val="clear" w:color="000000" w:fill="002060"/>
            <w:noWrap/>
            <w:vAlign w:val="bottom"/>
            <w:hideMark/>
          </w:tcPr>
          <w:p w14:paraId="59DB3787"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2020</w:t>
            </w:r>
          </w:p>
        </w:tc>
        <w:tc>
          <w:tcPr>
            <w:tcW w:w="1276" w:type="dxa"/>
            <w:tcBorders>
              <w:top w:val="single" w:sz="4" w:space="0" w:color="auto"/>
              <w:left w:val="nil"/>
              <w:bottom w:val="single" w:sz="4" w:space="0" w:color="auto"/>
              <w:right w:val="single" w:sz="4" w:space="0" w:color="auto"/>
            </w:tcBorders>
            <w:shd w:val="clear" w:color="000000" w:fill="002060"/>
            <w:noWrap/>
            <w:vAlign w:val="bottom"/>
            <w:hideMark/>
          </w:tcPr>
          <w:p w14:paraId="49EE1BB8"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2021</w:t>
            </w:r>
          </w:p>
        </w:tc>
      </w:tr>
      <w:tr w:rsidR="00360825" w:rsidRPr="00DE1AA1" w14:paraId="4CECDD09" w14:textId="77777777" w:rsidTr="00C04569">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68C3A0A"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Chichester</w:t>
            </w:r>
          </w:p>
        </w:tc>
        <w:tc>
          <w:tcPr>
            <w:tcW w:w="1275" w:type="dxa"/>
            <w:tcBorders>
              <w:top w:val="nil"/>
              <w:left w:val="nil"/>
              <w:bottom w:val="single" w:sz="4" w:space="0" w:color="auto"/>
              <w:right w:val="single" w:sz="4" w:space="0" w:color="auto"/>
            </w:tcBorders>
            <w:shd w:val="clear" w:color="auto" w:fill="auto"/>
            <w:noWrap/>
            <w:vAlign w:val="bottom"/>
            <w:hideMark/>
          </w:tcPr>
          <w:p w14:paraId="7C9B9B0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73,210</w:t>
            </w:r>
          </w:p>
        </w:tc>
        <w:tc>
          <w:tcPr>
            <w:tcW w:w="1276" w:type="dxa"/>
            <w:tcBorders>
              <w:top w:val="nil"/>
              <w:left w:val="nil"/>
              <w:bottom w:val="single" w:sz="4" w:space="0" w:color="auto"/>
              <w:right w:val="single" w:sz="4" w:space="0" w:color="auto"/>
            </w:tcBorders>
            <w:shd w:val="clear" w:color="auto" w:fill="auto"/>
            <w:noWrap/>
            <w:vAlign w:val="bottom"/>
            <w:hideMark/>
          </w:tcPr>
          <w:p w14:paraId="789820A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75,419</w:t>
            </w:r>
          </w:p>
        </w:tc>
        <w:tc>
          <w:tcPr>
            <w:tcW w:w="1276" w:type="dxa"/>
            <w:tcBorders>
              <w:top w:val="nil"/>
              <w:left w:val="nil"/>
              <w:bottom w:val="single" w:sz="4" w:space="0" w:color="auto"/>
              <w:right w:val="single" w:sz="4" w:space="0" w:color="auto"/>
            </w:tcBorders>
            <w:shd w:val="clear" w:color="auto" w:fill="auto"/>
            <w:noWrap/>
            <w:vAlign w:val="bottom"/>
            <w:hideMark/>
          </w:tcPr>
          <w:p w14:paraId="7F29AC4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73,198</w:t>
            </w:r>
          </w:p>
        </w:tc>
        <w:tc>
          <w:tcPr>
            <w:tcW w:w="1276" w:type="dxa"/>
            <w:tcBorders>
              <w:top w:val="nil"/>
              <w:left w:val="nil"/>
              <w:bottom w:val="single" w:sz="4" w:space="0" w:color="auto"/>
              <w:right w:val="single" w:sz="4" w:space="0" w:color="auto"/>
            </w:tcBorders>
            <w:shd w:val="clear" w:color="auto" w:fill="auto"/>
            <w:noWrap/>
            <w:vAlign w:val="bottom"/>
            <w:hideMark/>
          </w:tcPr>
          <w:p w14:paraId="7CC2817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72,360</w:t>
            </w:r>
          </w:p>
        </w:tc>
      </w:tr>
    </w:tbl>
    <w:p w14:paraId="35E88E64"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Oxford Economics</w:t>
      </w:r>
    </w:p>
    <w:p w14:paraId="35AB704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Firstly, it is difficult to delineate whether the growth in 2019 was as a result of errors in the data returns and the 2020 figure reflects the data returning to its natural level or as a result of Covid, or a combination of both.</w:t>
      </w:r>
    </w:p>
    <w:p w14:paraId="0CFF982F"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67" w:name="_Hlk89092098"/>
      <w:r w:rsidRPr="00D556DB">
        <w:rPr>
          <w:rFonts w:ascii="Arial" w:hAnsi="Arial" w:cs="Arial"/>
        </w:rPr>
        <w:t>However, the main issue with the 2021 figure is that we are starting from a trough in the cycle and the initial growth from this point is unlikely to generate any demand for additional floorspace as it will essentially just be the re-employment of those that were furloughed or made redundant during the pandemic</w:t>
      </w:r>
      <w:bookmarkEnd w:id="67"/>
      <w:r w:rsidRPr="00D556DB">
        <w:rPr>
          <w:rFonts w:ascii="Arial" w:hAnsi="Arial" w:cs="Arial"/>
        </w:rPr>
        <w:t>.</w:t>
      </w:r>
    </w:p>
    <w:p w14:paraId="447DF99F" w14:textId="77777777" w:rsidR="00360825" w:rsidRPr="00D556DB" w:rsidRDefault="00360825" w:rsidP="00360825">
      <w:pPr>
        <w:pStyle w:val="Heading2"/>
        <w:rPr>
          <w:rFonts w:ascii="Arial" w:hAnsi="Arial" w:cs="Arial"/>
        </w:rPr>
      </w:pPr>
      <w:r w:rsidRPr="00D556DB">
        <w:rPr>
          <w:rFonts w:ascii="Arial" w:hAnsi="Arial" w:cs="Arial"/>
        </w:rPr>
        <w:t>Baseline Forecasts</w:t>
      </w:r>
    </w:p>
    <w:p w14:paraId="2FDE2B9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Iceni commissioned Oxford Economics (OE) to provide baseline demand-based forecasts for the HEDNA. The OE forecast is dated October 2021. The baseline model is the </w:t>
      </w:r>
      <w:r w:rsidRPr="00DE1AA1">
        <w:rPr>
          <w:rFonts w:ascii="Arial" w:hAnsi="Arial" w:cs="Arial"/>
        </w:rPr>
        <w:t>lowest</w:t>
      </w:r>
      <w:r w:rsidRPr="00D556DB">
        <w:rPr>
          <w:rFonts w:ascii="Arial" w:hAnsi="Arial" w:cs="Arial"/>
        </w:rPr>
        <w:t xml:space="preserve"> hierarchical level of the OE framework of forecasting models with any event which impacts the international and national economy trickling down to regional and local economies based on their structure and past performance. This framework ensures that the forecasts are more than just an extrapolation of past trends. A full explanation of the model can be found in the previous HEDNA.</w:t>
      </w:r>
    </w:p>
    <w:p w14:paraId="793B301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Oxford Economics Baseline scenario shows the total number of jobs in Chichester District is expected to grow from approximately 72,400 in 2021 to 78,100 in 2039. This is a total forecast growth of 5,700 which equates to an annual growth rate of 0.4%.</w:t>
      </w:r>
      <w:bookmarkStart w:id="68" w:name="_Toc466513518"/>
      <w:bookmarkStart w:id="69" w:name="_Toc471487042"/>
      <w:bookmarkStart w:id="70" w:name="_Toc481156664"/>
      <w:r w:rsidRPr="00D556DB">
        <w:rPr>
          <w:rFonts w:ascii="Arial" w:hAnsi="Arial" w:cs="Arial"/>
        </w:rPr>
        <w:t xml:space="preserve"> </w:t>
      </w:r>
    </w:p>
    <w:p w14:paraId="6EB10CA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However, if we were to benchmark the growth from the pre-pandemic levels in 2019 the economic growth is only around 2,700 jobs which equates to around 0.17%. We can therefore start to understand how important the starting point is for this analysis. </w:t>
      </w:r>
    </w:p>
    <w:p w14:paraId="193FD10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This is a slower rate than the baseline growth in 2018 HEDNA and not dissimilar to that of the 2020 HEDNA Update. </w:t>
      </w:r>
      <w:r w:rsidRPr="00DE1AA1">
        <w:rPr>
          <w:rFonts w:ascii="Arial" w:hAnsi="Arial" w:cs="Arial"/>
        </w:rPr>
        <w:t>As</w:t>
      </w:r>
      <w:r w:rsidRPr="00D556DB">
        <w:rPr>
          <w:rFonts w:ascii="Arial" w:hAnsi="Arial" w:cs="Arial"/>
        </w:rPr>
        <w:t xml:space="preserve"> illustrated below, the Baseline Forecast in Chichester District is slower than historic level of jobs growth.</w:t>
      </w:r>
    </w:p>
    <w:p w14:paraId="404258A6" w14:textId="300E696E" w:rsidR="00360825" w:rsidRPr="00D556DB" w:rsidRDefault="00360825" w:rsidP="001A7584">
      <w:pPr>
        <w:pStyle w:val="Heading4"/>
        <w:ind w:firstLine="0"/>
      </w:pPr>
      <w:r w:rsidRPr="00D556DB">
        <w:t>- Employment in Chichester Historic and Forecast (1993-2039)</w:t>
      </w:r>
      <w:bookmarkEnd w:id="68"/>
      <w:bookmarkEnd w:id="69"/>
      <w:bookmarkEnd w:id="70"/>
    </w:p>
    <w:p w14:paraId="4C4FBC1C" w14:textId="77777777" w:rsidR="00360825" w:rsidRPr="00D556DB" w:rsidRDefault="00360825" w:rsidP="00360825">
      <w:pPr>
        <w:pStyle w:val="11Bodytext"/>
        <w:tabs>
          <w:tab w:val="clear" w:pos="794"/>
          <w:tab w:val="left" w:pos="720"/>
        </w:tabs>
        <w:spacing w:before="0" w:after="0" w:line="240" w:lineRule="auto"/>
        <w:ind w:left="0" w:firstLine="0"/>
        <w:rPr>
          <w:rFonts w:ascii="Arial Narrow" w:hAnsi="Arial Narrow"/>
          <w:color w:val="auto"/>
        </w:rPr>
      </w:pPr>
      <w:r w:rsidRPr="00D556DB">
        <w:rPr>
          <w:rFonts w:ascii="Arial Narrow" w:hAnsi="Arial Narrow"/>
          <w:noProof/>
          <w:color w:val="auto"/>
        </w:rPr>
        <w:drawing>
          <wp:inline distT="0" distB="0" distL="0" distR="0" wp14:anchorId="25A53B32" wp14:editId="7114785D">
            <wp:extent cx="5616000" cy="2880000"/>
            <wp:effectExtent l="0" t="0" r="3810" b="15875"/>
            <wp:docPr id="73" name="Chart 73" descr="the Baseline Forecast in Chichester District is slower than historic level of jobs growth.">
              <a:extLst xmlns:a="http://schemas.openxmlformats.org/drawingml/2006/main">
                <a:ext uri="{FF2B5EF4-FFF2-40B4-BE49-F238E27FC236}">
                  <a16:creationId xmlns:a16="http://schemas.microsoft.com/office/drawing/2014/main" id="{C5C4665C-A1FA-4ABC-A1B6-4B8C69AA34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9F055EA" w14:textId="77777777" w:rsidR="00360825" w:rsidRPr="00DE1AA1" w:rsidRDefault="00360825" w:rsidP="009273C8">
      <w:pPr>
        <w:pStyle w:val="11Bodytext"/>
        <w:tabs>
          <w:tab w:val="clear" w:pos="794"/>
          <w:tab w:val="left" w:pos="720"/>
        </w:tabs>
      </w:pPr>
      <w:r w:rsidRPr="00DE1AA1">
        <w:t>Source: Oxford Economics, 2019</w:t>
      </w:r>
    </w:p>
    <w:p w14:paraId="041CC06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slower rate of growth going forward as compared to previous economic cycles is not </w:t>
      </w:r>
      <w:r w:rsidRPr="00DE1AA1">
        <w:rPr>
          <w:rFonts w:ascii="Arial" w:hAnsi="Arial" w:cs="Arial"/>
        </w:rPr>
        <w:t>confined</w:t>
      </w:r>
      <w:r w:rsidRPr="00D556DB">
        <w:rPr>
          <w:rFonts w:ascii="Arial" w:hAnsi="Arial" w:cs="Arial"/>
        </w:rPr>
        <w:t xml:space="preserve"> to Chichester District but is expected regionally and nationally. This reflects the twin impacts of Brexit and the pandemic but also the fact that the economy was strong historically. </w:t>
      </w:r>
    </w:p>
    <w:p w14:paraId="5E0D494A" w14:textId="77777777" w:rsidR="00360825" w:rsidRPr="00D556DB" w:rsidRDefault="00360825" w:rsidP="00360825">
      <w:pPr>
        <w:pStyle w:val="Heading2"/>
        <w:rPr>
          <w:rFonts w:ascii="Arial" w:hAnsi="Arial" w:cs="Arial"/>
        </w:rPr>
      </w:pPr>
      <w:r w:rsidRPr="00D556DB">
        <w:rPr>
          <w:rFonts w:ascii="Arial" w:hAnsi="Arial" w:cs="Arial"/>
        </w:rPr>
        <w:t>Growth Forecasts</w:t>
      </w:r>
    </w:p>
    <w:p w14:paraId="3EC185F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addition to the baseline forecasts this study is also reviewing the previous HEDNA Growth Scenario.</w:t>
      </w:r>
      <w:r>
        <w:rPr>
          <w:rFonts w:ascii="Arial" w:hAnsi="Arial" w:cs="Arial"/>
        </w:rPr>
        <w:t xml:space="preserve"> </w:t>
      </w:r>
      <w:r w:rsidRPr="00D556DB">
        <w:rPr>
          <w:rFonts w:ascii="Arial" w:hAnsi="Arial" w:cs="Arial"/>
        </w:rPr>
        <w:t>The Growth scenario builds on the baseline forecasts but reflect a greater level of knowledge of the local economy garnered from discussions from a range of stakeholders.</w:t>
      </w:r>
    </w:p>
    <w:p w14:paraId="213DCFD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previous</w:t>
      </w:r>
      <w:r w:rsidRPr="00D556DB">
        <w:rPr>
          <w:rFonts w:ascii="Arial" w:hAnsi="Arial" w:cs="Arial"/>
        </w:rPr>
        <w:t xml:space="preserve"> HEDNA showed that the District has particular strengths in the agriculture/horticultural sector (where the proportion of jobs in Chichester is three times the regional rate). Additionally, the District has strengths in manufacturing linked to Rolls Royce Motors’ Goodwood site.</w:t>
      </w:r>
    </w:p>
    <w:p w14:paraId="5B5A526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is also a strength in hospitality, creative and recreation sectors all of which can be linked to tourism. It also noted that real estate and business support services, public administration and </w:t>
      </w:r>
      <w:r w:rsidRPr="00D556DB">
        <w:rPr>
          <w:rFonts w:ascii="Arial" w:hAnsi="Arial" w:cs="Arial"/>
        </w:rPr>
        <w:lastRenderedPageBreak/>
        <w:t>defence and healthcare (linked to the ageing population) are also significant contributors to the District’s economy.</w:t>
      </w:r>
    </w:p>
    <w:p w14:paraId="33180C3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OE models means that the baseline forecast in some sectors may more closely </w:t>
      </w:r>
      <w:r w:rsidRPr="00DE1AA1">
        <w:rPr>
          <w:rFonts w:ascii="Arial" w:hAnsi="Arial" w:cs="Arial"/>
        </w:rPr>
        <w:t>resemble</w:t>
      </w:r>
      <w:r w:rsidRPr="00D556DB">
        <w:rPr>
          <w:rFonts w:ascii="Arial" w:hAnsi="Arial" w:cs="Arial"/>
        </w:rPr>
        <w:t xml:space="preserve"> the regional trends which OE considers will be less positive than the historic trends at a regional level. For example, the manufacturing sector has been in long term decline but because the sector in Chichester is unusually dominated by the car manufacturing and food production this is unlikely to reflect national or regional trends. </w:t>
      </w:r>
    </w:p>
    <w:p w14:paraId="3C9968C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2018 for the HEDNA, GL Hearn undertook detailed consultation with a range of </w:t>
      </w:r>
      <w:r w:rsidRPr="00DE1AA1">
        <w:rPr>
          <w:rFonts w:ascii="Arial" w:hAnsi="Arial" w:cs="Arial"/>
        </w:rPr>
        <w:t>partners</w:t>
      </w:r>
      <w:r w:rsidRPr="00D556DB">
        <w:rPr>
          <w:rFonts w:ascii="Arial" w:hAnsi="Arial" w:cs="Arial"/>
        </w:rPr>
        <w:t xml:space="preserve"> to determine growth plans and sector drivers. This included the Local Enterprise Partnership (LEPs), the Council, and the University of Chichester as well as consultation with local commercial agents. </w:t>
      </w:r>
    </w:p>
    <w:p w14:paraId="645683F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2019 and 2020 these were revisited (also by GL Hearn) these and supplemented with further consultation and analysis of the Inward Investment and Growth report 2019. For this work we have engaged with local agents and the economic development officer as well as the University to inform our work.</w:t>
      </w:r>
    </w:p>
    <w:p w14:paraId="6611B8D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set out the table below we have made adjustments to a number of sectors to reflect our understanding of the local economy. Where adjustments have been made these have been to either halt projected declines or to benchmark future growth to historic levels.</w:t>
      </w:r>
    </w:p>
    <w:p w14:paraId="50EC80E5" w14:textId="77777777" w:rsidR="00360825" w:rsidRPr="00D556DB" w:rsidRDefault="00360825" w:rsidP="001A7584">
      <w:pPr>
        <w:pStyle w:val="Heading4"/>
        <w:ind w:firstLine="0"/>
      </w:pPr>
      <w:r w:rsidRPr="00D556DB">
        <w:t>Adjusted Sectors in the Growth Scenario</w:t>
      </w:r>
    </w:p>
    <w:tbl>
      <w:tblPr>
        <w:tblStyle w:val="TableGridLight1"/>
        <w:tblW w:w="9059" w:type="dxa"/>
        <w:tblInd w:w="0" w:type="dxa"/>
        <w:tblLayout w:type="fixed"/>
        <w:tblLook w:val="04A0" w:firstRow="1" w:lastRow="0" w:firstColumn="1" w:lastColumn="0" w:noHBand="0" w:noVBand="1"/>
      </w:tblPr>
      <w:tblGrid>
        <w:gridCol w:w="1555"/>
        <w:gridCol w:w="850"/>
        <w:gridCol w:w="851"/>
        <w:gridCol w:w="850"/>
        <w:gridCol w:w="851"/>
        <w:gridCol w:w="4102"/>
      </w:tblGrid>
      <w:tr w:rsidR="00360825" w:rsidRPr="00DE1AA1" w14:paraId="40B80611" w14:textId="77777777" w:rsidTr="00C04569">
        <w:trPr>
          <w:trHeight w:val="290"/>
        </w:trPr>
        <w:tc>
          <w:tcPr>
            <w:tcW w:w="1555" w:type="dxa"/>
            <w:vMerge w:val="restart"/>
            <w:shd w:val="clear" w:color="auto" w:fill="002060"/>
            <w:noWrap/>
            <w:hideMark/>
          </w:tcPr>
          <w:p w14:paraId="1C19AFE7" w14:textId="77777777" w:rsidR="00360825" w:rsidRPr="00DE1AA1" w:rsidRDefault="00360825" w:rsidP="00C04569">
            <w:pPr>
              <w:keepNext/>
              <w:spacing w:after="0" w:line="300" w:lineRule="auto"/>
              <w:jc w:val="left"/>
              <w:rPr>
                <w:rFonts w:ascii="Arial" w:hAnsi="Arial" w:cs="Arial"/>
                <w:color w:val="FFFFFF"/>
              </w:rPr>
            </w:pPr>
            <w:r w:rsidRPr="00DE1AA1">
              <w:rPr>
                <w:rFonts w:ascii="Arial" w:hAnsi="Arial" w:cs="Arial"/>
                <w:color w:val="FFFFFF"/>
              </w:rPr>
              <w:t>Sector</w:t>
            </w:r>
          </w:p>
        </w:tc>
        <w:tc>
          <w:tcPr>
            <w:tcW w:w="1701" w:type="dxa"/>
            <w:gridSpan w:val="2"/>
            <w:shd w:val="clear" w:color="auto" w:fill="002060"/>
            <w:noWrap/>
            <w:hideMark/>
          </w:tcPr>
          <w:p w14:paraId="207DFB2D" w14:textId="77777777" w:rsidR="00360825" w:rsidRPr="00DE1AA1" w:rsidRDefault="00360825" w:rsidP="00C04569">
            <w:pPr>
              <w:keepNext/>
              <w:spacing w:after="0" w:line="300" w:lineRule="auto"/>
              <w:jc w:val="center"/>
              <w:rPr>
                <w:rFonts w:ascii="Arial" w:hAnsi="Arial" w:cs="Arial"/>
                <w:color w:val="FFFFFF"/>
              </w:rPr>
            </w:pPr>
            <w:r w:rsidRPr="00DE1AA1">
              <w:rPr>
                <w:rFonts w:ascii="Arial" w:hAnsi="Arial" w:cs="Arial"/>
                <w:color w:val="FFFFFF"/>
              </w:rPr>
              <w:t xml:space="preserve">Baseline </w:t>
            </w:r>
          </w:p>
          <w:p w14:paraId="1C19A10D" w14:textId="77777777" w:rsidR="00360825" w:rsidRPr="00DE1AA1" w:rsidRDefault="00360825" w:rsidP="00C04569">
            <w:pPr>
              <w:keepNext/>
              <w:spacing w:after="0" w:line="300" w:lineRule="auto"/>
              <w:jc w:val="center"/>
              <w:rPr>
                <w:rFonts w:ascii="Arial" w:hAnsi="Arial" w:cs="Arial"/>
                <w:color w:val="FFFFFF"/>
              </w:rPr>
            </w:pPr>
            <w:r w:rsidRPr="00DE1AA1">
              <w:rPr>
                <w:rFonts w:ascii="Arial" w:hAnsi="Arial" w:cs="Arial"/>
                <w:color w:val="FFFFFF"/>
              </w:rPr>
              <w:t>(21-39)</w:t>
            </w:r>
          </w:p>
        </w:tc>
        <w:tc>
          <w:tcPr>
            <w:tcW w:w="1701" w:type="dxa"/>
            <w:gridSpan w:val="2"/>
            <w:shd w:val="clear" w:color="auto" w:fill="002060"/>
            <w:noWrap/>
            <w:hideMark/>
          </w:tcPr>
          <w:p w14:paraId="1E442FF0" w14:textId="77777777" w:rsidR="00360825" w:rsidRPr="00DE1AA1" w:rsidRDefault="00360825" w:rsidP="00C04569">
            <w:pPr>
              <w:keepNext/>
              <w:spacing w:after="0" w:line="300" w:lineRule="auto"/>
              <w:jc w:val="center"/>
              <w:rPr>
                <w:rFonts w:ascii="Arial" w:hAnsi="Arial" w:cs="Arial"/>
                <w:color w:val="FFFFFF"/>
              </w:rPr>
            </w:pPr>
            <w:r w:rsidRPr="00DE1AA1">
              <w:rPr>
                <w:rFonts w:ascii="Arial" w:hAnsi="Arial" w:cs="Arial"/>
                <w:color w:val="FFFFFF"/>
              </w:rPr>
              <w:t>Growth</w:t>
            </w:r>
          </w:p>
          <w:p w14:paraId="38EFD737" w14:textId="77777777" w:rsidR="00360825" w:rsidRPr="00DE1AA1" w:rsidRDefault="00360825" w:rsidP="00C04569">
            <w:pPr>
              <w:keepNext/>
              <w:spacing w:after="0" w:line="300" w:lineRule="auto"/>
              <w:jc w:val="center"/>
              <w:rPr>
                <w:rFonts w:ascii="Arial" w:hAnsi="Arial" w:cs="Arial"/>
                <w:color w:val="FFFFFF"/>
              </w:rPr>
            </w:pPr>
            <w:r w:rsidRPr="00DE1AA1">
              <w:rPr>
                <w:rFonts w:ascii="Arial" w:hAnsi="Arial" w:cs="Arial"/>
                <w:color w:val="FFFFFF"/>
              </w:rPr>
              <w:t>(21-39)</w:t>
            </w:r>
          </w:p>
        </w:tc>
        <w:tc>
          <w:tcPr>
            <w:tcW w:w="4102" w:type="dxa"/>
            <w:vMerge w:val="restart"/>
            <w:shd w:val="clear" w:color="auto" w:fill="002060"/>
          </w:tcPr>
          <w:p w14:paraId="64202854" w14:textId="77777777" w:rsidR="00360825" w:rsidRPr="00DE1AA1" w:rsidRDefault="00360825" w:rsidP="00C04569">
            <w:pPr>
              <w:keepNext/>
              <w:spacing w:after="0" w:line="300" w:lineRule="auto"/>
              <w:jc w:val="center"/>
              <w:rPr>
                <w:rFonts w:ascii="Arial" w:hAnsi="Arial" w:cs="Arial"/>
                <w:color w:val="FFFFFF"/>
              </w:rPr>
            </w:pPr>
            <w:r w:rsidRPr="00DE1AA1">
              <w:rPr>
                <w:rFonts w:ascii="Arial" w:hAnsi="Arial" w:cs="Arial"/>
                <w:color w:val="FFFFFF"/>
              </w:rPr>
              <w:t>Justification</w:t>
            </w:r>
          </w:p>
        </w:tc>
      </w:tr>
      <w:tr w:rsidR="00360825" w:rsidRPr="00DE1AA1" w14:paraId="57631EAB" w14:textId="77777777" w:rsidTr="00C04569">
        <w:trPr>
          <w:trHeight w:val="290"/>
        </w:trPr>
        <w:tc>
          <w:tcPr>
            <w:tcW w:w="1555" w:type="dxa"/>
            <w:vMerge/>
            <w:noWrap/>
          </w:tcPr>
          <w:p w14:paraId="6ECD9510" w14:textId="77777777" w:rsidR="00360825" w:rsidRPr="00DE1AA1" w:rsidRDefault="00360825" w:rsidP="00C04569">
            <w:pPr>
              <w:keepNext/>
              <w:spacing w:after="0" w:line="300" w:lineRule="auto"/>
              <w:jc w:val="left"/>
              <w:rPr>
                <w:rFonts w:ascii="Arial" w:hAnsi="Arial" w:cs="Arial"/>
                <w:color w:val="000000"/>
              </w:rPr>
            </w:pPr>
          </w:p>
        </w:tc>
        <w:tc>
          <w:tcPr>
            <w:tcW w:w="850" w:type="dxa"/>
            <w:shd w:val="clear" w:color="auto" w:fill="002060"/>
            <w:noWrap/>
          </w:tcPr>
          <w:p w14:paraId="5FDC6D50" w14:textId="77777777" w:rsidR="00360825" w:rsidRPr="00DE1AA1" w:rsidRDefault="00360825"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Jobs</w:t>
            </w:r>
          </w:p>
        </w:tc>
        <w:tc>
          <w:tcPr>
            <w:tcW w:w="851" w:type="dxa"/>
            <w:shd w:val="clear" w:color="auto" w:fill="002060"/>
            <w:noWrap/>
          </w:tcPr>
          <w:p w14:paraId="265A827C" w14:textId="77777777" w:rsidR="00360825" w:rsidRPr="00DE1AA1" w:rsidRDefault="00360825"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w:t>
            </w:r>
          </w:p>
        </w:tc>
        <w:tc>
          <w:tcPr>
            <w:tcW w:w="850" w:type="dxa"/>
            <w:shd w:val="clear" w:color="auto" w:fill="002060"/>
            <w:noWrap/>
          </w:tcPr>
          <w:p w14:paraId="794CA284" w14:textId="77777777" w:rsidR="00360825" w:rsidRPr="00DE1AA1" w:rsidRDefault="00360825"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Jobs</w:t>
            </w:r>
          </w:p>
        </w:tc>
        <w:tc>
          <w:tcPr>
            <w:tcW w:w="851" w:type="dxa"/>
            <w:shd w:val="clear" w:color="auto" w:fill="002060"/>
            <w:noWrap/>
          </w:tcPr>
          <w:p w14:paraId="0C038922" w14:textId="77777777" w:rsidR="00360825" w:rsidRPr="00DE1AA1" w:rsidRDefault="00360825"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w:t>
            </w:r>
          </w:p>
        </w:tc>
        <w:tc>
          <w:tcPr>
            <w:tcW w:w="4102" w:type="dxa"/>
            <w:vMerge/>
          </w:tcPr>
          <w:p w14:paraId="7EB09578" w14:textId="77777777" w:rsidR="00360825" w:rsidRPr="00DE1AA1" w:rsidRDefault="00360825" w:rsidP="00C04569">
            <w:pPr>
              <w:keepNext/>
              <w:spacing w:after="0" w:line="300" w:lineRule="auto"/>
              <w:jc w:val="center"/>
              <w:rPr>
                <w:rFonts w:ascii="Arial" w:hAnsi="Arial" w:cs="Arial"/>
                <w:color w:val="000000"/>
              </w:rPr>
            </w:pPr>
          </w:p>
        </w:tc>
      </w:tr>
      <w:tr w:rsidR="00360825" w:rsidRPr="00DE1AA1" w14:paraId="017C615F" w14:textId="77777777" w:rsidTr="00C04569">
        <w:trPr>
          <w:trHeight w:val="290"/>
        </w:trPr>
        <w:tc>
          <w:tcPr>
            <w:tcW w:w="1555" w:type="dxa"/>
            <w:noWrap/>
            <w:hideMark/>
          </w:tcPr>
          <w:p w14:paraId="109C6C8D"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Agriculture &amp; Mining</w:t>
            </w:r>
          </w:p>
        </w:tc>
        <w:tc>
          <w:tcPr>
            <w:tcW w:w="850" w:type="dxa"/>
            <w:noWrap/>
            <w:hideMark/>
          </w:tcPr>
          <w:p w14:paraId="5BFD1C5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-494</w:t>
            </w:r>
          </w:p>
        </w:tc>
        <w:tc>
          <w:tcPr>
            <w:tcW w:w="851" w:type="dxa"/>
            <w:noWrap/>
            <w:hideMark/>
          </w:tcPr>
          <w:p w14:paraId="183400A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w:t>
            </w:r>
          </w:p>
        </w:tc>
        <w:tc>
          <w:tcPr>
            <w:tcW w:w="850" w:type="dxa"/>
            <w:noWrap/>
            <w:hideMark/>
          </w:tcPr>
          <w:p w14:paraId="1E09ED7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w:t>
            </w:r>
          </w:p>
        </w:tc>
        <w:tc>
          <w:tcPr>
            <w:tcW w:w="851" w:type="dxa"/>
            <w:noWrap/>
            <w:hideMark/>
          </w:tcPr>
          <w:p w14:paraId="7DE7F68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0.0%</w:t>
            </w:r>
          </w:p>
        </w:tc>
        <w:tc>
          <w:tcPr>
            <w:tcW w:w="4102" w:type="dxa"/>
          </w:tcPr>
          <w:p w14:paraId="46E95C07"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The horticultural industry is strong in Chichester and the baseline decline seems unrealistic.</w:t>
            </w:r>
          </w:p>
        </w:tc>
      </w:tr>
      <w:tr w:rsidR="00360825" w:rsidRPr="00DE1AA1" w14:paraId="1599411C" w14:textId="77777777" w:rsidTr="00C04569">
        <w:trPr>
          <w:trHeight w:val="290"/>
        </w:trPr>
        <w:tc>
          <w:tcPr>
            <w:tcW w:w="1555" w:type="dxa"/>
            <w:noWrap/>
            <w:hideMark/>
          </w:tcPr>
          <w:p w14:paraId="1BB03169"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Manufacturing</w:t>
            </w:r>
          </w:p>
        </w:tc>
        <w:tc>
          <w:tcPr>
            <w:tcW w:w="850" w:type="dxa"/>
            <w:noWrap/>
            <w:hideMark/>
          </w:tcPr>
          <w:p w14:paraId="51644FF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w:t>
            </w:r>
            <w:r>
              <w:rPr>
                <w:rFonts w:ascii="Arial" w:hAnsi="Arial" w:cs="Arial"/>
                <w:color w:val="000000"/>
              </w:rPr>
              <w:t>,</w:t>
            </w:r>
            <w:r w:rsidRPr="00DE1AA1">
              <w:rPr>
                <w:rFonts w:ascii="Arial" w:hAnsi="Arial" w:cs="Arial"/>
                <w:color w:val="000000"/>
              </w:rPr>
              <w:t>108</w:t>
            </w:r>
          </w:p>
        </w:tc>
        <w:tc>
          <w:tcPr>
            <w:tcW w:w="851" w:type="dxa"/>
            <w:noWrap/>
            <w:hideMark/>
          </w:tcPr>
          <w:p w14:paraId="105C1B9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-2.2%</w:t>
            </w:r>
          </w:p>
        </w:tc>
        <w:tc>
          <w:tcPr>
            <w:tcW w:w="850" w:type="dxa"/>
            <w:noWrap/>
            <w:hideMark/>
          </w:tcPr>
          <w:p w14:paraId="389A7C9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w:t>
            </w:r>
          </w:p>
        </w:tc>
        <w:tc>
          <w:tcPr>
            <w:tcW w:w="851" w:type="dxa"/>
            <w:noWrap/>
            <w:hideMark/>
          </w:tcPr>
          <w:p w14:paraId="19AB854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0.0%</w:t>
            </w:r>
          </w:p>
        </w:tc>
        <w:tc>
          <w:tcPr>
            <w:tcW w:w="4102" w:type="dxa"/>
          </w:tcPr>
          <w:p w14:paraId="6425B4E2"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The majority of manufacturing employment is at RR and Food production neither of which are likely to contract</w:t>
            </w:r>
          </w:p>
        </w:tc>
      </w:tr>
      <w:tr w:rsidR="00360825" w:rsidRPr="00DE1AA1" w14:paraId="5EFDE108" w14:textId="77777777" w:rsidTr="00C04569">
        <w:trPr>
          <w:trHeight w:val="290"/>
        </w:trPr>
        <w:tc>
          <w:tcPr>
            <w:tcW w:w="1555" w:type="dxa"/>
            <w:noWrap/>
            <w:hideMark/>
          </w:tcPr>
          <w:p w14:paraId="33637E14"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Transport &amp; Warehouse</w:t>
            </w:r>
          </w:p>
        </w:tc>
        <w:tc>
          <w:tcPr>
            <w:tcW w:w="850" w:type="dxa"/>
            <w:noWrap/>
            <w:hideMark/>
          </w:tcPr>
          <w:p w14:paraId="0AE893D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-51</w:t>
            </w:r>
          </w:p>
        </w:tc>
        <w:tc>
          <w:tcPr>
            <w:tcW w:w="851" w:type="dxa"/>
            <w:noWrap/>
            <w:hideMark/>
          </w:tcPr>
          <w:p w14:paraId="177D73E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-0.3%</w:t>
            </w:r>
          </w:p>
        </w:tc>
        <w:tc>
          <w:tcPr>
            <w:tcW w:w="850" w:type="dxa"/>
            <w:noWrap/>
            <w:hideMark/>
          </w:tcPr>
          <w:p w14:paraId="42D35C7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285</w:t>
            </w:r>
          </w:p>
        </w:tc>
        <w:tc>
          <w:tcPr>
            <w:tcW w:w="851" w:type="dxa"/>
            <w:noWrap/>
            <w:hideMark/>
          </w:tcPr>
          <w:p w14:paraId="418F70B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1.3%</w:t>
            </w:r>
          </w:p>
        </w:tc>
        <w:tc>
          <w:tcPr>
            <w:tcW w:w="4102" w:type="dxa"/>
          </w:tcPr>
          <w:p w14:paraId="36E3DF64"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There is known demand and there has been a post-covid shift to e-commerce</w:t>
            </w:r>
          </w:p>
        </w:tc>
      </w:tr>
      <w:tr w:rsidR="00360825" w:rsidRPr="00DE1AA1" w14:paraId="40018023" w14:textId="77777777" w:rsidTr="00C04569">
        <w:trPr>
          <w:trHeight w:val="290"/>
        </w:trPr>
        <w:tc>
          <w:tcPr>
            <w:tcW w:w="1555" w:type="dxa"/>
            <w:noWrap/>
            <w:hideMark/>
          </w:tcPr>
          <w:p w14:paraId="4CAEEAB7"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Hospitality</w:t>
            </w:r>
          </w:p>
        </w:tc>
        <w:tc>
          <w:tcPr>
            <w:tcW w:w="850" w:type="dxa"/>
            <w:noWrap/>
            <w:hideMark/>
          </w:tcPr>
          <w:p w14:paraId="6D6F3D2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592</w:t>
            </w:r>
          </w:p>
        </w:tc>
        <w:tc>
          <w:tcPr>
            <w:tcW w:w="851" w:type="dxa"/>
            <w:noWrap/>
            <w:hideMark/>
          </w:tcPr>
          <w:p w14:paraId="5F89F6B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0.5%</w:t>
            </w:r>
          </w:p>
        </w:tc>
        <w:tc>
          <w:tcPr>
            <w:tcW w:w="850" w:type="dxa"/>
            <w:noWrap/>
            <w:hideMark/>
          </w:tcPr>
          <w:p w14:paraId="4ACB3D9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w:t>
            </w:r>
            <w:r>
              <w:rPr>
                <w:rFonts w:ascii="Arial" w:hAnsi="Arial" w:cs="Arial"/>
                <w:color w:val="000000"/>
              </w:rPr>
              <w:t>,</w:t>
            </w:r>
            <w:r w:rsidRPr="00DE1AA1">
              <w:rPr>
                <w:rFonts w:ascii="Arial" w:hAnsi="Arial" w:cs="Arial"/>
                <w:color w:val="000000"/>
              </w:rPr>
              <w:t>440</w:t>
            </w:r>
          </w:p>
        </w:tc>
        <w:tc>
          <w:tcPr>
            <w:tcW w:w="851" w:type="dxa"/>
            <w:noWrap/>
            <w:hideMark/>
          </w:tcPr>
          <w:p w14:paraId="7207E6D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w:t>
            </w:r>
          </w:p>
        </w:tc>
        <w:tc>
          <w:tcPr>
            <w:tcW w:w="4102" w:type="dxa"/>
          </w:tcPr>
          <w:p w14:paraId="3430678E"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 xml:space="preserve">The sector is known to have rebounded strongly and there are developments such as the Southern Gateway site and Bunn Leisure which will support further growth. </w:t>
            </w:r>
          </w:p>
        </w:tc>
      </w:tr>
      <w:tr w:rsidR="00360825" w:rsidRPr="00DE1AA1" w14:paraId="29DB8E09" w14:textId="77777777" w:rsidTr="00C04569">
        <w:trPr>
          <w:trHeight w:val="290"/>
        </w:trPr>
        <w:tc>
          <w:tcPr>
            <w:tcW w:w="1555" w:type="dxa"/>
            <w:noWrap/>
            <w:hideMark/>
          </w:tcPr>
          <w:p w14:paraId="149D987B"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Education</w:t>
            </w:r>
          </w:p>
        </w:tc>
        <w:tc>
          <w:tcPr>
            <w:tcW w:w="850" w:type="dxa"/>
            <w:noWrap/>
            <w:hideMark/>
          </w:tcPr>
          <w:p w14:paraId="7CEF716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415</w:t>
            </w:r>
          </w:p>
        </w:tc>
        <w:tc>
          <w:tcPr>
            <w:tcW w:w="851" w:type="dxa"/>
            <w:noWrap/>
            <w:hideMark/>
          </w:tcPr>
          <w:p w14:paraId="08DDC07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0.3%</w:t>
            </w:r>
          </w:p>
        </w:tc>
        <w:tc>
          <w:tcPr>
            <w:tcW w:w="850" w:type="dxa"/>
            <w:noWrap/>
            <w:hideMark/>
          </w:tcPr>
          <w:p w14:paraId="3E2DD62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670</w:t>
            </w:r>
          </w:p>
        </w:tc>
        <w:tc>
          <w:tcPr>
            <w:tcW w:w="851" w:type="dxa"/>
            <w:noWrap/>
            <w:hideMark/>
          </w:tcPr>
          <w:p w14:paraId="7F7E254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0.5%</w:t>
            </w:r>
          </w:p>
        </w:tc>
        <w:tc>
          <w:tcPr>
            <w:tcW w:w="4102" w:type="dxa"/>
          </w:tcPr>
          <w:p w14:paraId="25683590"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The University is planning a substantial growth.</w:t>
            </w:r>
          </w:p>
        </w:tc>
      </w:tr>
      <w:tr w:rsidR="00360825" w:rsidRPr="00DE1AA1" w14:paraId="540AA4FF" w14:textId="77777777" w:rsidTr="00C04569">
        <w:trPr>
          <w:trHeight w:val="290"/>
        </w:trPr>
        <w:tc>
          <w:tcPr>
            <w:tcW w:w="1555" w:type="dxa"/>
            <w:noWrap/>
            <w:hideMark/>
          </w:tcPr>
          <w:p w14:paraId="66E4B600"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Total</w:t>
            </w:r>
          </w:p>
        </w:tc>
        <w:tc>
          <w:tcPr>
            <w:tcW w:w="850" w:type="dxa"/>
            <w:noWrap/>
            <w:hideMark/>
          </w:tcPr>
          <w:p w14:paraId="6F2709D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w:t>
            </w:r>
            <w:r>
              <w:rPr>
                <w:rFonts w:ascii="Arial" w:hAnsi="Arial" w:cs="Arial"/>
                <w:color w:val="000000"/>
              </w:rPr>
              <w:t>,</w:t>
            </w:r>
            <w:r w:rsidRPr="00DE1AA1">
              <w:rPr>
                <w:rFonts w:ascii="Arial" w:hAnsi="Arial" w:cs="Arial"/>
                <w:color w:val="000000"/>
              </w:rPr>
              <w:t>761</w:t>
            </w:r>
          </w:p>
        </w:tc>
        <w:tc>
          <w:tcPr>
            <w:tcW w:w="851" w:type="dxa"/>
            <w:noWrap/>
            <w:hideMark/>
          </w:tcPr>
          <w:p w14:paraId="47B0A5B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0.4%</w:t>
            </w:r>
          </w:p>
        </w:tc>
        <w:tc>
          <w:tcPr>
            <w:tcW w:w="850" w:type="dxa"/>
            <w:noWrap/>
            <w:hideMark/>
          </w:tcPr>
          <w:p w14:paraId="5ED3259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w:t>
            </w:r>
            <w:r>
              <w:rPr>
                <w:rFonts w:ascii="Arial" w:hAnsi="Arial" w:cs="Arial"/>
                <w:color w:val="000000"/>
              </w:rPr>
              <w:t>,</w:t>
            </w:r>
            <w:r w:rsidRPr="00DE1AA1">
              <w:rPr>
                <w:rFonts w:ascii="Arial" w:hAnsi="Arial" w:cs="Arial"/>
                <w:color w:val="000000"/>
              </w:rPr>
              <w:t>802</w:t>
            </w:r>
          </w:p>
        </w:tc>
        <w:tc>
          <w:tcPr>
            <w:tcW w:w="851" w:type="dxa"/>
            <w:noWrap/>
            <w:hideMark/>
          </w:tcPr>
          <w:p w14:paraId="6555FB3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0.7%</w:t>
            </w:r>
          </w:p>
        </w:tc>
        <w:tc>
          <w:tcPr>
            <w:tcW w:w="4102" w:type="dxa"/>
          </w:tcPr>
          <w:p w14:paraId="2E92E291" w14:textId="77777777" w:rsidR="00360825" w:rsidRPr="00DE1AA1" w:rsidRDefault="00360825" w:rsidP="00C04569">
            <w:pPr>
              <w:keepNext/>
              <w:spacing w:after="0" w:line="300" w:lineRule="auto"/>
              <w:jc w:val="left"/>
              <w:rPr>
                <w:rFonts w:ascii="Arial" w:hAnsi="Arial" w:cs="Arial"/>
                <w:color w:val="000000"/>
              </w:rPr>
            </w:pPr>
          </w:p>
        </w:tc>
      </w:tr>
    </w:tbl>
    <w:p w14:paraId="3768C00D"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Iceni Projects analysis of OE Data</w:t>
      </w:r>
    </w:p>
    <w:p w14:paraId="489C7E6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In the previous HEDNA there were a number of other sectors which were adjusted such as </w:t>
      </w:r>
      <w:r w:rsidRPr="00DE1AA1">
        <w:rPr>
          <w:rFonts w:ascii="Arial" w:hAnsi="Arial" w:cs="Arial"/>
        </w:rPr>
        <w:t>Professional</w:t>
      </w:r>
      <w:r w:rsidRPr="00D556DB">
        <w:rPr>
          <w:rFonts w:ascii="Arial" w:hAnsi="Arial" w:cs="Arial"/>
        </w:rPr>
        <w:t xml:space="preserve"> Scientific and Technical which are no longer being adjusted. This is because either the baseline is now strong in comparison to previous rates of growth, or the adjustment is no longer justified.</w:t>
      </w:r>
    </w:p>
    <w:p w14:paraId="36A9FA6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As shown </w:t>
      </w:r>
      <w:r w:rsidRPr="00DE1AA1">
        <w:rPr>
          <w:rFonts w:ascii="Arial" w:hAnsi="Arial" w:cs="Arial"/>
        </w:rPr>
        <w:t>in</w:t>
      </w:r>
      <w:r w:rsidRPr="00D556DB">
        <w:rPr>
          <w:rFonts w:ascii="Arial" w:hAnsi="Arial" w:cs="Arial"/>
        </w:rPr>
        <w:t xml:space="preserve"> the table above the growth scenario would see a total of 9,802 additional jobs in the district. This equates to a growth of 0.7% per annum. This broadly compares to the previous HEDNA update (9,500 jobs and 0.7% per annum). However, the latest figures include an element of pandemic recovery against a backdrop of a weaker economy and different structure of growth.</w:t>
      </w:r>
    </w:p>
    <w:p w14:paraId="31F90C9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illustrates the growth in each sector for both the baseline and growth scenario. </w:t>
      </w:r>
      <w:r w:rsidRPr="00DE1AA1">
        <w:rPr>
          <w:rFonts w:ascii="Arial" w:hAnsi="Arial" w:cs="Arial"/>
        </w:rPr>
        <w:t>The</w:t>
      </w:r>
      <w:r w:rsidRPr="00D556DB">
        <w:rPr>
          <w:rFonts w:ascii="Arial" w:hAnsi="Arial" w:cs="Arial"/>
        </w:rPr>
        <w:t xml:space="preserve"> largest sector of growth is the health sector which reflects both the growing population and the ageing of it. </w:t>
      </w:r>
    </w:p>
    <w:p w14:paraId="3A65441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Other notable sectors of growth are the hospitality sector, professional, scientific and technical and business support services. The only sector forecast to decline is the public admin and defence sector.</w:t>
      </w:r>
    </w:p>
    <w:p w14:paraId="59F1FF85" w14:textId="33EF7BED" w:rsidR="00360825" w:rsidRPr="00D556DB" w:rsidRDefault="00360825" w:rsidP="001A7584">
      <w:pPr>
        <w:pStyle w:val="Heading4"/>
        <w:ind w:firstLine="0"/>
      </w:pPr>
      <w:r w:rsidRPr="00D556DB">
        <w:t>- Forecast Employment Growth By Sector (2031-2039)</w:t>
      </w:r>
    </w:p>
    <w:p w14:paraId="33E47100" w14:textId="77777777" w:rsidR="00360825" w:rsidRDefault="00360825" w:rsidP="00360825">
      <w:pPr>
        <w:pStyle w:val="BodyText"/>
        <w:keepNext/>
        <w:numPr>
          <w:ilvl w:val="0"/>
          <w:numId w:val="0"/>
        </w:numPr>
        <w:spacing w:after="0" w:line="240" w:lineRule="auto"/>
        <w:rPr>
          <w:rFonts w:ascii="Arial" w:hAnsi="Arial" w:cs="Arial"/>
          <w:noProof/>
        </w:rPr>
      </w:pPr>
      <w:r w:rsidRPr="00D556DB">
        <w:rPr>
          <w:rFonts w:ascii="Arial" w:hAnsi="Arial" w:cs="Arial"/>
          <w:noProof/>
        </w:rPr>
        <w:drawing>
          <wp:inline distT="0" distB="0" distL="0" distR="0" wp14:anchorId="01B52920" wp14:editId="270A7E52">
            <wp:extent cx="5616000" cy="3600000"/>
            <wp:effectExtent l="0" t="0" r="3810" b="635"/>
            <wp:docPr id="76" name="Chart 76" descr="The figure  illustrates the growth in each sector for both the baseline and growth scenario. The largest sector of growth is the health sector which reflects both the growing population and the ageing of it. &#10;&#10;Other notable sectors of growth are the hospitality sector, professional, scientific and technical and ">
              <a:extLst xmlns:a="http://schemas.openxmlformats.org/drawingml/2006/main">
                <a:ext uri="{FF2B5EF4-FFF2-40B4-BE49-F238E27FC236}">
                  <a16:creationId xmlns:a16="http://schemas.microsoft.com/office/drawing/2014/main" id="{DED35911-E027-43D7-AD53-62344F80A9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DCFE51D"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OE and Iceni Projects</w:t>
      </w:r>
    </w:p>
    <w:p w14:paraId="0B957AC1" w14:textId="77777777" w:rsidR="00360825" w:rsidRPr="00D556DB" w:rsidRDefault="00360825" w:rsidP="00360825">
      <w:pPr>
        <w:pStyle w:val="Heading2"/>
        <w:rPr>
          <w:rFonts w:ascii="Arial" w:hAnsi="Arial" w:cs="Arial"/>
        </w:rPr>
      </w:pPr>
      <w:r w:rsidRPr="00D556DB">
        <w:rPr>
          <w:rFonts w:ascii="Arial" w:hAnsi="Arial" w:cs="Arial"/>
        </w:rPr>
        <w:t>Labour Supply Scenario</w:t>
      </w:r>
    </w:p>
    <w:p w14:paraId="0093033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stated earlier in this report the delivery of 763 dwellings per annum (638 in LPA and 125 in the National Park) there would support 12,313 jobs across the district.</w:t>
      </w:r>
      <w:r>
        <w:rPr>
          <w:rFonts w:ascii="Arial" w:hAnsi="Arial" w:cs="Arial"/>
        </w:rPr>
        <w:t xml:space="preserve"> </w:t>
      </w:r>
      <w:r w:rsidRPr="00D556DB">
        <w:rPr>
          <w:rFonts w:ascii="Arial" w:hAnsi="Arial" w:cs="Arial"/>
        </w:rPr>
        <w:t xml:space="preserve">However, this is not broken down </w:t>
      </w:r>
      <w:r w:rsidRPr="00D556DB">
        <w:rPr>
          <w:rFonts w:ascii="Arial" w:hAnsi="Arial" w:cs="Arial"/>
        </w:rPr>
        <w:lastRenderedPageBreak/>
        <w:t>into different sectors in order to understand what the demand for employment land would be.</w:t>
      </w:r>
      <w:r>
        <w:rPr>
          <w:rFonts w:ascii="Arial" w:hAnsi="Arial" w:cs="Arial"/>
        </w:rPr>
        <w:t xml:space="preserve"> </w:t>
      </w:r>
      <w:r w:rsidRPr="00D556DB">
        <w:rPr>
          <w:rFonts w:ascii="Arial" w:hAnsi="Arial" w:cs="Arial"/>
        </w:rPr>
        <w:t>We therefore have to create a set of sectorial projections linked to this level of job growth.</w:t>
      </w:r>
    </w:p>
    <w:p w14:paraId="22EE8123" w14:textId="77777777" w:rsidR="00360825" w:rsidRPr="00D556DB" w:rsidRDefault="00360825" w:rsidP="001A7584">
      <w:pPr>
        <w:numPr>
          <w:ilvl w:val="1"/>
          <w:numId w:val="6"/>
        </w:numPr>
        <w:tabs>
          <w:tab w:val="clear" w:pos="1134"/>
          <w:tab w:val="left" w:pos="720"/>
        </w:tabs>
        <w:ind w:left="0" w:hanging="709"/>
        <w:rPr>
          <w:rFonts w:ascii="Arial" w:hAnsi="Arial" w:cs="Arial"/>
        </w:rPr>
      </w:pPr>
      <w:r w:rsidRPr="00D556DB">
        <w:rPr>
          <w:rFonts w:ascii="Arial" w:hAnsi="Arial" w:cs="Arial"/>
        </w:rPr>
        <w:t>There is no set approach to this Iceni has therefore used the following alternative methodology to determine the sectoral split of these jobs in order to calculate the labour supply employment land needs:</w:t>
      </w:r>
    </w:p>
    <w:p w14:paraId="32DCEBBE" w14:textId="77777777" w:rsidR="00360825" w:rsidRPr="00D556DB" w:rsidRDefault="00360825" w:rsidP="00360825">
      <w:pPr>
        <w:pStyle w:val="ListBullet"/>
        <w:ind w:left="360" w:hanging="360"/>
        <w:rPr>
          <w:rFonts w:ascii="Arial" w:hAnsi="Arial" w:cs="Arial"/>
        </w:rPr>
      </w:pPr>
      <w:r w:rsidRPr="00D556DB">
        <w:rPr>
          <w:rFonts w:ascii="Arial" w:hAnsi="Arial" w:cs="Arial"/>
        </w:rPr>
        <w:t>Identify a difference of 6,552 jobs between the baseline labour demand forecast growth (5,761 jobs) and the labour supply forecasts growth (12,313 jobs).</w:t>
      </w:r>
      <w:r>
        <w:rPr>
          <w:rFonts w:ascii="Arial" w:hAnsi="Arial" w:cs="Arial"/>
        </w:rPr>
        <w:t xml:space="preserve"> </w:t>
      </w:r>
      <w:r w:rsidRPr="00D556DB">
        <w:rPr>
          <w:rFonts w:ascii="Arial" w:hAnsi="Arial" w:cs="Arial"/>
        </w:rPr>
        <w:t>This figure is to be redistributed among the different sectors.</w:t>
      </w:r>
    </w:p>
    <w:p w14:paraId="604C96B3" w14:textId="77777777" w:rsidR="00360825" w:rsidRPr="00D556DB" w:rsidRDefault="00360825" w:rsidP="00360825">
      <w:pPr>
        <w:pStyle w:val="ListBullet"/>
        <w:ind w:left="360" w:hanging="360"/>
        <w:rPr>
          <w:rFonts w:ascii="Arial" w:hAnsi="Arial" w:cs="Arial"/>
        </w:rPr>
      </w:pPr>
      <w:r w:rsidRPr="00D556DB">
        <w:rPr>
          <w:rFonts w:ascii="Arial" w:hAnsi="Arial" w:cs="Arial"/>
        </w:rPr>
        <w:t>We have assumed that 80% of the additional employment growth occurs in population driven (endogenous) sectors as defined in the table below with the remaining 20% in labour demand (exogenous) sectors. The reasoning for this is that population change does not automatically lead to increased investment in business sector growth or agglomeration, but drives jobs in retail, education, health etc. The 20% is more reflective of a multiplier effect of the endogenous sectors.</w:t>
      </w:r>
    </w:p>
    <w:p w14:paraId="753E3BD6" w14:textId="77777777" w:rsidR="00360825" w:rsidRPr="00D556DB" w:rsidRDefault="00360825" w:rsidP="00360825">
      <w:pPr>
        <w:pStyle w:val="ListBullet"/>
        <w:ind w:left="360" w:hanging="360"/>
        <w:rPr>
          <w:rFonts w:ascii="Arial" w:hAnsi="Arial" w:cs="Arial"/>
        </w:rPr>
      </w:pPr>
      <w:r w:rsidRPr="00D556DB">
        <w:rPr>
          <w:rFonts w:ascii="Arial" w:hAnsi="Arial" w:cs="Arial"/>
        </w:rPr>
        <w:t>The 80% and 20% of jobs are distributed across the endogenous and exogenous sectors respectively on the basis of each sectors contribution to the endogenous total or exogenous total in 2021.</w:t>
      </w:r>
      <w:r>
        <w:rPr>
          <w:rFonts w:ascii="Arial" w:hAnsi="Arial" w:cs="Arial"/>
        </w:rPr>
        <w:t xml:space="preserve"> </w:t>
      </w:r>
    </w:p>
    <w:p w14:paraId="6F8A6AFD" w14:textId="1968DEDC" w:rsidR="00360825" w:rsidRPr="00D556DB" w:rsidRDefault="00360825" w:rsidP="00360825">
      <w:pPr>
        <w:pStyle w:val="ListBullet"/>
        <w:ind w:left="360" w:hanging="360"/>
        <w:rPr>
          <w:rFonts w:ascii="Arial" w:hAnsi="Arial" w:cs="Arial"/>
        </w:rPr>
      </w:pPr>
      <w:r w:rsidRPr="00D556DB">
        <w:rPr>
          <w:rFonts w:ascii="Arial" w:hAnsi="Arial" w:cs="Arial"/>
        </w:rPr>
        <w:t xml:space="preserve">However, </w:t>
      </w:r>
      <w:r w:rsidR="0045633D">
        <w:rPr>
          <w:rFonts w:ascii="Arial" w:hAnsi="Arial" w:cs="Arial"/>
        </w:rPr>
        <w:t>for</w:t>
      </w:r>
      <w:r w:rsidRPr="00D556DB">
        <w:rPr>
          <w:rFonts w:ascii="Arial" w:hAnsi="Arial" w:cs="Arial"/>
        </w:rPr>
        <w:t xml:space="preserve"> manufacturing and agriculture we have continued to use the baseline labour demand forecasts as these sectors are driven by wider population growth rather than just the local population growth.</w:t>
      </w:r>
      <w:r>
        <w:rPr>
          <w:rFonts w:ascii="Arial" w:hAnsi="Arial" w:cs="Arial"/>
        </w:rPr>
        <w:t xml:space="preserve"> </w:t>
      </w:r>
      <w:r w:rsidRPr="00D556DB">
        <w:rPr>
          <w:rFonts w:ascii="Arial" w:hAnsi="Arial" w:cs="Arial"/>
        </w:rPr>
        <w:t>Arguably, this is the case for a number of exogenous sectors but in most cases there will become a critical mass in local population growth which will result in some local growth within these sectors.</w:t>
      </w:r>
    </w:p>
    <w:p w14:paraId="2C375BA1" w14:textId="3ADA8592" w:rsidR="00360825" w:rsidRPr="00D556DB" w:rsidRDefault="00360825" w:rsidP="001A7584">
      <w:pPr>
        <w:numPr>
          <w:ilvl w:val="1"/>
          <w:numId w:val="6"/>
        </w:numPr>
        <w:tabs>
          <w:tab w:val="clear" w:pos="1134"/>
          <w:tab w:val="left" w:pos="720"/>
        </w:tabs>
        <w:ind w:left="0" w:hanging="709"/>
        <w:rPr>
          <w:rFonts w:ascii="Arial" w:hAnsi="Arial" w:cs="Arial"/>
        </w:rPr>
      </w:pPr>
      <w:r w:rsidRPr="00D556DB">
        <w:rPr>
          <w:rFonts w:ascii="Arial" w:hAnsi="Arial" w:cs="Arial"/>
        </w:rPr>
        <w:t>To give a worked example we have assumed that 80% of the 6,552 additional jobs are in population driven sectors, this equates to 5,242 jobs.</w:t>
      </w:r>
      <w:r>
        <w:rPr>
          <w:rFonts w:ascii="Arial" w:hAnsi="Arial" w:cs="Arial"/>
        </w:rPr>
        <w:t xml:space="preserve"> </w:t>
      </w:r>
      <w:r w:rsidRPr="00D556DB">
        <w:rPr>
          <w:rFonts w:ascii="Arial" w:hAnsi="Arial" w:cs="Arial"/>
        </w:rPr>
        <w:t>In 2021 these sectors accounted for 47,630 jobs in Chichester of which wholesale and retail accounted for 9,854 jobs (20.6%).</w:t>
      </w:r>
      <w:r>
        <w:rPr>
          <w:rFonts w:ascii="Arial" w:hAnsi="Arial" w:cs="Arial"/>
        </w:rPr>
        <w:t xml:space="preserve"> </w:t>
      </w:r>
      <w:r w:rsidRPr="00D556DB">
        <w:rPr>
          <w:rFonts w:ascii="Arial" w:hAnsi="Arial" w:cs="Arial"/>
        </w:rPr>
        <w:t>We have therefore assumed that 20.6% of the 5,242 additional jobs will be wholesale / retail jobs. This equates to 1,079 jobs which is added to the baseline jobs growth of 221 jobs giving a total growth of 1306 or 73 per annum.</w:t>
      </w:r>
      <w:r>
        <w:rPr>
          <w:rFonts w:ascii="Arial" w:hAnsi="Arial" w:cs="Arial"/>
        </w:rPr>
        <w:t xml:space="preserve"> </w:t>
      </w:r>
    </w:p>
    <w:p w14:paraId="62C302BB" w14:textId="77777777" w:rsidR="00360825" w:rsidRPr="00D556DB" w:rsidRDefault="00360825" w:rsidP="001A7584">
      <w:pPr>
        <w:numPr>
          <w:ilvl w:val="1"/>
          <w:numId w:val="6"/>
        </w:numPr>
        <w:tabs>
          <w:tab w:val="clear" w:pos="1134"/>
          <w:tab w:val="left" w:pos="720"/>
        </w:tabs>
        <w:ind w:left="0" w:hanging="709"/>
        <w:rPr>
          <w:rFonts w:ascii="Arial" w:hAnsi="Arial" w:cs="Arial"/>
        </w:rPr>
      </w:pPr>
      <w:r w:rsidRPr="00D556DB">
        <w:rPr>
          <w:rFonts w:ascii="Arial" w:hAnsi="Arial" w:cs="Arial"/>
        </w:rPr>
        <w:t>The outcomes of this modelling exercise are summarised in the table below. This is shown in comparison to the baseline forecasts.</w:t>
      </w:r>
    </w:p>
    <w:p w14:paraId="6E4CB891" w14:textId="77777777" w:rsidR="00360825" w:rsidRPr="00D556DB" w:rsidRDefault="00360825" w:rsidP="00360825">
      <w:pPr>
        <w:spacing w:after="0" w:line="240" w:lineRule="auto"/>
        <w:jc w:val="left"/>
        <w:rPr>
          <w:rFonts w:ascii="Arial" w:hAnsi="Arial" w:cs="Arial"/>
          <w:b/>
          <w:color w:val="646464" w:themeColor="background2"/>
        </w:rPr>
      </w:pPr>
      <w:r w:rsidRPr="00D556DB">
        <w:rPr>
          <w:rFonts w:ascii="Arial" w:hAnsi="Arial" w:cs="Arial"/>
        </w:rPr>
        <w:br w:type="page"/>
      </w:r>
    </w:p>
    <w:p w14:paraId="10517D74" w14:textId="77777777" w:rsidR="00360825" w:rsidRPr="00D556DB" w:rsidRDefault="00360825" w:rsidP="001A7584">
      <w:pPr>
        <w:pStyle w:val="Heading4"/>
        <w:ind w:firstLine="0"/>
      </w:pPr>
      <w:r w:rsidRPr="00D556DB">
        <w:lastRenderedPageBreak/>
        <w:t>Growth by Sector (2021-2039) – Labour Supply Scenario</w:t>
      </w:r>
    </w:p>
    <w:tbl>
      <w:tblPr>
        <w:tblStyle w:val="TableGrid1"/>
        <w:tblW w:w="8777" w:type="dxa"/>
        <w:tblInd w:w="0" w:type="dxa"/>
        <w:tblLook w:val="04A0" w:firstRow="1" w:lastRow="0" w:firstColumn="1" w:lastColumn="0" w:noHBand="0" w:noVBand="1"/>
      </w:tblPr>
      <w:tblGrid>
        <w:gridCol w:w="3506"/>
        <w:gridCol w:w="1592"/>
        <w:gridCol w:w="1538"/>
        <w:gridCol w:w="2141"/>
      </w:tblGrid>
      <w:tr w:rsidR="00360825" w:rsidRPr="0001021B" w14:paraId="7B0E436E" w14:textId="77777777" w:rsidTr="00C04569">
        <w:tc>
          <w:tcPr>
            <w:tcW w:w="3506" w:type="dxa"/>
            <w:shd w:val="clear" w:color="auto" w:fill="002060"/>
            <w:noWrap/>
            <w:hideMark/>
          </w:tcPr>
          <w:p w14:paraId="21467879" w14:textId="77777777" w:rsidR="00360825" w:rsidRPr="00D556DB" w:rsidRDefault="00360825" w:rsidP="00C04569">
            <w:pPr>
              <w:keepNext/>
              <w:spacing w:after="0" w:line="300" w:lineRule="auto"/>
              <w:jc w:val="left"/>
              <w:rPr>
                <w:rFonts w:ascii="Arial" w:hAnsi="Arial" w:cs="Arial"/>
                <w:color w:val="FFFFFF"/>
                <w:sz w:val="20"/>
                <w:szCs w:val="20"/>
              </w:rPr>
            </w:pPr>
            <w:r w:rsidRPr="00D556DB">
              <w:rPr>
                <w:rFonts w:ascii="Arial" w:hAnsi="Arial" w:cs="Arial"/>
                <w:color w:val="FFFFFF"/>
              </w:rPr>
              <w:t>Sector</w:t>
            </w:r>
          </w:p>
        </w:tc>
        <w:tc>
          <w:tcPr>
            <w:tcW w:w="1592" w:type="dxa"/>
            <w:shd w:val="clear" w:color="auto" w:fill="002060"/>
            <w:noWrap/>
            <w:hideMark/>
          </w:tcPr>
          <w:p w14:paraId="27888FAD" w14:textId="77777777" w:rsidR="00360825" w:rsidRPr="00D556DB" w:rsidRDefault="00360825" w:rsidP="00C04569">
            <w:pPr>
              <w:keepNext/>
              <w:spacing w:after="0" w:line="300" w:lineRule="auto"/>
              <w:jc w:val="left"/>
              <w:rPr>
                <w:rFonts w:ascii="Arial" w:hAnsi="Arial" w:cs="Arial"/>
                <w:color w:val="FFFFFF"/>
                <w:sz w:val="20"/>
                <w:szCs w:val="20"/>
              </w:rPr>
            </w:pPr>
            <w:r w:rsidRPr="00D556DB">
              <w:rPr>
                <w:rFonts w:ascii="Arial" w:hAnsi="Arial" w:cs="Arial"/>
                <w:color w:val="FFFFFF"/>
              </w:rPr>
              <w:t>Sector Type</w:t>
            </w:r>
          </w:p>
        </w:tc>
        <w:tc>
          <w:tcPr>
            <w:tcW w:w="1538" w:type="dxa"/>
            <w:shd w:val="clear" w:color="auto" w:fill="002060"/>
            <w:noWrap/>
            <w:hideMark/>
          </w:tcPr>
          <w:p w14:paraId="3CFCB1E5" w14:textId="77777777" w:rsidR="00360825" w:rsidRPr="00D556DB" w:rsidRDefault="00360825" w:rsidP="00C04569">
            <w:pPr>
              <w:keepNext/>
              <w:spacing w:after="0" w:line="300" w:lineRule="auto"/>
              <w:jc w:val="center"/>
              <w:rPr>
                <w:rFonts w:ascii="Arial" w:hAnsi="Arial" w:cs="Arial"/>
                <w:color w:val="FFFFFF"/>
                <w:sz w:val="20"/>
                <w:szCs w:val="20"/>
              </w:rPr>
            </w:pPr>
            <w:r w:rsidRPr="00D556DB">
              <w:rPr>
                <w:rFonts w:ascii="Arial" w:hAnsi="Arial" w:cs="Arial"/>
                <w:color w:val="FFFFFF"/>
              </w:rPr>
              <w:t xml:space="preserve">Baseline </w:t>
            </w:r>
          </w:p>
        </w:tc>
        <w:tc>
          <w:tcPr>
            <w:tcW w:w="2141" w:type="dxa"/>
            <w:shd w:val="clear" w:color="auto" w:fill="002060"/>
            <w:noWrap/>
            <w:hideMark/>
          </w:tcPr>
          <w:p w14:paraId="4541740F" w14:textId="77777777" w:rsidR="00360825" w:rsidRPr="00D556DB" w:rsidRDefault="00360825" w:rsidP="00C04569">
            <w:pPr>
              <w:keepNext/>
              <w:spacing w:after="0" w:line="300" w:lineRule="auto"/>
              <w:jc w:val="center"/>
              <w:rPr>
                <w:rFonts w:ascii="Arial" w:hAnsi="Arial" w:cs="Arial"/>
                <w:color w:val="FFFFFF"/>
                <w:sz w:val="20"/>
                <w:szCs w:val="20"/>
              </w:rPr>
            </w:pPr>
            <w:r w:rsidRPr="00D556DB">
              <w:rPr>
                <w:rFonts w:ascii="Arial" w:hAnsi="Arial" w:cs="Arial"/>
                <w:color w:val="FFFFFF"/>
              </w:rPr>
              <w:t xml:space="preserve">Labour Supply </w:t>
            </w:r>
          </w:p>
        </w:tc>
      </w:tr>
      <w:tr w:rsidR="00360825" w:rsidRPr="00DE1AA1" w14:paraId="4FE3C29A" w14:textId="77777777" w:rsidTr="00C04569">
        <w:tc>
          <w:tcPr>
            <w:tcW w:w="3506" w:type="dxa"/>
            <w:noWrap/>
            <w:hideMark/>
          </w:tcPr>
          <w:p w14:paraId="6D3DC6F3"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Agriculture and Mining</w:t>
            </w:r>
          </w:p>
        </w:tc>
        <w:tc>
          <w:tcPr>
            <w:tcW w:w="1592" w:type="dxa"/>
            <w:noWrap/>
            <w:hideMark/>
          </w:tcPr>
          <w:p w14:paraId="76063902"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r w:rsidRPr="0001021B">
              <w:rPr>
                <w:rFonts w:ascii="Arial" w:hAnsi="Arial" w:cs="Arial"/>
                <w:color w:val="000000"/>
              </w:rPr>
              <w:t>*</w:t>
            </w:r>
          </w:p>
        </w:tc>
        <w:tc>
          <w:tcPr>
            <w:tcW w:w="1538" w:type="dxa"/>
            <w:noWrap/>
            <w:hideMark/>
          </w:tcPr>
          <w:p w14:paraId="67C5EEBF"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-494</w:t>
            </w:r>
          </w:p>
        </w:tc>
        <w:tc>
          <w:tcPr>
            <w:tcW w:w="2141" w:type="dxa"/>
            <w:noWrap/>
            <w:hideMark/>
          </w:tcPr>
          <w:p w14:paraId="2F64FA51"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-494</w:t>
            </w:r>
          </w:p>
        </w:tc>
      </w:tr>
      <w:tr w:rsidR="00360825" w:rsidRPr="00DE1AA1" w14:paraId="78317BA3" w14:textId="77777777" w:rsidTr="00C04569">
        <w:tc>
          <w:tcPr>
            <w:tcW w:w="3506" w:type="dxa"/>
            <w:noWrap/>
            <w:hideMark/>
          </w:tcPr>
          <w:p w14:paraId="6FAD6B3A"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Manufacturing</w:t>
            </w:r>
          </w:p>
        </w:tc>
        <w:tc>
          <w:tcPr>
            <w:tcW w:w="1592" w:type="dxa"/>
            <w:noWrap/>
            <w:hideMark/>
          </w:tcPr>
          <w:p w14:paraId="6AF795BD"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r w:rsidRPr="0001021B">
              <w:rPr>
                <w:rFonts w:ascii="Arial" w:hAnsi="Arial" w:cs="Arial"/>
                <w:color w:val="000000"/>
              </w:rPr>
              <w:t>*</w:t>
            </w:r>
          </w:p>
        </w:tc>
        <w:tc>
          <w:tcPr>
            <w:tcW w:w="1538" w:type="dxa"/>
            <w:noWrap/>
            <w:hideMark/>
          </w:tcPr>
          <w:p w14:paraId="373875A9"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-2,108</w:t>
            </w:r>
          </w:p>
        </w:tc>
        <w:tc>
          <w:tcPr>
            <w:tcW w:w="2141" w:type="dxa"/>
            <w:noWrap/>
            <w:hideMark/>
          </w:tcPr>
          <w:p w14:paraId="0C06B3EE"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-2,108</w:t>
            </w:r>
          </w:p>
        </w:tc>
      </w:tr>
      <w:tr w:rsidR="00360825" w:rsidRPr="00DE1AA1" w14:paraId="28AC280C" w14:textId="77777777" w:rsidTr="00C04569">
        <w:tc>
          <w:tcPr>
            <w:tcW w:w="3506" w:type="dxa"/>
            <w:noWrap/>
            <w:hideMark/>
          </w:tcPr>
          <w:p w14:paraId="1D6115AD"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Utilities</w:t>
            </w:r>
          </w:p>
        </w:tc>
        <w:tc>
          <w:tcPr>
            <w:tcW w:w="1592" w:type="dxa"/>
            <w:noWrap/>
            <w:hideMark/>
          </w:tcPr>
          <w:p w14:paraId="30895242"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1F258199"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-26</w:t>
            </w:r>
          </w:p>
        </w:tc>
        <w:tc>
          <w:tcPr>
            <w:tcW w:w="2141" w:type="dxa"/>
            <w:noWrap/>
            <w:hideMark/>
          </w:tcPr>
          <w:p w14:paraId="7CE99954"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-11</w:t>
            </w:r>
          </w:p>
        </w:tc>
      </w:tr>
      <w:tr w:rsidR="00360825" w:rsidRPr="00DE1AA1" w14:paraId="722A2252" w14:textId="77777777" w:rsidTr="00C04569">
        <w:tc>
          <w:tcPr>
            <w:tcW w:w="3506" w:type="dxa"/>
            <w:noWrap/>
            <w:hideMark/>
          </w:tcPr>
          <w:p w14:paraId="6F892A00"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Construction</w:t>
            </w:r>
          </w:p>
        </w:tc>
        <w:tc>
          <w:tcPr>
            <w:tcW w:w="1592" w:type="dxa"/>
            <w:noWrap/>
            <w:hideMark/>
          </w:tcPr>
          <w:p w14:paraId="7C1D3370"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074B5031"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555</w:t>
            </w:r>
          </w:p>
        </w:tc>
        <w:tc>
          <w:tcPr>
            <w:tcW w:w="2141" w:type="dxa"/>
            <w:noWrap/>
            <w:hideMark/>
          </w:tcPr>
          <w:p w14:paraId="6F502F0E"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1,036</w:t>
            </w:r>
          </w:p>
        </w:tc>
      </w:tr>
      <w:tr w:rsidR="00360825" w:rsidRPr="00DE1AA1" w14:paraId="5EA689E5" w14:textId="77777777" w:rsidTr="00C04569">
        <w:tc>
          <w:tcPr>
            <w:tcW w:w="3506" w:type="dxa"/>
            <w:noWrap/>
            <w:hideMark/>
          </w:tcPr>
          <w:p w14:paraId="557395E7"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Wholesale and Retail</w:t>
            </w:r>
          </w:p>
        </w:tc>
        <w:tc>
          <w:tcPr>
            <w:tcW w:w="1592" w:type="dxa"/>
            <w:noWrap/>
            <w:hideMark/>
          </w:tcPr>
          <w:p w14:paraId="4E4AB155"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2281F1BB"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221</w:t>
            </w:r>
          </w:p>
        </w:tc>
        <w:tc>
          <w:tcPr>
            <w:tcW w:w="2141" w:type="dxa"/>
            <w:noWrap/>
            <w:hideMark/>
          </w:tcPr>
          <w:p w14:paraId="6E236354"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1,306</w:t>
            </w:r>
          </w:p>
        </w:tc>
      </w:tr>
      <w:tr w:rsidR="00360825" w:rsidRPr="00DE1AA1" w14:paraId="6C53D3FD" w14:textId="77777777" w:rsidTr="00C04569">
        <w:tc>
          <w:tcPr>
            <w:tcW w:w="3506" w:type="dxa"/>
            <w:noWrap/>
            <w:hideMark/>
          </w:tcPr>
          <w:p w14:paraId="3605041D"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Transport, Warehouse and Postal</w:t>
            </w:r>
          </w:p>
        </w:tc>
        <w:tc>
          <w:tcPr>
            <w:tcW w:w="1592" w:type="dxa"/>
            <w:noWrap/>
            <w:hideMark/>
          </w:tcPr>
          <w:p w14:paraId="797B91EA"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1499C5DB"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-51</w:t>
            </w:r>
          </w:p>
        </w:tc>
        <w:tc>
          <w:tcPr>
            <w:tcW w:w="2141" w:type="dxa"/>
            <w:noWrap/>
            <w:hideMark/>
          </w:tcPr>
          <w:p w14:paraId="6A48222C"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72</w:t>
            </w:r>
          </w:p>
        </w:tc>
      </w:tr>
      <w:tr w:rsidR="00360825" w:rsidRPr="00DE1AA1" w14:paraId="23DF685A" w14:textId="77777777" w:rsidTr="00C04569">
        <w:tc>
          <w:tcPr>
            <w:tcW w:w="3506" w:type="dxa"/>
            <w:noWrap/>
            <w:hideMark/>
          </w:tcPr>
          <w:p w14:paraId="66F8813A" w14:textId="77777777" w:rsidR="00360825" w:rsidRPr="00D556DB" w:rsidRDefault="00360825" w:rsidP="00C04569">
            <w:pPr>
              <w:keepNext/>
              <w:spacing w:after="0" w:line="300" w:lineRule="auto"/>
              <w:jc w:val="left"/>
              <w:rPr>
                <w:rFonts w:ascii="Arial" w:hAnsi="Arial" w:cs="Arial"/>
                <w:color w:val="000000"/>
                <w:sz w:val="20"/>
                <w:szCs w:val="20"/>
              </w:rPr>
            </w:pPr>
            <w:r w:rsidRPr="0001021B">
              <w:rPr>
                <w:rFonts w:ascii="Arial" w:hAnsi="Arial" w:cs="Arial"/>
                <w:color w:val="000000"/>
              </w:rPr>
              <w:t>Accommodation</w:t>
            </w:r>
            <w:r w:rsidRPr="00D556DB">
              <w:rPr>
                <w:rFonts w:ascii="Arial" w:hAnsi="Arial" w:cs="Arial"/>
                <w:color w:val="000000"/>
              </w:rPr>
              <w:t>, Food and Bev</w:t>
            </w:r>
          </w:p>
        </w:tc>
        <w:tc>
          <w:tcPr>
            <w:tcW w:w="1592" w:type="dxa"/>
            <w:noWrap/>
            <w:hideMark/>
          </w:tcPr>
          <w:p w14:paraId="668272B2"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357714B2"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592</w:t>
            </w:r>
          </w:p>
        </w:tc>
        <w:tc>
          <w:tcPr>
            <w:tcW w:w="2141" w:type="dxa"/>
            <w:noWrap/>
            <w:hideMark/>
          </w:tcPr>
          <w:p w14:paraId="3461B812"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1,270</w:t>
            </w:r>
          </w:p>
        </w:tc>
      </w:tr>
      <w:tr w:rsidR="00360825" w:rsidRPr="00DE1AA1" w14:paraId="78FCF8D8" w14:textId="77777777" w:rsidTr="00C04569">
        <w:tc>
          <w:tcPr>
            <w:tcW w:w="3506" w:type="dxa"/>
            <w:noWrap/>
            <w:hideMark/>
          </w:tcPr>
          <w:p w14:paraId="4CB3080E"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Media and IT</w:t>
            </w:r>
          </w:p>
        </w:tc>
        <w:tc>
          <w:tcPr>
            <w:tcW w:w="1592" w:type="dxa"/>
            <w:noWrap/>
            <w:hideMark/>
          </w:tcPr>
          <w:p w14:paraId="0B48E63E"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06B5943F"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226</w:t>
            </w:r>
          </w:p>
        </w:tc>
        <w:tc>
          <w:tcPr>
            <w:tcW w:w="2141" w:type="dxa"/>
            <w:noWrap/>
            <w:hideMark/>
          </w:tcPr>
          <w:p w14:paraId="7F04DF71"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376</w:t>
            </w:r>
          </w:p>
        </w:tc>
      </w:tr>
      <w:tr w:rsidR="00360825" w:rsidRPr="00DE1AA1" w14:paraId="37B7DE43" w14:textId="77777777" w:rsidTr="00C04569">
        <w:tc>
          <w:tcPr>
            <w:tcW w:w="3506" w:type="dxa"/>
            <w:noWrap/>
            <w:hideMark/>
          </w:tcPr>
          <w:p w14:paraId="1BE36DFB"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 xml:space="preserve">Financial and insurance </w:t>
            </w:r>
          </w:p>
        </w:tc>
        <w:tc>
          <w:tcPr>
            <w:tcW w:w="1592" w:type="dxa"/>
            <w:noWrap/>
            <w:hideMark/>
          </w:tcPr>
          <w:p w14:paraId="7EFF053B"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18789A7A"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5</w:t>
            </w:r>
          </w:p>
        </w:tc>
        <w:tc>
          <w:tcPr>
            <w:tcW w:w="2141" w:type="dxa"/>
            <w:noWrap/>
            <w:hideMark/>
          </w:tcPr>
          <w:p w14:paraId="65CAFF7A"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113</w:t>
            </w:r>
          </w:p>
        </w:tc>
      </w:tr>
      <w:tr w:rsidR="00360825" w:rsidRPr="00DE1AA1" w14:paraId="0FFA057E" w14:textId="77777777" w:rsidTr="00C04569">
        <w:tc>
          <w:tcPr>
            <w:tcW w:w="3506" w:type="dxa"/>
            <w:noWrap/>
            <w:hideMark/>
          </w:tcPr>
          <w:p w14:paraId="23D67C3F"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Real estate activities</w:t>
            </w:r>
          </w:p>
        </w:tc>
        <w:tc>
          <w:tcPr>
            <w:tcW w:w="1592" w:type="dxa"/>
            <w:noWrap/>
            <w:hideMark/>
          </w:tcPr>
          <w:p w14:paraId="7669306F"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3C741154"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309</w:t>
            </w:r>
          </w:p>
        </w:tc>
        <w:tc>
          <w:tcPr>
            <w:tcW w:w="2141" w:type="dxa"/>
            <w:noWrap/>
            <w:hideMark/>
          </w:tcPr>
          <w:p w14:paraId="4BC998DC"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484</w:t>
            </w:r>
          </w:p>
        </w:tc>
      </w:tr>
      <w:tr w:rsidR="00360825" w:rsidRPr="00DE1AA1" w14:paraId="4DC74D04" w14:textId="77777777" w:rsidTr="00C04569">
        <w:tc>
          <w:tcPr>
            <w:tcW w:w="3506" w:type="dxa"/>
            <w:noWrap/>
            <w:hideMark/>
          </w:tcPr>
          <w:p w14:paraId="05B176E3"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PST</w:t>
            </w:r>
          </w:p>
        </w:tc>
        <w:tc>
          <w:tcPr>
            <w:tcW w:w="1592" w:type="dxa"/>
            <w:noWrap/>
            <w:hideMark/>
          </w:tcPr>
          <w:p w14:paraId="042A9A37"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716AE8D9"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1,236</w:t>
            </w:r>
          </w:p>
        </w:tc>
        <w:tc>
          <w:tcPr>
            <w:tcW w:w="2141" w:type="dxa"/>
            <w:noWrap/>
            <w:hideMark/>
          </w:tcPr>
          <w:p w14:paraId="2D73C7DE"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1,745</w:t>
            </w:r>
          </w:p>
        </w:tc>
      </w:tr>
      <w:tr w:rsidR="00360825" w:rsidRPr="00DE1AA1" w14:paraId="36E1832C" w14:textId="77777777" w:rsidTr="00C04569">
        <w:tc>
          <w:tcPr>
            <w:tcW w:w="3506" w:type="dxa"/>
            <w:noWrap/>
            <w:hideMark/>
          </w:tcPr>
          <w:p w14:paraId="71E26339"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Business Support Services</w:t>
            </w:r>
          </w:p>
        </w:tc>
        <w:tc>
          <w:tcPr>
            <w:tcW w:w="1592" w:type="dxa"/>
            <w:noWrap/>
            <w:hideMark/>
          </w:tcPr>
          <w:p w14:paraId="15057A92"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0E3BE612"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1,468</w:t>
            </w:r>
          </w:p>
        </w:tc>
        <w:tc>
          <w:tcPr>
            <w:tcW w:w="2141" w:type="dxa"/>
            <w:noWrap/>
            <w:hideMark/>
          </w:tcPr>
          <w:p w14:paraId="2AF5E867"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1,821</w:t>
            </w:r>
          </w:p>
        </w:tc>
      </w:tr>
      <w:tr w:rsidR="00360825" w:rsidRPr="00DE1AA1" w14:paraId="249EC4B3" w14:textId="77777777" w:rsidTr="00C04569">
        <w:tc>
          <w:tcPr>
            <w:tcW w:w="3506" w:type="dxa"/>
            <w:noWrap/>
            <w:hideMark/>
          </w:tcPr>
          <w:p w14:paraId="0471FAF7"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Public Admin and Defence</w:t>
            </w:r>
          </w:p>
        </w:tc>
        <w:tc>
          <w:tcPr>
            <w:tcW w:w="1592" w:type="dxa"/>
            <w:noWrap/>
            <w:hideMark/>
          </w:tcPr>
          <w:p w14:paraId="23B59040"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076BBBC6"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-136</w:t>
            </w:r>
          </w:p>
        </w:tc>
        <w:tc>
          <w:tcPr>
            <w:tcW w:w="2141" w:type="dxa"/>
            <w:noWrap/>
            <w:hideMark/>
          </w:tcPr>
          <w:p w14:paraId="4B0F4A36"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374</w:t>
            </w:r>
          </w:p>
        </w:tc>
      </w:tr>
      <w:tr w:rsidR="00360825" w:rsidRPr="00DE1AA1" w14:paraId="1F8427C1" w14:textId="77777777" w:rsidTr="00C04569">
        <w:tc>
          <w:tcPr>
            <w:tcW w:w="3506" w:type="dxa"/>
            <w:noWrap/>
            <w:hideMark/>
          </w:tcPr>
          <w:p w14:paraId="79ECBAA6"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Education</w:t>
            </w:r>
          </w:p>
        </w:tc>
        <w:tc>
          <w:tcPr>
            <w:tcW w:w="1592" w:type="dxa"/>
            <w:noWrap/>
            <w:hideMark/>
          </w:tcPr>
          <w:p w14:paraId="09C17848"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5E300CF0"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415</w:t>
            </w:r>
          </w:p>
        </w:tc>
        <w:tc>
          <w:tcPr>
            <w:tcW w:w="2141" w:type="dxa"/>
            <w:noWrap/>
            <w:hideMark/>
          </w:tcPr>
          <w:p w14:paraId="746D4886"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1,150</w:t>
            </w:r>
          </w:p>
        </w:tc>
      </w:tr>
      <w:tr w:rsidR="00360825" w:rsidRPr="00DE1AA1" w14:paraId="31156DFC" w14:textId="77777777" w:rsidTr="00C04569">
        <w:tc>
          <w:tcPr>
            <w:tcW w:w="3506" w:type="dxa"/>
            <w:noWrap/>
            <w:hideMark/>
          </w:tcPr>
          <w:p w14:paraId="2BF5E052"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Health</w:t>
            </w:r>
          </w:p>
        </w:tc>
        <w:tc>
          <w:tcPr>
            <w:tcW w:w="1592" w:type="dxa"/>
            <w:noWrap/>
            <w:hideMark/>
          </w:tcPr>
          <w:p w14:paraId="12AB6F07"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55CF0CB9"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2,476</w:t>
            </w:r>
          </w:p>
        </w:tc>
        <w:tc>
          <w:tcPr>
            <w:tcW w:w="2141" w:type="dxa"/>
            <w:noWrap/>
            <w:hideMark/>
          </w:tcPr>
          <w:p w14:paraId="0328035B"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3,587</w:t>
            </w:r>
          </w:p>
        </w:tc>
      </w:tr>
      <w:tr w:rsidR="00360825" w:rsidRPr="00DE1AA1" w14:paraId="6DAAB886" w14:textId="77777777" w:rsidTr="00C04569">
        <w:tc>
          <w:tcPr>
            <w:tcW w:w="3506" w:type="dxa"/>
            <w:noWrap/>
            <w:hideMark/>
          </w:tcPr>
          <w:p w14:paraId="1E2931AC"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Creative and Recreation</w:t>
            </w:r>
          </w:p>
        </w:tc>
        <w:tc>
          <w:tcPr>
            <w:tcW w:w="1592" w:type="dxa"/>
            <w:noWrap/>
            <w:hideMark/>
          </w:tcPr>
          <w:p w14:paraId="2D6344CA"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5452C0CA"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744</w:t>
            </w:r>
          </w:p>
        </w:tc>
        <w:tc>
          <w:tcPr>
            <w:tcW w:w="2141" w:type="dxa"/>
            <w:noWrap/>
            <w:hideMark/>
          </w:tcPr>
          <w:p w14:paraId="05BAE332"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1,027</w:t>
            </w:r>
          </w:p>
        </w:tc>
      </w:tr>
      <w:tr w:rsidR="00360825" w:rsidRPr="00DE1AA1" w14:paraId="76F28D67" w14:textId="77777777" w:rsidTr="00C04569">
        <w:tc>
          <w:tcPr>
            <w:tcW w:w="3506" w:type="dxa"/>
            <w:noWrap/>
            <w:hideMark/>
          </w:tcPr>
          <w:p w14:paraId="4975D1D5"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Other</w:t>
            </w:r>
          </w:p>
        </w:tc>
        <w:tc>
          <w:tcPr>
            <w:tcW w:w="1592" w:type="dxa"/>
            <w:noWrap/>
            <w:hideMark/>
          </w:tcPr>
          <w:p w14:paraId="47FFBA9C"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38A6D188"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327</w:t>
            </w:r>
          </w:p>
        </w:tc>
        <w:tc>
          <w:tcPr>
            <w:tcW w:w="2141" w:type="dxa"/>
            <w:noWrap/>
            <w:hideMark/>
          </w:tcPr>
          <w:p w14:paraId="72C12698"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565</w:t>
            </w:r>
          </w:p>
        </w:tc>
      </w:tr>
      <w:tr w:rsidR="00360825" w:rsidRPr="00DE1AA1" w14:paraId="5DA1F333" w14:textId="77777777" w:rsidTr="00C04569">
        <w:tc>
          <w:tcPr>
            <w:tcW w:w="3506" w:type="dxa"/>
            <w:noWrap/>
            <w:hideMark/>
          </w:tcPr>
          <w:p w14:paraId="52278FBE" w14:textId="77777777" w:rsidR="00360825" w:rsidRPr="00D556DB" w:rsidRDefault="00360825" w:rsidP="00C04569">
            <w:pPr>
              <w:keepNext/>
              <w:spacing w:after="0" w:line="300" w:lineRule="auto"/>
              <w:jc w:val="left"/>
              <w:rPr>
                <w:rFonts w:ascii="Arial" w:hAnsi="Arial" w:cs="Arial"/>
                <w:b/>
                <w:bCs/>
                <w:color w:val="000000"/>
                <w:sz w:val="20"/>
                <w:szCs w:val="20"/>
              </w:rPr>
            </w:pPr>
            <w:r w:rsidRPr="00D556DB">
              <w:rPr>
                <w:rFonts w:ascii="Arial" w:hAnsi="Arial" w:cs="Arial"/>
                <w:b/>
                <w:bCs/>
                <w:color w:val="000000"/>
              </w:rPr>
              <w:t>Total</w:t>
            </w:r>
          </w:p>
        </w:tc>
        <w:tc>
          <w:tcPr>
            <w:tcW w:w="1592" w:type="dxa"/>
            <w:noWrap/>
            <w:hideMark/>
          </w:tcPr>
          <w:p w14:paraId="52C25872" w14:textId="77777777" w:rsidR="00360825" w:rsidRPr="00D556DB" w:rsidRDefault="00360825" w:rsidP="00C04569">
            <w:pPr>
              <w:keepNext/>
              <w:spacing w:after="0" w:line="300" w:lineRule="auto"/>
              <w:jc w:val="left"/>
              <w:rPr>
                <w:rFonts w:ascii="Arial" w:hAnsi="Arial" w:cs="Arial"/>
                <w:b/>
                <w:bCs/>
                <w:color w:val="000000"/>
                <w:sz w:val="20"/>
                <w:szCs w:val="20"/>
              </w:rPr>
            </w:pPr>
          </w:p>
        </w:tc>
        <w:tc>
          <w:tcPr>
            <w:tcW w:w="1538" w:type="dxa"/>
            <w:noWrap/>
            <w:hideMark/>
          </w:tcPr>
          <w:p w14:paraId="04C7E0E3" w14:textId="77777777" w:rsidR="00360825" w:rsidRPr="00D556DB" w:rsidRDefault="00360825" w:rsidP="00C04569">
            <w:pPr>
              <w:keepNext/>
              <w:spacing w:after="0" w:line="300" w:lineRule="auto"/>
              <w:jc w:val="center"/>
              <w:rPr>
                <w:rFonts w:ascii="Arial" w:hAnsi="Arial" w:cs="Arial"/>
                <w:b/>
                <w:bCs/>
                <w:color w:val="000000"/>
                <w:sz w:val="20"/>
                <w:szCs w:val="20"/>
              </w:rPr>
            </w:pPr>
            <w:r w:rsidRPr="00D556DB">
              <w:rPr>
                <w:rFonts w:ascii="Arial" w:hAnsi="Arial" w:cs="Arial"/>
                <w:b/>
                <w:bCs/>
                <w:color w:val="000000"/>
              </w:rPr>
              <w:t>5,761</w:t>
            </w:r>
          </w:p>
        </w:tc>
        <w:tc>
          <w:tcPr>
            <w:tcW w:w="2141" w:type="dxa"/>
            <w:noWrap/>
            <w:hideMark/>
          </w:tcPr>
          <w:p w14:paraId="030B2548" w14:textId="77777777" w:rsidR="00360825" w:rsidRPr="00D556DB" w:rsidRDefault="00360825" w:rsidP="00C04569">
            <w:pPr>
              <w:keepNext/>
              <w:spacing w:after="0" w:line="300" w:lineRule="auto"/>
              <w:jc w:val="center"/>
              <w:rPr>
                <w:rFonts w:ascii="Arial" w:hAnsi="Arial" w:cs="Arial"/>
                <w:b/>
                <w:bCs/>
                <w:color w:val="000000"/>
                <w:sz w:val="20"/>
                <w:szCs w:val="20"/>
              </w:rPr>
            </w:pPr>
            <w:r w:rsidRPr="00D556DB">
              <w:rPr>
                <w:rFonts w:ascii="Arial" w:hAnsi="Arial" w:cs="Arial"/>
                <w:b/>
                <w:bCs/>
                <w:color w:val="000000"/>
              </w:rPr>
              <w:t>12,313</w:t>
            </w:r>
          </w:p>
        </w:tc>
      </w:tr>
    </w:tbl>
    <w:p w14:paraId="28FBE6A3" w14:textId="77777777" w:rsidR="00360825" w:rsidRPr="00D556DB" w:rsidRDefault="00360825" w:rsidP="00360825">
      <w:pPr>
        <w:tabs>
          <w:tab w:val="left" w:pos="720"/>
        </w:tabs>
        <w:rPr>
          <w:rFonts w:ascii="Arial" w:hAnsi="Arial" w:cs="Arial"/>
        </w:rPr>
      </w:pPr>
      <w:r w:rsidRPr="00D556DB">
        <w:rPr>
          <w:rFonts w:ascii="Arial" w:hAnsi="Arial" w:cs="Arial"/>
        </w:rPr>
        <w:t>Iceni Projects based on OE Data *not adjusted from baseline</w:t>
      </w:r>
    </w:p>
    <w:p w14:paraId="62CBD667" w14:textId="77777777" w:rsidR="00360825" w:rsidRPr="00D556DB" w:rsidRDefault="00360825" w:rsidP="00360825">
      <w:pPr>
        <w:pStyle w:val="Heading2"/>
        <w:rPr>
          <w:rFonts w:ascii="Arial" w:hAnsi="Arial" w:cs="Arial"/>
        </w:rPr>
      </w:pPr>
      <w:r w:rsidRPr="00D556DB">
        <w:rPr>
          <w:rFonts w:ascii="Arial" w:hAnsi="Arial" w:cs="Arial"/>
        </w:rPr>
        <w:t>Summary</w:t>
      </w:r>
    </w:p>
    <w:p w14:paraId="40ED096E" w14:textId="77777777" w:rsidR="00360825" w:rsidRPr="00DE1AA1"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The baseline economic forecasts show a growth of 5,761 additional jobs over the 2021 -2039 period.</w:t>
      </w:r>
    </w:p>
    <w:p w14:paraId="608F9CE5" w14:textId="77777777" w:rsidR="00360825" w:rsidRPr="00DE1AA1"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 xml:space="preserve">The growth scenario makes adjustments based on intelligence about the local structure and prospects of a range of sectors within Chichester. </w:t>
      </w:r>
    </w:p>
    <w:p w14:paraId="0082F887" w14:textId="77777777" w:rsidR="00360825" w:rsidRPr="00DE1AA1"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Combined these adjustments add an additional 4,041 jobs to the baseline forecasts taking the growth from 0.4% per annum to 0.7% per annum.</w:t>
      </w:r>
      <w:r>
        <w:rPr>
          <w:rFonts w:ascii="Arial" w:hAnsi="Arial" w:cs="Arial"/>
        </w:rPr>
        <w:t xml:space="preserve"> </w:t>
      </w:r>
      <w:r w:rsidRPr="00DE1AA1">
        <w:rPr>
          <w:rFonts w:ascii="Arial" w:hAnsi="Arial" w:cs="Arial"/>
        </w:rPr>
        <w:t>This results in a total growth of 9,802 jobs.</w:t>
      </w:r>
    </w:p>
    <w:p w14:paraId="3B8505C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However, the 2021 figure is the bottom of the pandemic cycle and some of the initial growth from this point is unlikely to generate any demand for additional floorspace as it will essentially just be the re-employment of those that were furloughed or made redundant during the pandemic.</w:t>
      </w:r>
    </w:p>
    <w:p w14:paraId="793B2F48"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We have also looked at the number of jobs associated with the delivery of the standard method of </w:t>
      </w:r>
      <w:r w:rsidRPr="00D556DB">
        <w:rPr>
          <w:rFonts w:ascii="Arial" w:hAnsi="Arial" w:cs="Arial"/>
        </w:rPr>
        <w:t>763 dwellings per annum (638 in LPA and 125 in the National Park).</w:t>
      </w:r>
      <w:r>
        <w:rPr>
          <w:rFonts w:ascii="Arial" w:hAnsi="Arial" w:cs="Arial"/>
        </w:rPr>
        <w:t xml:space="preserve"> </w:t>
      </w:r>
      <w:r w:rsidRPr="00D556DB">
        <w:rPr>
          <w:rFonts w:ascii="Arial" w:hAnsi="Arial" w:cs="Arial"/>
        </w:rPr>
        <w:t>Our calculations suggest this level of growth would support 12,313 jobs across the district.</w:t>
      </w:r>
    </w:p>
    <w:p w14:paraId="6E91C4DB" w14:textId="77777777" w:rsidR="00360825" w:rsidRPr="00B13575" w:rsidRDefault="00360825" w:rsidP="00360825">
      <w:pPr>
        <w:pStyle w:val="Heading1"/>
        <w:rPr>
          <w:rFonts w:ascii="Arial" w:hAnsi="Arial" w:cs="Arial"/>
        </w:rPr>
      </w:pPr>
      <w:bookmarkStart w:id="71" w:name="_Toc96358144"/>
      <w:bookmarkStart w:id="72" w:name="_Toc97716041"/>
      <w:bookmarkStart w:id="73" w:name="_Hlk96353878"/>
      <w:bookmarkStart w:id="74" w:name="_Hlk94123379"/>
      <w:bookmarkStart w:id="75" w:name="_Hlk89092245"/>
      <w:r w:rsidRPr="00B13575">
        <w:rPr>
          <w:rFonts w:ascii="Arial" w:hAnsi="Arial" w:cs="Arial"/>
        </w:rPr>
        <w:lastRenderedPageBreak/>
        <w:t>Employment Land Needs</w:t>
      </w:r>
      <w:bookmarkEnd w:id="71"/>
      <w:bookmarkEnd w:id="72"/>
    </w:p>
    <w:p w14:paraId="6939EE62"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This final section of the report considers the demand for employment land and floorspace over the period from 2021-39. When considering the scale of employment land need the Planning Practice Guidance recommends the use of a number of different </w:t>
      </w:r>
      <w:r w:rsidRPr="00DE1AA1">
        <w:rPr>
          <w:rFonts w:ascii="Arial" w:hAnsi="Arial" w:cs="Arial"/>
        </w:rPr>
        <w:t>techniques</w:t>
      </w:r>
      <w:r w:rsidRPr="00B13575">
        <w:rPr>
          <w:rFonts w:ascii="Arial" w:hAnsi="Arial" w:cs="Arial"/>
        </w:rPr>
        <w:t xml:space="preserve"> to estimate future employment land requirements, namely assessments based on:</w:t>
      </w:r>
    </w:p>
    <w:p w14:paraId="6E7B03EF" w14:textId="77777777" w:rsidR="00360825" w:rsidRPr="00B13575" w:rsidRDefault="00360825" w:rsidP="00360825">
      <w:pPr>
        <w:pStyle w:val="ListBullet"/>
        <w:ind w:left="360" w:firstLine="207"/>
        <w:rPr>
          <w:rFonts w:ascii="Arial" w:hAnsi="Arial" w:cs="Arial"/>
        </w:rPr>
      </w:pPr>
      <w:r w:rsidRPr="00B13575">
        <w:rPr>
          <w:rFonts w:ascii="Arial" w:hAnsi="Arial" w:cs="Arial"/>
        </w:rPr>
        <w:t xml:space="preserve">Labour Demand; </w:t>
      </w:r>
    </w:p>
    <w:p w14:paraId="0052DBF8" w14:textId="77777777" w:rsidR="00360825" w:rsidRPr="00B13575" w:rsidRDefault="00360825" w:rsidP="00360825">
      <w:pPr>
        <w:pStyle w:val="ListBullet"/>
        <w:ind w:left="360" w:firstLine="207"/>
        <w:rPr>
          <w:rFonts w:ascii="Arial" w:hAnsi="Arial" w:cs="Arial"/>
        </w:rPr>
      </w:pPr>
      <w:r w:rsidRPr="00B13575">
        <w:rPr>
          <w:rFonts w:ascii="Arial" w:hAnsi="Arial" w:cs="Arial"/>
        </w:rPr>
        <w:t xml:space="preserve">Labour Supply; and </w:t>
      </w:r>
    </w:p>
    <w:p w14:paraId="05CD5B31" w14:textId="77777777" w:rsidR="00360825" w:rsidRPr="00B13575" w:rsidRDefault="00360825" w:rsidP="00360825">
      <w:pPr>
        <w:pStyle w:val="ListBullet"/>
        <w:ind w:left="360" w:firstLine="207"/>
        <w:rPr>
          <w:rFonts w:ascii="Arial" w:hAnsi="Arial" w:cs="Arial"/>
        </w:rPr>
      </w:pPr>
      <w:r w:rsidRPr="00B13575">
        <w:rPr>
          <w:rFonts w:ascii="Arial" w:hAnsi="Arial" w:cs="Arial"/>
        </w:rPr>
        <w:t xml:space="preserve">Past Take-Up. </w:t>
      </w:r>
    </w:p>
    <w:p w14:paraId="32300CB8" w14:textId="77777777" w:rsidR="00360825" w:rsidRPr="00B13575" w:rsidRDefault="00360825" w:rsidP="001A7584">
      <w:pPr>
        <w:pStyle w:val="BodyText"/>
        <w:numPr>
          <w:ilvl w:val="1"/>
          <w:numId w:val="6"/>
        </w:numPr>
        <w:tabs>
          <w:tab w:val="num" w:pos="0"/>
        </w:tabs>
        <w:ind w:left="0" w:hanging="709"/>
        <w:rPr>
          <w:rFonts w:ascii="Arial" w:hAnsi="Arial" w:cs="Arial"/>
        </w:rPr>
      </w:pPr>
      <w:r>
        <w:rPr>
          <w:rFonts w:ascii="Arial" w:hAnsi="Arial" w:cs="Arial"/>
        </w:rPr>
        <w:t>T</w:t>
      </w:r>
      <w:r w:rsidRPr="00B13575">
        <w:rPr>
          <w:rFonts w:ascii="Arial" w:hAnsi="Arial" w:cs="Arial"/>
        </w:rPr>
        <w:t>he labour supply position linked to the standard method (763 for the district and 638 for the plan area) generates a population that could potentially support 12,213 jobs.</w:t>
      </w:r>
    </w:p>
    <w:p w14:paraId="7864AD3E"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The </w:t>
      </w:r>
      <w:r w:rsidRPr="00DE1AA1">
        <w:rPr>
          <w:rFonts w:ascii="Arial" w:hAnsi="Arial" w:cs="Arial"/>
        </w:rPr>
        <w:t>growth</w:t>
      </w:r>
      <w:r w:rsidRPr="00B13575">
        <w:rPr>
          <w:rFonts w:ascii="Arial" w:hAnsi="Arial" w:cs="Arial"/>
        </w:rPr>
        <w:t xml:space="preserve"> is initially presented on a Chichester District level, as econometric forecasts are only readily available at a local authority level. Adjustments to these scenarios have then been made to provide information on the overall floorspace and land need for the Plan Area.</w:t>
      </w:r>
    </w:p>
    <w:p w14:paraId="49571899" w14:textId="77777777" w:rsidR="00360825" w:rsidRPr="00B13575" w:rsidRDefault="00360825" w:rsidP="00360825">
      <w:pPr>
        <w:pStyle w:val="Heading2"/>
        <w:rPr>
          <w:rFonts w:ascii="Arial" w:hAnsi="Arial" w:cs="Arial"/>
        </w:rPr>
      </w:pPr>
      <w:r w:rsidRPr="00B13575">
        <w:rPr>
          <w:rFonts w:ascii="Arial" w:hAnsi="Arial" w:cs="Arial"/>
        </w:rPr>
        <w:t>Labour Demand</w:t>
      </w:r>
    </w:p>
    <w:p w14:paraId="2D578B90" w14:textId="77777777" w:rsidR="00360825" w:rsidRPr="00B13575" w:rsidRDefault="00360825" w:rsidP="001A7584">
      <w:pPr>
        <w:numPr>
          <w:ilvl w:val="1"/>
          <w:numId w:val="5"/>
        </w:numPr>
        <w:tabs>
          <w:tab w:val="clear" w:pos="1134"/>
          <w:tab w:val="num" w:pos="0"/>
        </w:tabs>
        <w:ind w:left="0" w:hanging="709"/>
        <w:rPr>
          <w:rFonts w:ascii="Arial" w:hAnsi="Arial" w:cs="Arial"/>
        </w:rPr>
      </w:pPr>
      <w:r w:rsidRPr="00DE1AA1">
        <w:rPr>
          <w:rFonts w:ascii="Arial" w:hAnsi="Arial" w:cs="Arial"/>
        </w:rPr>
        <w:t>As set out in Chapter 11 the adjusted Growth forecast results in a growth of 9,802 jobs. As per the previous HEDNA this is then translated to employment floorspace through a series of steps</w:t>
      </w:r>
      <w:r w:rsidRPr="00B13575">
        <w:rPr>
          <w:rFonts w:ascii="Arial" w:hAnsi="Arial" w:cs="Arial"/>
        </w:rPr>
        <w:t xml:space="preserve"> which are illustrated below.</w:t>
      </w:r>
    </w:p>
    <w:p w14:paraId="1291CEF5" w14:textId="5B9D8ABD" w:rsidR="00360825" w:rsidRPr="00B13575" w:rsidRDefault="00360825" w:rsidP="00360825">
      <w:pPr>
        <w:tabs>
          <w:tab w:val="num" w:pos="0"/>
        </w:tabs>
        <w:rPr>
          <w:rFonts w:ascii="Arial" w:hAnsi="Arial" w:cs="Arial"/>
        </w:rPr>
      </w:pPr>
      <w:r w:rsidRPr="00B13575">
        <w:rPr>
          <w:rFonts w:ascii="Arial" w:hAnsi="Arial" w:cs="Arial"/>
          <w:noProof/>
        </w:rPr>
        <w:lastRenderedPageBreak/>
        <w:drawing>
          <wp:inline distT="0" distB="0" distL="0" distR="0" wp14:anchorId="36F8E8EC" wp14:editId="45E04B29">
            <wp:extent cx="5486400" cy="3200400"/>
            <wp:effectExtent l="0" t="19050" r="95250" b="38100"/>
            <wp:docPr id="82" name="Diagram 82" descr="ELR Flowchart &#10;&#10;1) Economic Growth By Sector&#10;2) FTE By Sector&#10;3) Sector by Use Class&#10;4)FTE Growth by Use Class&#10;5) Employment Floorspace Using Density Assumptions&#10;6)Employment Land by Applying Plot Ratio"/>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r w:rsidRPr="00B13575">
        <w:rPr>
          <w:rFonts w:ascii="Arial" w:hAnsi="Arial" w:cs="Arial"/>
        </w:rPr>
        <w:t xml:space="preserve"> </w:t>
      </w:r>
    </w:p>
    <w:p w14:paraId="7EBD56F4" w14:textId="6473BCF4"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Once the labour demand employment land calculation is completed there are additional considerations are also set out</w:t>
      </w:r>
      <w:r w:rsidR="002B1913" w:rsidRPr="00DE1AA1">
        <w:rPr>
          <w:rFonts w:ascii="Arial" w:hAnsi="Arial" w:cs="Arial"/>
        </w:rPr>
        <w:t xml:space="preserve">. </w:t>
      </w:r>
      <w:r w:rsidRPr="00DE1AA1">
        <w:rPr>
          <w:rFonts w:ascii="Arial" w:hAnsi="Arial" w:cs="Arial"/>
        </w:rPr>
        <w:t>These include an adjustment for Covid, a flexible margin to address potential errors in the forecast and replacement demand to address potential future losses to other uses.</w:t>
      </w:r>
    </w:p>
    <w:p w14:paraId="40BDD98F"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As shown above, the first step is to translate total employment into FTE jobs. This is required as the employment densities that are used are to be applied to FTE jobs. The number of FTE jobs is calculated by looking at the number of self-employed, full-time and part-time employees in each sector. Full-time and part time jobs equate to 1 FTE while part time jobs equate to half an FTE.</w:t>
      </w:r>
    </w:p>
    <w:p w14:paraId="4E5013CC" w14:textId="77777777" w:rsidR="00360825" w:rsidRPr="00B13575" w:rsidRDefault="00360825" w:rsidP="001A7584">
      <w:pPr>
        <w:pStyle w:val="BodyText"/>
        <w:numPr>
          <w:ilvl w:val="1"/>
          <w:numId w:val="6"/>
        </w:numPr>
        <w:tabs>
          <w:tab w:val="num" w:pos="0"/>
        </w:tabs>
        <w:ind w:left="0" w:hanging="709"/>
        <w:rPr>
          <w:rFonts w:ascii="Arial" w:hAnsi="Arial" w:cs="Arial"/>
          <w:b/>
          <w:color w:val="646464" w:themeColor="background2"/>
        </w:rPr>
      </w:pPr>
      <w:r w:rsidRPr="00DE1AA1">
        <w:rPr>
          <w:rFonts w:ascii="Arial" w:hAnsi="Arial" w:cs="Arial"/>
        </w:rPr>
        <w:t>As shown in the table below, the FTE jobs growth is around 8,</w:t>
      </w:r>
      <w:r>
        <w:rPr>
          <w:rFonts w:ascii="Arial" w:hAnsi="Arial" w:cs="Arial"/>
        </w:rPr>
        <w:t>914</w:t>
      </w:r>
      <w:r w:rsidRPr="00DE1AA1">
        <w:rPr>
          <w:rFonts w:ascii="Arial" w:hAnsi="Arial" w:cs="Arial"/>
        </w:rPr>
        <w:t>. The table also illustrates the fact that much of the jobs growth is expected in the first five years. Again, this reflects the recovery from the pandemic</w:t>
      </w:r>
      <w:r w:rsidRPr="00B13575">
        <w:rPr>
          <w:rFonts w:ascii="Arial" w:hAnsi="Arial" w:cs="Arial"/>
        </w:rPr>
        <w:t>.</w:t>
      </w:r>
    </w:p>
    <w:p w14:paraId="71145292"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The next step translates the number of FTE jobs into the different employment types. For the purposes of this study we have proportioned the number of FTE jobs into those </w:t>
      </w:r>
      <w:r w:rsidRPr="00DE1AA1">
        <w:rPr>
          <w:rFonts w:ascii="Arial" w:hAnsi="Arial" w:cs="Arial"/>
        </w:rPr>
        <w:t>in</w:t>
      </w:r>
      <w:r w:rsidRPr="00B13575">
        <w:rPr>
          <w:rFonts w:ascii="Arial" w:hAnsi="Arial" w:cs="Arial"/>
        </w:rPr>
        <w:t xml:space="preserve"> Office, R&amp;D Offices, Light Industrial, Industrial and Warehousing floorspace. This was previously known as B-class jobs. </w:t>
      </w:r>
    </w:p>
    <w:p w14:paraId="33B0A699"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Of the </w:t>
      </w:r>
      <w:r w:rsidRPr="00DE1AA1">
        <w:rPr>
          <w:rFonts w:ascii="Arial" w:hAnsi="Arial" w:cs="Arial"/>
        </w:rPr>
        <w:t>additional</w:t>
      </w:r>
      <w:r w:rsidRPr="00B13575">
        <w:rPr>
          <w:rFonts w:ascii="Arial" w:hAnsi="Arial" w:cs="Arial"/>
        </w:rPr>
        <w:t xml:space="preserve"> 8,879 FTE employees we estimate that around 2,4</w:t>
      </w:r>
      <w:r>
        <w:rPr>
          <w:rFonts w:ascii="Arial" w:hAnsi="Arial" w:cs="Arial"/>
        </w:rPr>
        <w:t>48</w:t>
      </w:r>
      <w:r w:rsidRPr="00B13575">
        <w:rPr>
          <w:rFonts w:ascii="Arial" w:hAnsi="Arial" w:cs="Arial"/>
        </w:rPr>
        <w:t xml:space="preserve"> will be in office, factories (light and general industrial) and warehousing premises with the majority of these in offices. </w:t>
      </w:r>
    </w:p>
    <w:p w14:paraId="1AF4034A" w14:textId="77777777" w:rsidR="00360825" w:rsidRPr="00B13575" w:rsidRDefault="00360825" w:rsidP="001A7584">
      <w:pPr>
        <w:pStyle w:val="Heading4"/>
        <w:ind w:firstLine="0"/>
      </w:pPr>
      <w:r w:rsidRPr="00B13575">
        <w:lastRenderedPageBreak/>
        <w:t>Total Jobs and FTE Jobs Growth by Period – Chichester District</w:t>
      </w:r>
    </w:p>
    <w:tbl>
      <w:tblPr>
        <w:tblStyle w:val="GLHearntable1"/>
        <w:tblW w:w="5000" w:type="pct"/>
        <w:jc w:val="righ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52: Total Jobs – Jobs Growth Scenarios – Chichester District"/>
      </w:tblPr>
      <w:tblGrid>
        <w:gridCol w:w="2342"/>
        <w:gridCol w:w="1166"/>
        <w:gridCol w:w="1318"/>
        <w:gridCol w:w="1318"/>
        <w:gridCol w:w="1318"/>
        <w:gridCol w:w="1315"/>
      </w:tblGrid>
      <w:tr w:rsidR="00360825" w:rsidRPr="007717C6" w14:paraId="6FC0CBDF" w14:textId="77777777" w:rsidTr="00C04569">
        <w:trPr>
          <w:cnfStyle w:val="100000000000" w:firstRow="1" w:lastRow="0" w:firstColumn="0" w:lastColumn="0" w:oddVBand="0" w:evenVBand="0" w:oddHBand="0" w:evenHBand="0" w:firstRowFirstColumn="0" w:firstRowLastColumn="0" w:lastRowFirstColumn="0" w:lastRowLastColumn="0"/>
          <w:trHeight w:val="278"/>
          <w:tblHeader/>
          <w:jc w:val="right"/>
        </w:trPr>
        <w:tc>
          <w:tcPr>
            <w:cnfStyle w:val="001000000000" w:firstRow="0" w:lastRow="0" w:firstColumn="1" w:lastColumn="0" w:oddVBand="0" w:evenVBand="0" w:oddHBand="0" w:evenHBand="0" w:firstRowFirstColumn="0" w:firstRowLastColumn="0" w:lastRowFirstColumn="0" w:lastRowLastColumn="0"/>
            <w:tcW w:w="1334" w:type="pct"/>
            <w:shd w:val="clear" w:color="auto" w:fill="002060"/>
            <w:noWrap/>
            <w:hideMark/>
          </w:tcPr>
          <w:p w14:paraId="1E2F0135" w14:textId="77777777" w:rsidR="00360825" w:rsidRPr="007717C6" w:rsidRDefault="00360825" w:rsidP="00C04569">
            <w:pPr>
              <w:spacing w:line="240" w:lineRule="auto"/>
              <w:rPr>
                <w:color w:val="FFFFFF" w:themeColor="background1"/>
              </w:rPr>
            </w:pPr>
          </w:p>
        </w:tc>
        <w:tc>
          <w:tcPr>
            <w:tcW w:w="664" w:type="pct"/>
            <w:shd w:val="clear" w:color="auto" w:fill="002060"/>
            <w:noWrap/>
            <w:vAlign w:val="bottom"/>
            <w:hideMark/>
          </w:tcPr>
          <w:p w14:paraId="0C4E0122" w14:textId="77777777" w:rsidR="00360825" w:rsidRPr="007717C6" w:rsidRDefault="00360825" w:rsidP="00C04569">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717C6">
              <w:rPr>
                <w:color w:val="FFFFFF" w:themeColor="background1"/>
              </w:rPr>
              <w:t>2021-2026</w:t>
            </w:r>
          </w:p>
        </w:tc>
        <w:tc>
          <w:tcPr>
            <w:tcW w:w="751" w:type="pct"/>
            <w:shd w:val="clear" w:color="auto" w:fill="002060"/>
            <w:noWrap/>
            <w:vAlign w:val="bottom"/>
            <w:hideMark/>
          </w:tcPr>
          <w:p w14:paraId="278E35A4" w14:textId="77777777" w:rsidR="00360825" w:rsidRPr="007717C6" w:rsidRDefault="00360825" w:rsidP="00C04569">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717C6">
              <w:rPr>
                <w:color w:val="FFFFFF" w:themeColor="background1"/>
              </w:rPr>
              <w:t>2026-2031</w:t>
            </w:r>
          </w:p>
        </w:tc>
        <w:tc>
          <w:tcPr>
            <w:tcW w:w="751" w:type="pct"/>
            <w:shd w:val="clear" w:color="auto" w:fill="002060"/>
            <w:noWrap/>
            <w:vAlign w:val="bottom"/>
            <w:hideMark/>
          </w:tcPr>
          <w:p w14:paraId="15ACA893" w14:textId="77777777" w:rsidR="00360825" w:rsidRPr="007717C6" w:rsidRDefault="00360825" w:rsidP="00C04569">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717C6">
              <w:rPr>
                <w:color w:val="FFFFFF" w:themeColor="background1"/>
              </w:rPr>
              <w:t>2031-2036</w:t>
            </w:r>
          </w:p>
        </w:tc>
        <w:tc>
          <w:tcPr>
            <w:tcW w:w="751" w:type="pct"/>
            <w:shd w:val="clear" w:color="auto" w:fill="002060"/>
            <w:noWrap/>
            <w:vAlign w:val="bottom"/>
            <w:hideMark/>
          </w:tcPr>
          <w:p w14:paraId="1BCBDAA2" w14:textId="77777777" w:rsidR="00360825" w:rsidRPr="007717C6" w:rsidRDefault="00360825" w:rsidP="00C04569">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717C6">
              <w:rPr>
                <w:color w:val="FFFFFF" w:themeColor="background1"/>
              </w:rPr>
              <w:t>2036-2039</w:t>
            </w:r>
          </w:p>
        </w:tc>
        <w:tc>
          <w:tcPr>
            <w:tcW w:w="749" w:type="pct"/>
            <w:shd w:val="clear" w:color="auto" w:fill="002060"/>
            <w:noWrap/>
            <w:vAlign w:val="bottom"/>
            <w:hideMark/>
          </w:tcPr>
          <w:p w14:paraId="768F3A69" w14:textId="77777777" w:rsidR="00360825" w:rsidRPr="007717C6" w:rsidRDefault="00360825" w:rsidP="00C04569">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717C6">
              <w:rPr>
                <w:color w:val="FFFFFF" w:themeColor="background1"/>
              </w:rPr>
              <w:t>2021-2039</w:t>
            </w:r>
          </w:p>
        </w:tc>
      </w:tr>
      <w:tr w:rsidR="00360825" w:rsidRPr="007717C6" w14:paraId="03790A8A" w14:textId="77777777" w:rsidTr="00C04569">
        <w:trPr>
          <w:trHeight w:hRule="exact" w:val="278"/>
          <w:jc w:val="right"/>
        </w:trPr>
        <w:tc>
          <w:tcPr>
            <w:cnfStyle w:val="001000000000" w:firstRow="0" w:lastRow="0" w:firstColumn="1" w:lastColumn="0" w:oddVBand="0" w:evenVBand="0" w:oddHBand="0" w:evenHBand="0" w:firstRowFirstColumn="0" w:firstRowLastColumn="0" w:lastRowFirstColumn="0" w:lastRowLastColumn="0"/>
            <w:tcW w:w="1334" w:type="pct"/>
            <w:shd w:val="clear" w:color="auto" w:fill="FFFFFF" w:themeFill="background1"/>
            <w:noWrap/>
            <w:hideMark/>
          </w:tcPr>
          <w:p w14:paraId="525A226C" w14:textId="77777777" w:rsidR="00360825" w:rsidRPr="007717C6" w:rsidRDefault="00360825" w:rsidP="00C04569">
            <w:pPr>
              <w:spacing w:line="240" w:lineRule="auto"/>
              <w:jc w:val="left"/>
              <w:rPr>
                <w:b w:val="0"/>
              </w:rPr>
            </w:pPr>
            <w:r w:rsidRPr="007717C6">
              <w:rPr>
                <w:b w:val="0"/>
              </w:rPr>
              <w:t>Total Jobs</w:t>
            </w:r>
          </w:p>
        </w:tc>
        <w:tc>
          <w:tcPr>
            <w:tcW w:w="664" w:type="pct"/>
            <w:shd w:val="clear" w:color="auto" w:fill="FFFFFF" w:themeFill="background1"/>
            <w:noWrap/>
            <w:vAlign w:val="bottom"/>
            <w:hideMark/>
          </w:tcPr>
          <w:p w14:paraId="66E75F2D" w14:textId="77777777" w:rsidR="00360825" w:rsidRPr="007717C6" w:rsidRDefault="00360825" w:rsidP="00C04569">
            <w:pPr>
              <w:spacing w:line="240" w:lineRule="auto"/>
              <w:jc w:val="center"/>
              <w:cnfStyle w:val="000000000000" w:firstRow="0" w:lastRow="0" w:firstColumn="0" w:lastColumn="0" w:oddVBand="0" w:evenVBand="0" w:oddHBand="0" w:evenHBand="0" w:firstRowFirstColumn="0" w:firstRowLastColumn="0" w:lastRowFirstColumn="0" w:lastRowLastColumn="0"/>
            </w:pPr>
            <w:r w:rsidRPr="007717C6">
              <w:t>3,894</w:t>
            </w:r>
          </w:p>
        </w:tc>
        <w:tc>
          <w:tcPr>
            <w:tcW w:w="751" w:type="pct"/>
            <w:shd w:val="clear" w:color="auto" w:fill="FFFFFF" w:themeFill="background1"/>
            <w:noWrap/>
            <w:vAlign w:val="bottom"/>
            <w:hideMark/>
          </w:tcPr>
          <w:p w14:paraId="553B284C" w14:textId="77777777" w:rsidR="00360825" w:rsidRPr="007717C6" w:rsidRDefault="00360825" w:rsidP="00C04569">
            <w:pPr>
              <w:spacing w:line="240" w:lineRule="auto"/>
              <w:jc w:val="center"/>
              <w:cnfStyle w:val="000000000000" w:firstRow="0" w:lastRow="0" w:firstColumn="0" w:lastColumn="0" w:oddVBand="0" w:evenVBand="0" w:oddHBand="0" w:evenHBand="0" w:firstRowFirstColumn="0" w:firstRowLastColumn="0" w:lastRowFirstColumn="0" w:lastRowLastColumn="0"/>
            </w:pPr>
            <w:r w:rsidRPr="007717C6">
              <w:t>2,511</w:t>
            </w:r>
          </w:p>
        </w:tc>
        <w:tc>
          <w:tcPr>
            <w:tcW w:w="751" w:type="pct"/>
            <w:shd w:val="clear" w:color="auto" w:fill="FFFFFF" w:themeFill="background1"/>
            <w:noWrap/>
            <w:vAlign w:val="bottom"/>
            <w:hideMark/>
          </w:tcPr>
          <w:p w14:paraId="5985DB7A" w14:textId="77777777" w:rsidR="00360825" w:rsidRPr="007717C6" w:rsidRDefault="00360825" w:rsidP="00C04569">
            <w:pPr>
              <w:spacing w:line="240" w:lineRule="auto"/>
              <w:jc w:val="center"/>
              <w:cnfStyle w:val="000000000000" w:firstRow="0" w:lastRow="0" w:firstColumn="0" w:lastColumn="0" w:oddVBand="0" w:evenVBand="0" w:oddHBand="0" w:evenHBand="0" w:firstRowFirstColumn="0" w:firstRowLastColumn="0" w:lastRowFirstColumn="0" w:lastRowLastColumn="0"/>
            </w:pPr>
            <w:r w:rsidRPr="007717C6">
              <w:t>2,431</w:t>
            </w:r>
          </w:p>
        </w:tc>
        <w:tc>
          <w:tcPr>
            <w:tcW w:w="751" w:type="pct"/>
            <w:shd w:val="clear" w:color="auto" w:fill="FFFFFF" w:themeFill="background1"/>
            <w:noWrap/>
            <w:vAlign w:val="bottom"/>
            <w:hideMark/>
          </w:tcPr>
          <w:p w14:paraId="7F41B86D" w14:textId="77777777" w:rsidR="00360825" w:rsidRPr="007717C6" w:rsidRDefault="00360825" w:rsidP="00C04569">
            <w:pPr>
              <w:spacing w:line="240" w:lineRule="auto"/>
              <w:jc w:val="center"/>
              <w:cnfStyle w:val="000000000000" w:firstRow="0" w:lastRow="0" w:firstColumn="0" w:lastColumn="0" w:oddVBand="0" w:evenVBand="0" w:oddHBand="0" w:evenHBand="0" w:firstRowFirstColumn="0" w:firstRowLastColumn="0" w:lastRowFirstColumn="0" w:lastRowLastColumn="0"/>
            </w:pPr>
            <w:r w:rsidRPr="007717C6">
              <w:t>965</w:t>
            </w:r>
          </w:p>
        </w:tc>
        <w:tc>
          <w:tcPr>
            <w:tcW w:w="749" w:type="pct"/>
            <w:shd w:val="clear" w:color="auto" w:fill="FFFFFF" w:themeFill="background1"/>
            <w:noWrap/>
            <w:vAlign w:val="bottom"/>
            <w:hideMark/>
          </w:tcPr>
          <w:p w14:paraId="174D1706" w14:textId="77777777" w:rsidR="00360825" w:rsidRPr="007717C6" w:rsidRDefault="00360825" w:rsidP="00C04569">
            <w:pPr>
              <w:spacing w:line="240" w:lineRule="auto"/>
              <w:jc w:val="center"/>
              <w:cnfStyle w:val="000000000000" w:firstRow="0" w:lastRow="0" w:firstColumn="0" w:lastColumn="0" w:oddVBand="0" w:evenVBand="0" w:oddHBand="0" w:evenHBand="0" w:firstRowFirstColumn="0" w:firstRowLastColumn="0" w:lastRowFirstColumn="0" w:lastRowLastColumn="0"/>
            </w:pPr>
            <w:r w:rsidRPr="007717C6">
              <w:t>9,802</w:t>
            </w:r>
          </w:p>
        </w:tc>
      </w:tr>
      <w:tr w:rsidR="00360825" w:rsidRPr="007717C6" w14:paraId="503D54CF" w14:textId="77777777" w:rsidTr="00C04569">
        <w:trPr>
          <w:cnfStyle w:val="000000010000" w:firstRow="0" w:lastRow="0" w:firstColumn="0" w:lastColumn="0" w:oddVBand="0" w:evenVBand="0" w:oddHBand="0" w:evenHBand="1" w:firstRowFirstColumn="0" w:firstRowLastColumn="0" w:lastRowFirstColumn="0" w:lastRowLastColumn="0"/>
          <w:trHeight w:hRule="exact" w:val="278"/>
          <w:jc w:val="right"/>
        </w:trPr>
        <w:tc>
          <w:tcPr>
            <w:cnfStyle w:val="001000000000" w:firstRow="0" w:lastRow="0" w:firstColumn="1" w:lastColumn="0" w:oddVBand="0" w:evenVBand="0" w:oddHBand="0" w:evenHBand="0" w:firstRowFirstColumn="0" w:firstRowLastColumn="0" w:lastRowFirstColumn="0" w:lastRowLastColumn="0"/>
            <w:tcW w:w="1334" w:type="pct"/>
            <w:shd w:val="clear" w:color="auto" w:fill="FFFFFF" w:themeFill="background1"/>
            <w:noWrap/>
          </w:tcPr>
          <w:p w14:paraId="5595FCF0" w14:textId="77777777" w:rsidR="00360825" w:rsidRPr="007717C6" w:rsidRDefault="00360825" w:rsidP="00C04569">
            <w:pPr>
              <w:jc w:val="left"/>
              <w:rPr>
                <w:b w:val="0"/>
              </w:rPr>
            </w:pPr>
            <w:r w:rsidRPr="007717C6">
              <w:rPr>
                <w:b w:val="0"/>
              </w:rPr>
              <w:t>FTE Jobs</w:t>
            </w:r>
          </w:p>
        </w:tc>
        <w:tc>
          <w:tcPr>
            <w:tcW w:w="664" w:type="pct"/>
            <w:shd w:val="clear" w:color="auto" w:fill="FFFFFF" w:themeFill="background1"/>
            <w:noWrap/>
            <w:vAlign w:val="bottom"/>
          </w:tcPr>
          <w:p w14:paraId="761574DA" w14:textId="77777777" w:rsidR="00360825" w:rsidRPr="007717C6" w:rsidRDefault="00360825" w:rsidP="00C04569">
            <w:pPr>
              <w:jc w:val="center"/>
              <w:cnfStyle w:val="000000010000" w:firstRow="0" w:lastRow="0" w:firstColumn="0" w:lastColumn="0" w:oddVBand="0" w:evenVBand="0" w:oddHBand="0" w:evenHBand="1" w:firstRowFirstColumn="0" w:firstRowLastColumn="0" w:lastRowFirstColumn="0" w:lastRowLastColumn="0"/>
            </w:pPr>
            <w:r w:rsidRPr="007717C6">
              <w:t>3,548</w:t>
            </w:r>
          </w:p>
        </w:tc>
        <w:tc>
          <w:tcPr>
            <w:tcW w:w="751" w:type="pct"/>
            <w:shd w:val="clear" w:color="auto" w:fill="FFFFFF" w:themeFill="background1"/>
            <w:noWrap/>
            <w:vAlign w:val="bottom"/>
          </w:tcPr>
          <w:p w14:paraId="3030BE17" w14:textId="77777777" w:rsidR="00360825" w:rsidRPr="007717C6" w:rsidRDefault="00360825" w:rsidP="00C04569">
            <w:pPr>
              <w:jc w:val="center"/>
              <w:cnfStyle w:val="000000010000" w:firstRow="0" w:lastRow="0" w:firstColumn="0" w:lastColumn="0" w:oddVBand="0" w:evenVBand="0" w:oddHBand="0" w:evenHBand="1" w:firstRowFirstColumn="0" w:firstRowLastColumn="0" w:lastRowFirstColumn="0" w:lastRowLastColumn="0"/>
            </w:pPr>
            <w:r w:rsidRPr="007717C6">
              <w:t>2,281</w:t>
            </w:r>
          </w:p>
        </w:tc>
        <w:tc>
          <w:tcPr>
            <w:tcW w:w="751" w:type="pct"/>
            <w:shd w:val="clear" w:color="auto" w:fill="FFFFFF" w:themeFill="background1"/>
            <w:noWrap/>
            <w:vAlign w:val="bottom"/>
          </w:tcPr>
          <w:p w14:paraId="58F94B99" w14:textId="77777777" w:rsidR="00360825" w:rsidRPr="007717C6" w:rsidRDefault="00360825" w:rsidP="00C04569">
            <w:pPr>
              <w:jc w:val="center"/>
              <w:cnfStyle w:val="000000010000" w:firstRow="0" w:lastRow="0" w:firstColumn="0" w:lastColumn="0" w:oddVBand="0" w:evenVBand="0" w:oddHBand="0" w:evenHBand="1" w:firstRowFirstColumn="0" w:firstRowLastColumn="0" w:lastRowFirstColumn="0" w:lastRowLastColumn="0"/>
            </w:pPr>
            <w:r w:rsidRPr="007717C6">
              <w:t>2,210</w:t>
            </w:r>
          </w:p>
        </w:tc>
        <w:tc>
          <w:tcPr>
            <w:tcW w:w="751" w:type="pct"/>
            <w:shd w:val="clear" w:color="auto" w:fill="FFFFFF" w:themeFill="background1"/>
            <w:noWrap/>
            <w:vAlign w:val="bottom"/>
          </w:tcPr>
          <w:p w14:paraId="6ED62537" w14:textId="77777777" w:rsidR="00360825" w:rsidRPr="007717C6" w:rsidRDefault="00360825" w:rsidP="00C04569">
            <w:pPr>
              <w:jc w:val="center"/>
              <w:cnfStyle w:val="000000010000" w:firstRow="0" w:lastRow="0" w:firstColumn="0" w:lastColumn="0" w:oddVBand="0" w:evenVBand="0" w:oddHBand="0" w:evenHBand="1" w:firstRowFirstColumn="0" w:firstRowLastColumn="0" w:lastRowFirstColumn="0" w:lastRowLastColumn="0"/>
            </w:pPr>
            <w:r w:rsidRPr="007717C6">
              <w:t>8,74</w:t>
            </w:r>
          </w:p>
        </w:tc>
        <w:tc>
          <w:tcPr>
            <w:tcW w:w="749" w:type="pct"/>
            <w:shd w:val="clear" w:color="auto" w:fill="FFFFFF" w:themeFill="background1"/>
            <w:noWrap/>
            <w:vAlign w:val="bottom"/>
          </w:tcPr>
          <w:p w14:paraId="285E99C1" w14:textId="77777777" w:rsidR="00360825" w:rsidRPr="007717C6" w:rsidRDefault="00360825" w:rsidP="00C04569">
            <w:pPr>
              <w:jc w:val="center"/>
              <w:cnfStyle w:val="000000010000" w:firstRow="0" w:lastRow="0" w:firstColumn="0" w:lastColumn="0" w:oddVBand="0" w:evenVBand="0" w:oddHBand="0" w:evenHBand="1" w:firstRowFirstColumn="0" w:firstRowLastColumn="0" w:lastRowFirstColumn="0" w:lastRowLastColumn="0"/>
            </w:pPr>
            <w:r w:rsidRPr="007717C6">
              <w:t>8,914</w:t>
            </w:r>
          </w:p>
        </w:tc>
      </w:tr>
      <w:tr w:rsidR="00360825" w:rsidRPr="007717C6" w14:paraId="67A2EBDF" w14:textId="77777777" w:rsidTr="00C04569">
        <w:trPr>
          <w:trHeight w:hRule="exact" w:val="548"/>
          <w:jc w:val="right"/>
        </w:trPr>
        <w:tc>
          <w:tcPr>
            <w:cnfStyle w:val="001000000000" w:firstRow="0" w:lastRow="0" w:firstColumn="1" w:lastColumn="0" w:oddVBand="0" w:evenVBand="0" w:oddHBand="0" w:evenHBand="0" w:firstRowFirstColumn="0" w:firstRowLastColumn="0" w:lastRowFirstColumn="0" w:lastRowLastColumn="0"/>
            <w:tcW w:w="1334" w:type="pct"/>
            <w:shd w:val="clear" w:color="auto" w:fill="FFFFFF" w:themeFill="background1"/>
            <w:noWrap/>
          </w:tcPr>
          <w:p w14:paraId="5BEB5EEA" w14:textId="77777777" w:rsidR="00360825" w:rsidRPr="007717C6" w:rsidRDefault="00360825" w:rsidP="00C04569">
            <w:pPr>
              <w:spacing w:line="240" w:lineRule="auto"/>
              <w:jc w:val="left"/>
              <w:rPr>
                <w:b w:val="0"/>
              </w:rPr>
            </w:pPr>
            <w:r w:rsidRPr="007717C6">
              <w:rPr>
                <w:b w:val="0"/>
              </w:rPr>
              <w:t>FTE Jobs in Employment Floorspace</w:t>
            </w:r>
          </w:p>
        </w:tc>
        <w:tc>
          <w:tcPr>
            <w:tcW w:w="664" w:type="pct"/>
            <w:shd w:val="clear" w:color="auto" w:fill="FFFFFF" w:themeFill="background1"/>
            <w:noWrap/>
            <w:vAlign w:val="bottom"/>
          </w:tcPr>
          <w:p w14:paraId="6FA52F6A" w14:textId="77777777" w:rsidR="00360825" w:rsidRPr="007717C6" w:rsidRDefault="00360825" w:rsidP="00C04569">
            <w:pPr>
              <w:jc w:val="center"/>
              <w:cnfStyle w:val="000000000000" w:firstRow="0" w:lastRow="0" w:firstColumn="0" w:lastColumn="0" w:oddVBand="0" w:evenVBand="0" w:oddHBand="0" w:evenHBand="0" w:firstRowFirstColumn="0" w:firstRowLastColumn="0" w:lastRowFirstColumn="0" w:lastRowLastColumn="0"/>
            </w:pPr>
            <w:r w:rsidRPr="007717C6">
              <w:t>1</w:t>
            </w:r>
            <w:r>
              <w:t>,</w:t>
            </w:r>
            <w:r w:rsidRPr="007717C6">
              <w:t>163</w:t>
            </w:r>
          </w:p>
        </w:tc>
        <w:tc>
          <w:tcPr>
            <w:tcW w:w="751" w:type="pct"/>
            <w:shd w:val="clear" w:color="auto" w:fill="FFFFFF" w:themeFill="background1"/>
            <w:noWrap/>
            <w:vAlign w:val="bottom"/>
          </w:tcPr>
          <w:p w14:paraId="2F18F1BE" w14:textId="77777777" w:rsidR="00360825" w:rsidRPr="007717C6" w:rsidRDefault="00360825" w:rsidP="00C04569">
            <w:pPr>
              <w:jc w:val="center"/>
              <w:cnfStyle w:val="000000000000" w:firstRow="0" w:lastRow="0" w:firstColumn="0" w:lastColumn="0" w:oddVBand="0" w:evenVBand="0" w:oddHBand="0" w:evenHBand="0" w:firstRowFirstColumn="0" w:firstRowLastColumn="0" w:lastRowFirstColumn="0" w:lastRowLastColumn="0"/>
            </w:pPr>
            <w:r w:rsidRPr="007717C6">
              <w:t>532</w:t>
            </w:r>
          </w:p>
        </w:tc>
        <w:tc>
          <w:tcPr>
            <w:tcW w:w="751" w:type="pct"/>
            <w:shd w:val="clear" w:color="auto" w:fill="FFFFFF" w:themeFill="background1"/>
            <w:noWrap/>
            <w:vAlign w:val="bottom"/>
          </w:tcPr>
          <w:p w14:paraId="6AFEBFCA" w14:textId="77777777" w:rsidR="00360825" w:rsidRPr="007717C6" w:rsidRDefault="00360825" w:rsidP="00C04569">
            <w:pPr>
              <w:jc w:val="center"/>
              <w:cnfStyle w:val="000000000000" w:firstRow="0" w:lastRow="0" w:firstColumn="0" w:lastColumn="0" w:oddVBand="0" w:evenVBand="0" w:oddHBand="0" w:evenHBand="0" w:firstRowFirstColumn="0" w:firstRowLastColumn="0" w:lastRowFirstColumn="0" w:lastRowLastColumn="0"/>
            </w:pPr>
            <w:r w:rsidRPr="007717C6">
              <w:t>486</w:t>
            </w:r>
          </w:p>
        </w:tc>
        <w:tc>
          <w:tcPr>
            <w:tcW w:w="751" w:type="pct"/>
            <w:shd w:val="clear" w:color="auto" w:fill="FFFFFF" w:themeFill="background1"/>
            <w:noWrap/>
            <w:vAlign w:val="bottom"/>
          </w:tcPr>
          <w:p w14:paraId="4A10AA4F" w14:textId="77777777" w:rsidR="00360825" w:rsidRPr="007717C6" w:rsidRDefault="00360825" w:rsidP="00C04569">
            <w:pPr>
              <w:jc w:val="center"/>
              <w:cnfStyle w:val="000000000000" w:firstRow="0" w:lastRow="0" w:firstColumn="0" w:lastColumn="0" w:oddVBand="0" w:evenVBand="0" w:oddHBand="0" w:evenHBand="0" w:firstRowFirstColumn="0" w:firstRowLastColumn="0" w:lastRowFirstColumn="0" w:lastRowLastColumn="0"/>
            </w:pPr>
            <w:r w:rsidRPr="007717C6">
              <w:t>267</w:t>
            </w:r>
          </w:p>
        </w:tc>
        <w:tc>
          <w:tcPr>
            <w:tcW w:w="749" w:type="pct"/>
            <w:shd w:val="clear" w:color="auto" w:fill="FFFFFF" w:themeFill="background1"/>
            <w:noWrap/>
            <w:vAlign w:val="bottom"/>
          </w:tcPr>
          <w:p w14:paraId="7C627156" w14:textId="77777777" w:rsidR="00360825" w:rsidRPr="007717C6" w:rsidRDefault="00360825" w:rsidP="00C04569">
            <w:pPr>
              <w:jc w:val="center"/>
              <w:cnfStyle w:val="000000000000" w:firstRow="0" w:lastRow="0" w:firstColumn="0" w:lastColumn="0" w:oddVBand="0" w:evenVBand="0" w:oddHBand="0" w:evenHBand="0" w:firstRowFirstColumn="0" w:firstRowLastColumn="0" w:lastRowFirstColumn="0" w:lastRowLastColumn="0"/>
            </w:pPr>
            <w:r w:rsidRPr="007717C6">
              <w:t>2</w:t>
            </w:r>
            <w:r>
              <w:t>,</w:t>
            </w:r>
            <w:r w:rsidRPr="007717C6">
              <w:t>448</w:t>
            </w:r>
          </w:p>
        </w:tc>
      </w:tr>
    </w:tbl>
    <w:p w14:paraId="703FBF1F" w14:textId="77777777" w:rsidR="00360825" w:rsidRPr="00DE1AA1" w:rsidRDefault="00360825" w:rsidP="00360825">
      <w:pPr>
        <w:pStyle w:val="11Bodytext"/>
        <w:tabs>
          <w:tab w:val="clear" w:pos="794"/>
        </w:tabs>
        <w:spacing w:before="0" w:after="0" w:line="240" w:lineRule="auto"/>
      </w:pPr>
      <w:r w:rsidRPr="00DE1AA1">
        <w:t>Source: Oxford Economics and Iceni Projects</w:t>
      </w:r>
    </w:p>
    <w:p w14:paraId="589404CB" w14:textId="77777777" w:rsidR="00360825" w:rsidRPr="00DE1AA1" w:rsidRDefault="00360825" w:rsidP="00360825">
      <w:pPr>
        <w:pStyle w:val="11Bodytext"/>
        <w:tabs>
          <w:tab w:val="clear" w:pos="794"/>
        </w:tabs>
        <w:spacing w:before="0" w:after="0" w:line="240" w:lineRule="auto"/>
      </w:pPr>
    </w:p>
    <w:p w14:paraId="4188B564" w14:textId="77777777" w:rsidR="00360825" w:rsidRPr="00B13575" w:rsidRDefault="00360825" w:rsidP="00360825">
      <w:pPr>
        <w:pStyle w:val="Heading3"/>
        <w:rPr>
          <w:rFonts w:ascii="Arial" w:hAnsi="Arial" w:cs="Arial"/>
        </w:rPr>
      </w:pPr>
      <w:r w:rsidRPr="00B13575">
        <w:rPr>
          <w:rFonts w:ascii="Arial" w:hAnsi="Arial" w:cs="Arial"/>
        </w:rPr>
        <w:t>Floorspace Demand</w:t>
      </w:r>
    </w:p>
    <w:p w14:paraId="34A38868" w14:textId="1514E45B"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To translate the number of FTE jobs to floorspace we have used a consistent set of employment densities and plot ratios from the previous HEDNAs. The assumed employment densities</w:t>
      </w:r>
      <w:r w:rsidRPr="00B13575">
        <w:rPr>
          <w:rStyle w:val="FootnoteReference"/>
          <w:rFonts w:ascii="Arial" w:eastAsiaTheme="minorEastAsia" w:hAnsi="Arial" w:cs="Arial"/>
        </w:rPr>
        <w:footnoteReference w:id="27"/>
      </w:r>
      <w:r w:rsidRPr="00B13575">
        <w:rPr>
          <w:rFonts w:ascii="Arial" w:hAnsi="Arial" w:cs="Arial"/>
        </w:rPr>
        <w:t xml:space="preserve"> and plot ratios</w:t>
      </w:r>
      <w:r w:rsidRPr="00B13575">
        <w:rPr>
          <w:rStyle w:val="FootnoteReference"/>
          <w:rFonts w:ascii="Arial" w:eastAsiaTheme="minorEastAsia" w:hAnsi="Arial" w:cs="Arial"/>
        </w:rPr>
        <w:footnoteReference w:id="28"/>
      </w:r>
      <w:r w:rsidRPr="00B13575">
        <w:rPr>
          <w:rFonts w:ascii="Arial" w:hAnsi="Arial" w:cs="Arial"/>
        </w:rPr>
        <w:t xml:space="preserve"> are set out below. Although the calculation for offices is slightly more nuanced as different densities are applied to different types of offices</w:t>
      </w:r>
      <w:r w:rsidR="002B1913" w:rsidRPr="00B13575">
        <w:rPr>
          <w:rFonts w:ascii="Arial" w:hAnsi="Arial" w:cs="Arial"/>
        </w:rPr>
        <w:t xml:space="preserve">. </w:t>
      </w:r>
    </w:p>
    <w:p w14:paraId="00B4D7C6" w14:textId="77777777" w:rsidR="00360825" w:rsidRPr="00B13575" w:rsidRDefault="00360825" w:rsidP="001A7584">
      <w:pPr>
        <w:pStyle w:val="Heading4"/>
        <w:ind w:firstLine="0"/>
      </w:pPr>
      <w:r w:rsidRPr="00B13575">
        <w:t xml:space="preserve">Employment Densities and Plot Ratio Assumptions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409"/>
        <w:gridCol w:w="1551"/>
        <w:gridCol w:w="1292"/>
        <w:gridCol w:w="1276"/>
        <w:gridCol w:w="1417"/>
      </w:tblGrid>
      <w:tr w:rsidR="00360825" w:rsidRPr="00B13575" w14:paraId="583ECA16" w14:textId="77777777" w:rsidTr="00C04569">
        <w:trPr>
          <w:trHeight w:hRule="exact" w:val="736"/>
        </w:trPr>
        <w:tc>
          <w:tcPr>
            <w:tcW w:w="2127" w:type="dxa"/>
            <w:shd w:val="clear" w:color="auto" w:fill="002060"/>
            <w:noWrap/>
            <w:vAlign w:val="bottom"/>
            <w:hideMark/>
          </w:tcPr>
          <w:p w14:paraId="34C6802D" w14:textId="77777777" w:rsidR="00360825" w:rsidRPr="00B13575" w:rsidRDefault="00360825" w:rsidP="00C04569">
            <w:pPr>
              <w:rPr>
                <w:rFonts w:ascii="Arial" w:hAnsi="Arial" w:cs="Arial"/>
              </w:rPr>
            </w:pPr>
          </w:p>
        </w:tc>
        <w:tc>
          <w:tcPr>
            <w:tcW w:w="1409" w:type="dxa"/>
            <w:shd w:val="clear" w:color="auto" w:fill="002060"/>
            <w:noWrap/>
            <w:vAlign w:val="bottom"/>
            <w:hideMark/>
          </w:tcPr>
          <w:p w14:paraId="3E300F7F" w14:textId="77777777" w:rsidR="00360825" w:rsidRPr="00B13575" w:rsidRDefault="00360825" w:rsidP="00C04569">
            <w:pPr>
              <w:jc w:val="center"/>
              <w:rPr>
                <w:rFonts w:ascii="Arial" w:hAnsi="Arial" w:cs="Arial"/>
                <w:b/>
                <w:bCs/>
              </w:rPr>
            </w:pPr>
            <w:r w:rsidRPr="00B13575">
              <w:rPr>
                <w:rFonts w:ascii="Arial" w:hAnsi="Arial" w:cs="Arial"/>
                <w:b/>
                <w:bCs/>
              </w:rPr>
              <w:t>Office</w:t>
            </w:r>
          </w:p>
          <w:p w14:paraId="54CF559D" w14:textId="77777777" w:rsidR="00360825" w:rsidRPr="00B13575" w:rsidRDefault="00360825" w:rsidP="00C04569">
            <w:pPr>
              <w:jc w:val="center"/>
              <w:rPr>
                <w:rFonts w:ascii="Arial" w:hAnsi="Arial" w:cs="Arial"/>
                <w:b/>
                <w:bCs/>
              </w:rPr>
            </w:pPr>
          </w:p>
        </w:tc>
        <w:tc>
          <w:tcPr>
            <w:tcW w:w="1551" w:type="dxa"/>
            <w:shd w:val="clear" w:color="auto" w:fill="002060"/>
            <w:noWrap/>
            <w:vAlign w:val="bottom"/>
            <w:hideMark/>
          </w:tcPr>
          <w:p w14:paraId="31143B5B" w14:textId="77777777" w:rsidR="00360825" w:rsidRPr="00B13575" w:rsidRDefault="00360825" w:rsidP="00C04569">
            <w:pPr>
              <w:jc w:val="center"/>
              <w:rPr>
                <w:rFonts w:ascii="Arial" w:hAnsi="Arial" w:cs="Arial"/>
                <w:b/>
                <w:bCs/>
              </w:rPr>
            </w:pPr>
            <w:r w:rsidRPr="00B13575">
              <w:rPr>
                <w:rFonts w:ascii="Arial" w:hAnsi="Arial" w:cs="Arial"/>
                <w:b/>
                <w:bCs/>
              </w:rPr>
              <w:t xml:space="preserve">R&amp;D Office </w:t>
            </w:r>
          </w:p>
          <w:p w14:paraId="7035EB4C" w14:textId="77777777" w:rsidR="00360825" w:rsidRPr="00B13575" w:rsidRDefault="00360825" w:rsidP="00C04569">
            <w:pPr>
              <w:jc w:val="center"/>
              <w:rPr>
                <w:rFonts w:ascii="Arial" w:hAnsi="Arial" w:cs="Arial"/>
                <w:b/>
                <w:bCs/>
              </w:rPr>
            </w:pPr>
          </w:p>
        </w:tc>
        <w:tc>
          <w:tcPr>
            <w:tcW w:w="1292" w:type="dxa"/>
            <w:shd w:val="clear" w:color="auto" w:fill="002060"/>
            <w:noWrap/>
            <w:vAlign w:val="bottom"/>
            <w:hideMark/>
          </w:tcPr>
          <w:p w14:paraId="5F90A942" w14:textId="77777777" w:rsidR="00360825" w:rsidRPr="00B13575" w:rsidRDefault="00360825" w:rsidP="00C04569">
            <w:pPr>
              <w:jc w:val="center"/>
              <w:rPr>
                <w:rFonts w:ascii="Arial" w:hAnsi="Arial" w:cs="Arial"/>
                <w:b/>
                <w:bCs/>
              </w:rPr>
            </w:pPr>
            <w:r w:rsidRPr="00B13575">
              <w:rPr>
                <w:rFonts w:ascii="Arial" w:hAnsi="Arial" w:cs="Arial"/>
                <w:b/>
                <w:bCs/>
              </w:rPr>
              <w:t xml:space="preserve">Light Industrial </w:t>
            </w:r>
          </w:p>
          <w:p w14:paraId="4BBA437C" w14:textId="77777777" w:rsidR="00360825" w:rsidRPr="00B13575" w:rsidRDefault="00360825" w:rsidP="00C04569">
            <w:pPr>
              <w:jc w:val="center"/>
              <w:rPr>
                <w:rFonts w:ascii="Arial" w:hAnsi="Arial" w:cs="Arial"/>
                <w:b/>
                <w:bCs/>
              </w:rPr>
            </w:pPr>
          </w:p>
        </w:tc>
        <w:tc>
          <w:tcPr>
            <w:tcW w:w="1276" w:type="dxa"/>
            <w:shd w:val="clear" w:color="auto" w:fill="002060"/>
            <w:noWrap/>
            <w:vAlign w:val="bottom"/>
            <w:hideMark/>
          </w:tcPr>
          <w:p w14:paraId="43BBC536" w14:textId="77777777" w:rsidR="00360825" w:rsidRPr="00B13575" w:rsidRDefault="00360825" w:rsidP="00C04569">
            <w:pPr>
              <w:jc w:val="center"/>
              <w:rPr>
                <w:rFonts w:ascii="Arial" w:hAnsi="Arial" w:cs="Arial"/>
                <w:b/>
                <w:bCs/>
              </w:rPr>
            </w:pPr>
            <w:r w:rsidRPr="00B13575">
              <w:rPr>
                <w:rFonts w:ascii="Arial" w:hAnsi="Arial" w:cs="Arial"/>
                <w:b/>
                <w:bCs/>
              </w:rPr>
              <w:t xml:space="preserve">Industrial </w:t>
            </w:r>
          </w:p>
        </w:tc>
        <w:tc>
          <w:tcPr>
            <w:tcW w:w="1417" w:type="dxa"/>
            <w:shd w:val="clear" w:color="auto" w:fill="002060"/>
            <w:noWrap/>
            <w:vAlign w:val="bottom"/>
            <w:hideMark/>
          </w:tcPr>
          <w:p w14:paraId="1589884E" w14:textId="77777777" w:rsidR="00360825" w:rsidRPr="00B13575" w:rsidRDefault="00360825" w:rsidP="00C04569">
            <w:pPr>
              <w:jc w:val="center"/>
              <w:rPr>
                <w:rFonts w:ascii="Arial" w:hAnsi="Arial" w:cs="Arial"/>
                <w:b/>
                <w:bCs/>
              </w:rPr>
            </w:pPr>
            <w:r w:rsidRPr="00B13575">
              <w:rPr>
                <w:rFonts w:ascii="Arial" w:hAnsi="Arial" w:cs="Arial"/>
                <w:b/>
                <w:bCs/>
              </w:rPr>
              <w:t>Warehouse</w:t>
            </w:r>
          </w:p>
        </w:tc>
      </w:tr>
      <w:tr w:rsidR="00360825" w:rsidRPr="00B13575" w14:paraId="7ED53AF9" w14:textId="77777777" w:rsidTr="00C04569">
        <w:trPr>
          <w:trHeight w:hRule="exact" w:val="289"/>
        </w:trPr>
        <w:tc>
          <w:tcPr>
            <w:tcW w:w="2127" w:type="dxa"/>
            <w:shd w:val="clear" w:color="auto" w:fill="auto"/>
            <w:noWrap/>
            <w:vAlign w:val="bottom"/>
            <w:hideMark/>
          </w:tcPr>
          <w:p w14:paraId="7BDB9F35" w14:textId="77777777" w:rsidR="00360825" w:rsidRPr="00B13575" w:rsidRDefault="00360825" w:rsidP="00C04569">
            <w:pPr>
              <w:rPr>
                <w:rFonts w:ascii="Arial" w:hAnsi="Arial" w:cs="Arial"/>
                <w:color w:val="000000"/>
              </w:rPr>
            </w:pPr>
            <w:r w:rsidRPr="00B13575">
              <w:rPr>
                <w:rFonts w:ascii="Arial" w:hAnsi="Arial" w:cs="Arial"/>
                <w:color w:val="000000"/>
              </w:rPr>
              <w:t>Employment Density</w:t>
            </w:r>
          </w:p>
        </w:tc>
        <w:tc>
          <w:tcPr>
            <w:tcW w:w="1409" w:type="dxa"/>
            <w:shd w:val="clear" w:color="auto" w:fill="auto"/>
            <w:noWrap/>
            <w:vAlign w:val="bottom"/>
            <w:hideMark/>
          </w:tcPr>
          <w:p w14:paraId="33779FB4" w14:textId="77777777" w:rsidR="00360825" w:rsidRPr="00B13575" w:rsidRDefault="00360825" w:rsidP="00C04569">
            <w:pPr>
              <w:jc w:val="center"/>
              <w:rPr>
                <w:rFonts w:ascii="Arial" w:hAnsi="Arial" w:cs="Arial"/>
                <w:color w:val="000000"/>
              </w:rPr>
            </w:pPr>
            <w:r w:rsidRPr="00B13575">
              <w:rPr>
                <w:rFonts w:ascii="Arial" w:hAnsi="Arial" w:cs="Arial"/>
                <w:color w:val="000000"/>
              </w:rPr>
              <w:t>9.9 - 14.3</w:t>
            </w:r>
          </w:p>
        </w:tc>
        <w:tc>
          <w:tcPr>
            <w:tcW w:w="1551" w:type="dxa"/>
            <w:shd w:val="clear" w:color="auto" w:fill="auto"/>
            <w:noWrap/>
            <w:vAlign w:val="bottom"/>
            <w:hideMark/>
          </w:tcPr>
          <w:p w14:paraId="0F368227" w14:textId="77777777" w:rsidR="00360825" w:rsidRPr="00B13575" w:rsidRDefault="00360825" w:rsidP="00C04569">
            <w:pPr>
              <w:jc w:val="center"/>
              <w:rPr>
                <w:rFonts w:ascii="Arial" w:hAnsi="Arial" w:cs="Arial"/>
                <w:color w:val="000000"/>
              </w:rPr>
            </w:pPr>
            <w:r w:rsidRPr="00B13575">
              <w:rPr>
                <w:rFonts w:ascii="Arial" w:hAnsi="Arial" w:cs="Arial"/>
                <w:color w:val="000000"/>
              </w:rPr>
              <w:t>60.0</w:t>
            </w:r>
          </w:p>
        </w:tc>
        <w:tc>
          <w:tcPr>
            <w:tcW w:w="1292" w:type="dxa"/>
            <w:shd w:val="clear" w:color="auto" w:fill="auto"/>
            <w:noWrap/>
            <w:vAlign w:val="bottom"/>
            <w:hideMark/>
          </w:tcPr>
          <w:p w14:paraId="392BC9C4" w14:textId="77777777" w:rsidR="00360825" w:rsidRPr="00B13575" w:rsidRDefault="00360825" w:rsidP="00C04569">
            <w:pPr>
              <w:jc w:val="center"/>
              <w:rPr>
                <w:rFonts w:ascii="Arial" w:hAnsi="Arial" w:cs="Arial"/>
                <w:color w:val="000000"/>
              </w:rPr>
            </w:pPr>
            <w:r w:rsidRPr="00B13575">
              <w:rPr>
                <w:rFonts w:ascii="Arial" w:hAnsi="Arial" w:cs="Arial"/>
                <w:color w:val="000000"/>
              </w:rPr>
              <w:t>49.4</w:t>
            </w:r>
          </w:p>
        </w:tc>
        <w:tc>
          <w:tcPr>
            <w:tcW w:w="1276" w:type="dxa"/>
            <w:shd w:val="clear" w:color="auto" w:fill="auto"/>
            <w:noWrap/>
            <w:vAlign w:val="bottom"/>
            <w:hideMark/>
          </w:tcPr>
          <w:p w14:paraId="5FE83580" w14:textId="77777777" w:rsidR="00360825" w:rsidRPr="00B13575" w:rsidRDefault="00360825" w:rsidP="00C04569">
            <w:pPr>
              <w:jc w:val="center"/>
              <w:rPr>
                <w:rFonts w:ascii="Arial" w:hAnsi="Arial" w:cs="Arial"/>
                <w:color w:val="000000"/>
              </w:rPr>
            </w:pPr>
            <w:r w:rsidRPr="00B13575">
              <w:rPr>
                <w:rFonts w:ascii="Arial" w:hAnsi="Arial" w:cs="Arial"/>
                <w:color w:val="000000"/>
              </w:rPr>
              <w:t>37.8</w:t>
            </w:r>
          </w:p>
        </w:tc>
        <w:tc>
          <w:tcPr>
            <w:tcW w:w="1417" w:type="dxa"/>
            <w:shd w:val="clear" w:color="auto" w:fill="auto"/>
            <w:noWrap/>
            <w:vAlign w:val="bottom"/>
            <w:hideMark/>
          </w:tcPr>
          <w:p w14:paraId="6A594C69" w14:textId="77777777" w:rsidR="00360825" w:rsidRPr="00B13575" w:rsidRDefault="00360825" w:rsidP="00C04569">
            <w:pPr>
              <w:jc w:val="center"/>
              <w:rPr>
                <w:rFonts w:ascii="Arial" w:hAnsi="Arial" w:cs="Arial"/>
                <w:color w:val="000000"/>
              </w:rPr>
            </w:pPr>
            <w:r w:rsidRPr="00B13575">
              <w:rPr>
                <w:rFonts w:ascii="Arial" w:hAnsi="Arial" w:cs="Arial"/>
                <w:color w:val="000000"/>
              </w:rPr>
              <w:t>72.1</w:t>
            </w:r>
          </w:p>
        </w:tc>
      </w:tr>
      <w:tr w:rsidR="00360825" w:rsidRPr="00B13575" w14:paraId="1446098F" w14:textId="77777777" w:rsidTr="00C04569">
        <w:trPr>
          <w:trHeight w:hRule="exact" w:val="289"/>
        </w:trPr>
        <w:tc>
          <w:tcPr>
            <w:tcW w:w="2127" w:type="dxa"/>
            <w:shd w:val="clear" w:color="auto" w:fill="auto"/>
            <w:noWrap/>
            <w:vAlign w:val="bottom"/>
            <w:hideMark/>
          </w:tcPr>
          <w:p w14:paraId="554452B3" w14:textId="77777777" w:rsidR="00360825" w:rsidRPr="00B13575" w:rsidRDefault="00360825" w:rsidP="00C04569">
            <w:pPr>
              <w:rPr>
                <w:rFonts w:ascii="Arial" w:hAnsi="Arial" w:cs="Arial"/>
                <w:color w:val="000000"/>
              </w:rPr>
            </w:pPr>
            <w:r w:rsidRPr="00B13575">
              <w:rPr>
                <w:rFonts w:ascii="Arial" w:hAnsi="Arial" w:cs="Arial"/>
                <w:color w:val="000000"/>
              </w:rPr>
              <w:t>Plot Ratio</w:t>
            </w:r>
          </w:p>
        </w:tc>
        <w:tc>
          <w:tcPr>
            <w:tcW w:w="1409" w:type="dxa"/>
            <w:shd w:val="clear" w:color="auto" w:fill="auto"/>
            <w:noWrap/>
            <w:vAlign w:val="bottom"/>
            <w:hideMark/>
          </w:tcPr>
          <w:p w14:paraId="39257AC3" w14:textId="77777777" w:rsidR="00360825" w:rsidRPr="00B13575" w:rsidRDefault="00360825" w:rsidP="00C04569">
            <w:pPr>
              <w:jc w:val="center"/>
              <w:rPr>
                <w:rFonts w:ascii="Arial" w:hAnsi="Arial" w:cs="Arial"/>
                <w:color w:val="000000"/>
              </w:rPr>
            </w:pPr>
            <w:r w:rsidRPr="00B13575">
              <w:rPr>
                <w:rFonts w:ascii="Arial" w:hAnsi="Arial" w:cs="Arial"/>
                <w:color w:val="000000"/>
              </w:rPr>
              <w:t>0.75</w:t>
            </w:r>
          </w:p>
        </w:tc>
        <w:tc>
          <w:tcPr>
            <w:tcW w:w="1551" w:type="dxa"/>
            <w:shd w:val="clear" w:color="auto" w:fill="auto"/>
            <w:noWrap/>
            <w:vAlign w:val="bottom"/>
            <w:hideMark/>
          </w:tcPr>
          <w:p w14:paraId="6DE36D98" w14:textId="77777777" w:rsidR="00360825" w:rsidRPr="00B13575" w:rsidRDefault="00360825" w:rsidP="00C04569">
            <w:pPr>
              <w:jc w:val="center"/>
              <w:rPr>
                <w:rFonts w:ascii="Arial" w:hAnsi="Arial" w:cs="Arial"/>
                <w:color w:val="000000"/>
              </w:rPr>
            </w:pPr>
            <w:r w:rsidRPr="00B13575">
              <w:rPr>
                <w:rFonts w:ascii="Arial" w:hAnsi="Arial" w:cs="Arial"/>
                <w:color w:val="000000"/>
              </w:rPr>
              <w:t>0.75</w:t>
            </w:r>
          </w:p>
        </w:tc>
        <w:tc>
          <w:tcPr>
            <w:tcW w:w="1292" w:type="dxa"/>
            <w:shd w:val="clear" w:color="auto" w:fill="auto"/>
            <w:noWrap/>
            <w:vAlign w:val="bottom"/>
            <w:hideMark/>
          </w:tcPr>
          <w:p w14:paraId="48F0497E" w14:textId="77777777" w:rsidR="00360825" w:rsidRPr="00B13575" w:rsidRDefault="00360825" w:rsidP="00C04569">
            <w:pPr>
              <w:jc w:val="center"/>
              <w:rPr>
                <w:rFonts w:ascii="Arial" w:hAnsi="Arial" w:cs="Arial"/>
                <w:color w:val="000000"/>
              </w:rPr>
            </w:pPr>
            <w:r w:rsidRPr="00B13575">
              <w:rPr>
                <w:rFonts w:ascii="Arial" w:hAnsi="Arial" w:cs="Arial"/>
                <w:color w:val="000000"/>
              </w:rPr>
              <w:t>0.4</w:t>
            </w:r>
          </w:p>
        </w:tc>
        <w:tc>
          <w:tcPr>
            <w:tcW w:w="1276" w:type="dxa"/>
            <w:shd w:val="clear" w:color="auto" w:fill="auto"/>
            <w:noWrap/>
            <w:vAlign w:val="bottom"/>
            <w:hideMark/>
          </w:tcPr>
          <w:p w14:paraId="4540488E" w14:textId="77777777" w:rsidR="00360825" w:rsidRPr="00B13575" w:rsidRDefault="00360825" w:rsidP="00C04569">
            <w:pPr>
              <w:jc w:val="center"/>
              <w:rPr>
                <w:rFonts w:ascii="Arial" w:hAnsi="Arial" w:cs="Arial"/>
                <w:color w:val="000000"/>
              </w:rPr>
            </w:pPr>
            <w:r w:rsidRPr="00B13575">
              <w:rPr>
                <w:rFonts w:ascii="Arial" w:hAnsi="Arial" w:cs="Arial"/>
                <w:color w:val="000000"/>
              </w:rPr>
              <w:t>0.4</w:t>
            </w:r>
          </w:p>
        </w:tc>
        <w:tc>
          <w:tcPr>
            <w:tcW w:w="1417" w:type="dxa"/>
            <w:shd w:val="clear" w:color="auto" w:fill="auto"/>
            <w:noWrap/>
            <w:vAlign w:val="bottom"/>
            <w:hideMark/>
          </w:tcPr>
          <w:p w14:paraId="4E2C4AFF" w14:textId="77777777" w:rsidR="00360825" w:rsidRPr="00B13575" w:rsidRDefault="00360825" w:rsidP="00C04569">
            <w:pPr>
              <w:jc w:val="center"/>
              <w:rPr>
                <w:rFonts w:ascii="Arial" w:hAnsi="Arial" w:cs="Arial"/>
                <w:color w:val="000000"/>
              </w:rPr>
            </w:pPr>
            <w:r w:rsidRPr="00B13575">
              <w:rPr>
                <w:rFonts w:ascii="Arial" w:hAnsi="Arial" w:cs="Arial"/>
                <w:color w:val="000000"/>
              </w:rPr>
              <w:t>0.5</w:t>
            </w:r>
          </w:p>
        </w:tc>
      </w:tr>
    </w:tbl>
    <w:p w14:paraId="5DE95C29" w14:textId="77777777" w:rsidR="00360825" w:rsidRPr="00E17F98" w:rsidRDefault="00360825" w:rsidP="00360825">
      <w:pPr>
        <w:pStyle w:val="11Bodytext"/>
        <w:tabs>
          <w:tab w:val="clear" w:pos="794"/>
        </w:tabs>
      </w:pPr>
      <w:r w:rsidRPr="00E17F98">
        <w:t>Source:</w:t>
      </w:r>
      <w:r w:rsidRPr="00E17F98">
        <w:rPr>
          <w:i/>
        </w:rPr>
        <w:t xml:space="preserve"> HCA Employment Densities Guide: 3</w:t>
      </w:r>
      <w:r w:rsidRPr="00E17F98">
        <w:rPr>
          <w:i/>
          <w:vertAlign w:val="superscript"/>
        </w:rPr>
        <w:t>rd</w:t>
      </w:r>
      <w:r w:rsidRPr="00E17F98">
        <w:rPr>
          <w:i/>
        </w:rPr>
        <w:t xml:space="preserve"> Edition </w:t>
      </w:r>
      <w:r w:rsidRPr="00E17F98">
        <w:t>(Drivers Jonas Deloitte, 2015)  and Iceni Projects</w:t>
      </w:r>
    </w:p>
    <w:p w14:paraId="5C8166FC" w14:textId="5EBA6F6E"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As a further sensitivity, in response to greater levels of home working within office based industries we have provided the outputs for office based demand as a range</w:t>
      </w:r>
      <w:r w:rsidR="002B1913" w:rsidRPr="00B13575">
        <w:rPr>
          <w:rFonts w:ascii="Arial" w:hAnsi="Arial" w:cs="Arial"/>
        </w:rPr>
        <w:t xml:space="preserve">. </w:t>
      </w:r>
      <w:r w:rsidRPr="00B13575">
        <w:rPr>
          <w:rFonts w:ascii="Arial" w:hAnsi="Arial" w:cs="Arial"/>
        </w:rPr>
        <w:t xml:space="preserve">The lower end of this range reflects a 30% reduction in employment densities and subsequently demand. Limited evidence is available regarding post pandemic office usage patterns, however, in Iceni’s view it is useful to have a scenario which allows for some de-linkage of office and employment growth. </w:t>
      </w:r>
    </w:p>
    <w:p w14:paraId="6B58C66F" w14:textId="77777777" w:rsidR="00360825" w:rsidRPr="00B13575"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Applying these employment densities to the FTE forecasts generates a net change in employment floorspace of between 64,000 and 72,000 sq. metres for the growth scenario, with the largest demand for Warehousing space and demand for industrial much less than the others. </w:t>
      </w:r>
    </w:p>
    <w:p w14:paraId="47C177F3"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lastRenderedPageBreak/>
        <w:t xml:space="preserve">Once plot ratios are applied to the floorspace growth the total need for employment land under the growth scenario in Chichester over the 2021-2039 period is calculated as between </w:t>
      </w:r>
      <w:r>
        <w:rPr>
          <w:rFonts w:ascii="Arial" w:hAnsi="Arial" w:cs="Arial"/>
        </w:rPr>
        <w:t>11.9</w:t>
      </w:r>
      <w:r w:rsidRPr="00B13575">
        <w:rPr>
          <w:rFonts w:ascii="Arial" w:hAnsi="Arial" w:cs="Arial"/>
        </w:rPr>
        <w:t xml:space="preserve"> and </w:t>
      </w:r>
      <w:r>
        <w:rPr>
          <w:rFonts w:ascii="Arial" w:hAnsi="Arial" w:cs="Arial"/>
        </w:rPr>
        <w:t>12.9</w:t>
      </w:r>
      <w:r w:rsidRPr="00B13575">
        <w:rPr>
          <w:rFonts w:ascii="Arial" w:hAnsi="Arial" w:cs="Arial"/>
        </w:rPr>
        <w:t xml:space="preserve"> Hectares. </w:t>
      </w:r>
    </w:p>
    <w:p w14:paraId="64238735" w14:textId="77777777" w:rsidR="00360825" w:rsidRPr="00B13575" w:rsidRDefault="00360825" w:rsidP="001A7584">
      <w:pPr>
        <w:pStyle w:val="Heading4"/>
        <w:ind w:firstLine="0"/>
      </w:pPr>
      <w:r w:rsidRPr="00B13575">
        <w:t>Employment Floorspace and Land Requirement – Chichester – 2021-2039</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878"/>
        <w:gridCol w:w="1878"/>
        <w:gridCol w:w="1878"/>
        <w:gridCol w:w="1879"/>
      </w:tblGrid>
      <w:tr w:rsidR="00360825" w:rsidRPr="00B13575" w14:paraId="380F040B" w14:textId="77777777" w:rsidTr="00C04569">
        <w:trPr>
          <w:trHeight w:hRule="exact" w:val="311"/>
        </w:trPr>
        <w:tc>
          <w:tcPr>
            <w:tcW w:w="1276" w:type="dxa"/>
            <w:shd w:val="clear" w:color="000000" w:fill="002060"/>
            <w:vAlign w:val="bottom"/>
          </w:tcPr>
          <w:p w14:paraId="4206E59A" w14:textId="77777777" w:rsidR="00360825" w:rsidRPr="00B13575" w:rsidRDefault="00360825" w:rsidP="00C04569">
            <w:pPr>
              <w:rPr>
                <w:rFonts w:ascii="Arial" w:hAnsi="Arial" w:cs="Arial"/>
                <w:b/>
                <w:bCs/>
                <w:color w:val="FFFFFF"/>
              </w:rPr>
            </w:pPr>
          </w:p>
        </w:tc>
        <w:tc>
          <w:tcPr>
            <w:tcW w:w="3756" w:type="dxa"/>
            <w:gridSpan w:val="2"/>
            <w:shd w:val="clear" w:color="000000" w:fill="002060"/>
            <w:vAlign w:val="bottom"/>
          </w:tcPr>
          <w:p w14:paraId="1DA32D9F" w14:textId="77777777" w:rsidR="00360825" w:rsidRPr="00B13575" w:rsidRDefault="00360825" w:rsidP="00C04569">
            <w:pPr>
              <w:jc w:val="center"/>
              <w:rPr>
                <w:rFonts w:ascii="Arial" w:hAnsi="Arial" w:cs="Arial"/>
                <w:color w:val="FFFFFF"/>
              </w:rPr>
            </w:pPr>
            <w:r w:rsidRPr="00B13575">
              <w:rPr>
                <w:rFonts w:ascii="Arial" w:hAnsi="Arial" w:cs="Arial"/>
                <w:color w:val="FFFFFF"/>
              </w:rPr>
              <w:t>Baseline</w:t>
            </w:r>
          </w:p>
        </w:tc>
        <w:tc>
          <w:tcPr>
            <w:tcW w:w="3757" w:type="dxa"/>
            <w:gridSpan w:val="2"/>
            <w:shd w:val="clear" w:color="000000" w:fill="002060"/>
            <w:vAlign w:val="bottom"/>
          </w:tcPr>
          <w:p w14:paraId="1819FD16" w14:textId="77777777" w:rsidR="00360825" w:rsidRPr="00B13575" w:rsidRDefault="00360825" w:rsidP="00C04569">
            <w:pPr>
              <w:jc w:val="center"/>
              <w:rPr>
                <w:rFonts w:ascii="Arial" w:hAnsi="Arial" w:cs="Arial"/>
                <w:color w:val="FFFFFF"/>
              </w:rPr>
            </w:pPr>
            <w:r w:rsidRPr="00B13575">
              <w:rPr>
                <w:rFonts w:ascii="Arial" w:hAnsi="Arial" w:cs="Arial"/>
                <w:color w:val="FFFFFF"/>
              </w:rPr>
              <w:t>Growth</w:t>
            </w:r>
          </w:p>
        </w:tc>
      </w:tr>
      <w:tr w:rsidR="00360825" w:rsidRPr="00B13575" w14:paraId="165574F5" w14:textId="77777777" w:rsidTr="00C14995">
        <w:trPr>
          <w:trHeight w:hRule="exact" w:val="1503"/>
        </w:trPr>
        <w:tc>
          <w:tcPr>
            <w:tcW w:w="1276" w:type="dxa"/>
            <w:shd w:val="clear" w:color="000000" w:fill="002060"/>
            <w:vAlign w:val="bottom"/>
            <w:hideMark/>
          </w:tcPr>
          <w:p w14:paraId="331AE5AD" w14:textId="77777777" w:rsidR="00360825" w:rsidRPr="00B13575" w:rsidRDefault="00360825" w:rsidP="00C04569">
            <w:pPr>
              <w:rPr>
                <w:rFonts w:ascii="Arial" w:hAnsi="Arial" w:cs="Arial"/>
                <w:b/>
                <w:bCs/>
                <w:color w:val="FFFFFF"/>
              </w:rPr>
            </w:pPr>
          </w:p>
        </w:tc>
        <w:tc>
          <w:tcPr>
            <w:tcW w:w="1878" w:type="dxa"/>
            <w:shd w:val="clear" w:color="000000" w:fill="002060"/>
            <w:vAlign w:val="bottom"/>
          </w:tcPr>
          <w:p w14:paraId="59812AB7" w14:textId="6370E76F" w:rsidR="00C14995" w:rsidRDefault="00360825" w:rsidP="00C14995">
            <w:pPr>
              <w:spacing w:after="0"/>
              <w:jc w:val="center"/>
              <w:rPr>
                <w:rFonts w:ascii="Arial" w:hAnsi="Arial" w:cs="Arial"/>
                <w:color w:val="FFFFFF"/>
              </w:rPr>
            </w:pPr>
            <w:r w:rsidRPr="00B13575">
              <w:rPr>
                <w:rFonts w:ascii="Arial" w:hAnsi="Arial" w:cs="Arial"/>
                <w:color w:val="FFFFFF"/>
              </w:rPr>
              <w:t xml:space="preserve">Employment Floorspace Requirement </w:t>
            </w:r>
          </w:p>
          <w:p w14:paraId="29E9E2DC" w14:textId="589EA733" w:rsidR="00360825" w:rsidRPr="00B13575" w:rsidRDefault="00360825" w:rsidP="00C14995">
            <w:pPr>
              <w:spacing w:after="0"/>
              <w:jc w:val="center"/>
              <w:rPr>
                <w:rFonts w:ascii="Arial" w:hAnsi="Arial" w:cs="Arial"/>
                <w:color w:val="FFFFFF"/>
              </w:rPr>
            </w:pPr>
            <w:r w:rsidRPr="00B13575">
              <w:rPr>
                <w:rFonts w:ascii="Arial" w:hAnsi="Arial" w:cs="Arial"/>
                <w:color w:val="FFFFFF"/>
              </w:rPr>
              <w:t>(sq. m)</w:t>
            </w:r>
          </w:p>
        </w:tc>
        <w:tc>
          <w:tcPr>
            <w:tcW w:w="1878" w:type="dxa"/>
            <w:shd w:val="clear" w:color="000000" w:fill="002060"/>
            <w:vAlign w:val="bottom"/>
          </w:tcPr>
          <w:p w14:paraId="0CB0D091" w14:textId="77777777" w:rsidR="00360825" w:rsidRPr="00B13575" w:rsidRDefault="00360825" w:rsidP="00C04569">
            <w:pPr>
              <w:jc w:val="center"/>
              <w:rPr>
                <w:rFonts w:ascii="Arial" w:hAnsi="Arial" w:cs="Arial"/>
                <w:color w:val="FFFFFF"/>
              </w:rPr>
            </w:pPr>
            <w:r w:rsidRPr="00B13575">
              <w:rPr>
                <w:rFonts w:ascii="Arial" w:hAnsi="Arial" w:cs="Arial"/>
                <w:color w:val="FFFFFF"/>
              </w:rPr>
              <w:t>Employment Land Requirement (Ha)</w:t>
            </w:r>
          </w:p>
        </w:tc>
        <w:tc>
          <w:tcPr>
            <w:tcW w:w="1878" w:type="dxa"/>
            <w:shd w:val="clear" w:color="000000" w:fill="002060"/>
            <w:vAlign w:val="bottom"/>
            <w:hideMark/>
          </w:tcPr>
          <w:p w14:paraId="17FF5D24" w14:textId="77777777" w:rsidR="00C14995" w:rsidRDefault="00360825" w:rsidP="00C14995">
            <w:pPr>
              <w:spacing w:after="0"/>
              <w:jc w:val="center"/>
              <w:rPr>
                <w:rFonts w:ascii="Arial" w:hAnsi="Arial" w:cs="Arial"/>
                <w:color w:val="FFFFFF"/>
              </w:rPr>
            </w:pPr>
            <w:r w:rsidRPr="00B13575">
              <w:rPr>
                <w:rFonts w:ascii="Arial" w:hAnsi="Arial" w:cs="Arial"/>
                <w:color w:val="FFFFFF"/>
              </w:rPr>
              <w:t xml:space="preserve">Employment Floorspace Requirement </w:t>
            </w:r>
          </w:p>
          <w:p w14:paraId="763DF874" w14:textId="44E4C8FD" w:rsidR="00360825" w:rsidRPr="00B13575" w:rsidRDefault="00360825" w:rsidP="00C14995">
            <w:pPr>
              <w:spacing w:after="0"/>
              <w:jc w:val="center"/>
              <w:rPr>
                <w:rFonts w:ascii="Arial" w:hAnsi="Arial" w:cs="Arial"/>
                <w:color w:val="FFFFFF"/>
              </w:rPr>
            </w:pPr>
            <w:r w:rsidRPr="00B13575">
              <w:rPr>
                <w:rFonts w:ascii="Arial" w:hAnsi="Arial" w:cs="Arial"/>
                <w:color w:val="FFFFFF"/>
              </w:rPr>
              <w:t>(sq. m)</w:t>
            </w:r>
          </w:p>
        </w:tc>
        <w:tc>
          <w:tcPr>
            <w:tcW w:w="1879" w:type="dxa"/>
            <w:shd w:val="clear" w:color="000000" w:fill="002060"/>
            <w:vAlign w:val="bottom"/>
            <w:hideMark/>
          </w:tcPr>
          <w:p w14:paraId="427179AB" w14:textId="77777777" w:rsidR="00360825" w:rsidRPr="00B13575" w:rsidRDefault="00360825" w:rsidP="00C04569">
            <w:pPr>
              <w:jc w:val="center"/>
              <w:rPr>
                <w:rFonts w:ascii="Arial" w:hAnsi="Arial" w:cs="Arial"/>
                <w:color w:val="FFFFFF"/>
              </w:rPr>
            </w:pPr>
            <w:r w:rsidRPr="00B13575">
              <w:rPr>
                <w:rFonts w:ascii="Arial" w:hAnsi="Arial" w:cs="Arial"/>
                <w:color w:val="FFFFFF"/>
              </w:rPr>
              <w:t>Employment Land Requirement (Ha)</w:t>
            </w:r>
          </w:p>
        </w:tc>
      </w:tr>
      <w:tr w:rsidR="00360825" w:rsidRPr="00B13575" w14:paraId="689CCAA0" w14:textId="77777777" w:rsidTr="00C04569">
        <w:trPr>
          <w:trHeight w:hRule="exact" w:val="284"/>
        </w:trPr>
        <w:tc>
          <w:tcPr>
            <w:tcW w:w="1276" w:type="dxa"/>
            <w:shd w:val="clear" w:color="auto" w:fill="auto"/>
            <w:noWrap/>
            <w:vAlign w:val="center"/>
            <w:hideMark/>
          </w:tcPr>
          <w:p w14:paraId="67749AB1" w14:textId="77777777" w:rsidR="00360825" w:rsidRPr="00B13575" w:rsidRDefault="00360825" w:rsidP="00C04569">
            <w:pPr>
              <w:jc w:val="left"/>
              <w:rPr>
                <w:rFonts w:ascii="Arial" w:hAnsi="Arial" w:cs="Arial"/>
                <w:color w:val="000000"/>
              </w:rPr>
            </w:pPr>
            <w:r w:rsidRPr="00B13575">
              <w:rPr>
                <w:rFonts w:ascii="Arial" w:hAnsi="Arial" w:cs="Arial"/>
                <w:color w:val="000000"/>
              </w:rPr>
              <w:t>Office</w:t>
            </w:r>
          </w:p>
        </w:tc>
        <w:tc>
          <w:tcPr>
            <w:tcW w:w="1878" w:type="dxa"/>
            <w:vAlign w:val="center"/>
          </w:tcPr>
          <w:p w14:paraId="7F5F6146" w14:textId="77777777" w:rsidR="00360825" w:rsidRPr="00DE1AA1" w:rsidRDefault="00360825" w:rsidP="00C04569">
            <w:pPr>
              <w:jc w:val="center"/>
              <w:rPr>
                <w:rFonts w:ascii="Arial" w:hAnsi="Arial" w:cs="Arial"/>
                <w:color w:val="000000"/>
              </w:rPr>
            </w:pPr>
            <w:r>
              <w:rPr>
                <w:rFonts w:ascii="Arial" w:hAnsi="Arial" w:cs="Arial"/>
                <w:color w:val="000000"/>
              </w:rPr>
              <w:t>19,044 - 26,173</w:t>
            </w:r>
          </w:p>
        </w:tc>
        <w:tc>
          <w:tcPr>
            <w:tcW w:w="1878" w:type="dxa"/>
            <w:vAlign w:val="center"/>
          </w:tcPr>
          <w:p w14:paraId="0923A6A1" w14:textId="77777777" w:rsidR="00360825" w:rsidRPr="00DE1AA1" w:rsidRDefault="00360825" w:rsidP="00C04569">
            <w:pPr>
              <w:jc w:val="center"/>
              <w:rPr>
                <w:rFonts w:ascii="Arial" w:hAnsi="Arial" w:cs="Arial"/>
                <w:color w:val="000000"/>
              </w:rPr>
            </w:pPr>
            <w:r>
              <w:rPr>
                <w:rFonts w:ascii="Arial" w:hAnsi="Arial" w:cs="Arial"/>
                <w:color w:val="000000"/>
              </w:rPr>
              <w:t>2.5-3.5</w:t>
            </w:r>
          </w:p>
        </w:tc>
        <w:tc>
          <w:tcPr>
            <w:tcW w:w="1878" w:type="dxa"/>
            <w:shd w:val="clear" w:color="auto" w:fill="auto"/>
            <w:noWrap/>
            <w:vAlign w:val="center"/>
            <w:hideMark/>
          </w:tcPr>
          <w:p w14:paraId="37BC2D0E" w14:textId="77777777" w:rsidR="00360825" w:rsidRPr="00B13575" w:rsidRDefault="00360825" w:rsidP="00C04569">
            <w:pPr>
              <w:jc w:val="center"/>
              <w:rPr>
                <w:rFonts w:ascii="Arial" w:hAnsi="Arial" w:cs="Arial"/>
                <w:color w:val="000000"/>
              </w:rPr>
            </w:pPr>
            <w:r>
              <w:rPr>
                <w:rFonts w:ascii="Arial" w:hAnsi="Arial" w:cs="Arial"/>
                <w:color w:val="000000"/>
              </w:rPr>
              <w:t>19,495-26,817</w:t>
            </w:r>
          </w:p>
        </w:tc>
        <w:tc>
          <w:tcPr>
            <w:tcW w:w="1879" w:type="dxa"/>
            <w:shd w:val="clear" w:color="auto" w:fill="auto"/>
            <w:noWrap/>
            <w:vAlign w:val="center"/>
            <w:hideMark/>
          </w:tcPr>
          <w:p w14:paraId="49193F43" w14:textId="77777777" w:rsidR="00360825" w:rsidRPr="00B13575" w:rsidRDefault="00360825" w:rsidP="00C04569">
            <w:pPr>
              <w:jc w:val="center"/>
              <w:rPr>
                <w:rFonts w:ascii="Arial" w:hAnsi="Arial" w:cs="Arial"/>
                <w:color w:val="000000"/>
              </w:rPr>
            </w:pPr>
            <w:r>
              <w:rPr>
                <w:rFonts w:ascii="Arial" w:hAnsi="Arial" w:cs="Arial"/>
                <w:color w:val="000000"/>
              </w:rPr>
              <w:t>2.6-3.6</w:t>
            </w:r>
          </w:p>
        </w:tc>
      </w:tr>
      <w:tr w:rsidR="00360825" w:rsidRPr="00B13575" w14:paraId="059862D9" w14:textId="77777777" w:rsidTr="00C04569">
        <w:trPr>
          <w:trHeight w:hRule="exact" w:val="284"/>
        </w:trPr>
        <w:tc>
          <w:tcPr>
            <w:tcW w:w="1276" w:type="dxa"/>
            <w:shd w:val="clear" w:color="auto" w:fill="auto"/>
            <w:noWrap/>
            <w:vAlign w:val="center"/>
            <w:hideMark/>
          </w:tcPr>
          <w:p w14:paraId="62163B6F" w14:textId="77777777" w:rsidR="00360825" w:rsidRPr="00B13575" w:rsidRDefault="00360825" w:rsidP="00C04569">
            <w:pPr>
              <w:jc w:val="left"/>
              <w:rPr>
                <w:rFonts w:ascii="Arial" w:hAnsi="Arial" w:cs="Arial"/>
                <w:color w:val="000000"/>
              </w:rPr>
            </w:pPr>
            <w:r w:rsidRPr="00B13575">
              <w:rPr>
                <w:rFonts w:ascii="Arial" w:hAnsi="Arial" w:cs="Arial"/>
                <w:color w:val="000000"/>
              </w:rPr>
              <w:t>Factory</w:t>
            </w:r>
          </w:p>
        </w:tc>
        <w:tc>
          <w:tcPr>
            <w:tcW w:w="1878" w:type="dxa"/>
            <w:vAlign w:val="center"/>
          </w:tcPr>
          <w:p w14:paraId="09F2ECF7" w14:textId="77777777" w:rsidR="00360825" w:rsidRPr="00DE1AA1" w:rsidRDefault="00360825" w:rsidP="00C04569">
            <w:pPr>
              <w:jc w:val="center"/>
              <w:rPr>
                <w:rFonts w:ascii="Arial" w:hAnsi="Arial" w:cs="Arial"/>
                <w:color w:val="000000"/>
              </w:rPr>
            </w:pPr>
            <w:r>
              <w:rPr>
                <w:rFonts w:ascii="Arial" w:hAnsi="Arial" w:cs="Arial"/>
                <w:color w:val="000000"/>
              </w:rPr>
              <w:t>-74,283</w:t>
            </w:r>
          </w:p>
        </w:tc>
        <w:tc>
          <w:tcPr>
            <w:tcW w:w="1878" w:type="dxa"/>
            <w:vAlign w:val="center"/>
          </w:tcPr>
          <w:p w14:paraId="477978D3" w14:textId="77777777" w:rsidR="00360825" w:rsidRPr="00DE1AA1" w:rsidRDefault="00360825" w:rsidP="00C04569">
            <w:pPr>
              <w:jc w:val="center"/>
              <w:rPr>
                <w:rFonts w:ascii="Arial" w:hAnsi="Arial" w:cs="Arial"/>
                <w:color w:val="000000"/>
              </w:rPr>
            </w:pPr>
            <w:r>
              <w:rPr>
                <w:rFonts w:ascii="Arial" w:hAnsi="Arial" w:cs="Arial"/>
                <w:color w:val="000000"/>
              </w:rPr>
              <w:t>0.0</w:t>
            </w:r>
          </w:p>
        </w:tc>
        <w:tc>
          <w:tcPr>
            <w:tcW w:w="1878" w:type="dxa"/>
            <w:shd w:val="clear" w:color="auto" w:fill="auto"/>
            <w:noWrap/>
            <w:vAlign w:val="center"/>
            <w:hideMark/>
          </w:tcPr>
          <w:p w14:paraId="1A1D203B" w14:textId="77777777" w:rsidR="00360825" w:rsidRPr="00B13575" w:rsidRDefault="00360825" w:rsidP="00C04569">
            <w:pPr>
              <w:jc w:val="center"/>
              <w:rPr>
                <w:rFonts w:ascii="Arial" w:hAnsi="Arial" w:cs="Arial"/>
                <w:color w:val="000000"/>
              </w:rPr>
            </w:pPr>
            <w:r>
              <w:rPr>
                <w:rFonts w:ascii="Arial" w:hAnsi="Arial" w:cs="Arial"/>
                <w:color w:val="000000"/>
              </w:rPr>
              <w:t>8,486</w:t>
            </w:r>
          </w:p>
        </w:tc>
        <w:tc>
          <w:tcPr>
            <w:tcW w:w="1879" w:type="dxa"/>
            <w:shd w:val="clear" w:color="auto" w:fill="auto"/>
            <w:noWrap/>
            <w:vAlign w:val="center"/>
            <w:hideMark/>
          </w:tcPr>
          <w:p w14:paraId="6A6A2849" w14:textId="77777777" w:rsidR="00360825" w:rsidRPr="00B13575" w:rsidRDefault="00360825" w:rsidP="00C04569">
            <w:pPr>
              <w:jc w:val="center"/>
              <w:rPr>
                <w:rFonts w:ascii="Arial" w:hAnsi="Arial" w:cs="Arial"/>
                <w:color w:val="000000"/>
              </w:rPr>
            </w:pPr>
            <w:r>
              <w:rPr>
                <w:rFonts w:ascii="Arial" w:hAnsi="Arial" w:cs="Arial"/>
                <w:color w:val="000000"/>
              </w:rPr>
              <w:t>2.1</w:t>
            </w:r>
          </w:p>
        </w:tc>
      </w:tr>
      <w:tr w:rsidR="00360825" w:rsidRPr="00B13575" w14:paraId="5A41D514" w14:textId="77777777" w:rsidTr="00C04569">
        <w:trPr>
          <w:trHeight w:hRule="exact" w:val="284"/>
        </w:trPr>
        <w:tc>
          <w:tcPr>
            <w:tcW w:w="1276" w:type="dxa"/>
            <w:shd w:val="clear" w:color="auto" w:fill="auto"/>
            <w:noWrap/>
            <w:vAlign w:val="center"/>
            <w:hideMark/>
          </w:tcPr>
          <w:p w14:paraId="4214C8A4" w14:textId="77777777" w:rsidR="00360825" w:rsidRPr="00B13575" w:rsidRDefault="00360825" w:rsidP="00C04569">
            <w:pPr>
              <w:jc w:val="left"/>
              <w:rPr>
                <w:rFonts w:ascii="Arial" w:hAnsi="Arial" w:cs="Arial"/>
                <w:color w:val="000000"/>
              </w:rPr>
            </w:pPr>
            <w:r w:rsidRPr="00B13575">
              <w:rPr>
                <w:rFonts w:ascii="Arial" w:hAnsi="Arial" w:cs="Arial"/>
                <w:color w:val="000000"/>
              </w:rPr>
              <w:t>Warehouse</w:t>
            </w:r>
          </w:p>
        </w:tc>
        <w:tc>
          <w:tcPr>
            <w:tcW w:w="1878" w:type="dxa"/>
            <w:vAlign w:val="center"/>
          </w:tcPr>
          <w:p w14:paraId="3262230E" w14:textId="77777777" w:rsidR="00360825" w:rsidRPr="00DE1AA1" w:rsidRDefault="00360825" w:rsidP="00C04569">
            <w:pPr>
              <w:jc w:val="center"/>
              <w:rPr>
                <w:rFonts w:ascii="Arial" w:hAnsi="Arial" w:cs="Arial"/>
                <w:color w:val="000000"/>
              </w:rPr>
            </w:pPr>
            <w:r>
              <w:rPr>
                <w:rFonts w:ascii="Arial" w:hAnsi="Arial" w:cs="Arial"/>
                <w:color w:val="000000"/>
              </w:rPr>
              <w:t>18,001</w:t>
            </w:r>
          </w:p>
        </w:tc>
        <w:tc>
          <w:tcPr>
            <w:tcW w:w="1878" w:type="dxa"/>
            <w:vAlign w:val="center"/>
          </w:tcPr>
          <w:p w14:paraId="79E7A401" w14:textId="77777777" w:rsidR="00360825" w:rsidRPr="00DE1AA1" w:rsidRDefault="00360825" w:rsidP="00C04569">
            <w:pPr>
              <w:jc w:val="center"/>
              <w:rPr>
                <w:rFonts w:ascii="Arial" w:hAnsi="Arial" w:cs="Arial"/>
                <w:color w:val="000000"/>
              </w:rPr>
            </w:pPr>
            <w:r>
              <w:rPr>
                <w:rFonts w:ascii="Arial" w:hAnsi="Arial" w:cs="Arial"/>
                <w:color w:val="000000"/>
              </w:rPr>
              <w:t>0.0</w:t>
            </w:r>
          </w:p>
        </w:tc>
        <w:tc>
          <w:tcPr>
            <w:tcW w:w="1878" w:type="dxa"/>
            <w:shd w:val="clear" w:color="auto" w:fill="auto"/>
            <w:noWrap/>
            <w:vAlign w:val="center"/>
            <w:hideMark/>
          </w:tcPr>
          <w:p w14:paraId="468BA4FC" w14:textId="77777777" w:rsidR="00360825" w:rsidRPr="00B13575" w:rsidRDefault="00360825" w:rsidP="00C04569">
            <w:pPr>
              <w:jc w:val="center"/>
              <w:rPr>
                <w:rFonts w:ascii="Arial" w:hAnsi="Arial" w:cs="Arial"/>
                <w:color w:val="000000"/>
              </w:rPr>
            </w:pPr>
            <w:r>
              <w:rPr>
                <w:rFonts w:ascii="Arial" w:hAnsi="Arial" w:cs="Arial"/>
                <w:color w:val="000000"/>
              </w:rPr>
              <w:t>36,064</w:t>
            </w:r>
          </w:p>
        </w:tc>
        <w:tc>
          <w:tcPr>
            <w:tcW w:w="1879" w:type="dxa"/>
            <w:shd w:val="clear" w:color="auto" w:fill="auto"/>
            <w:noWrap/>
            <w:vAlign w:val="center"/>
            <w:hideMark/>
          </w:tcPr>
          <w:p w14:paraId="764543AA" w14:textId="77777777" w:rsidR="00360825" w:rsidRPr="00B13575" w:rsidRDefault="00360825" w:rsidP="00C04569">
            <w:pPr>
              <w:jc w:val="center"/>
              <w:rPr>
                <w:rFonts w:ascii="Arial" w:hAnsi="Arial" w:cs="Arial"/>
                <w:color w:val="000000"/>
              </w:rPr>
            </w:pPr>
            <w:r>
              <w:rPr>
                <w:rFonts w:ascii="Arial" w:hAnsi="Arial" w:cs="Arial"/>
                <w:color w:val="000000"/>
              </w:rPr>
              <w:t>7.2</w:t>
            </w:r>
          </w:p>
        </w:tc>
      </w:tr>
      <w:tr w:rsidR="00360825" w:rsidRPr="00B13575" w14:paraId="10181E95" w14:textId="77777777" w:rsidTr="00C14995">
        <w:trPr>
          <w:trHeight w:hRule="exact" w:val="417"/>
        </w:trPr>
        <w:tc>
          <w:tcPr>
            <w:tcW w:w="1276" w:type="dxa"/>
            <w:shd w:val="clear" w:color="auto" w:fill="auto"/>
            <w:noWrap/>
            <w:vAlign w:val="center"/>
            <w:hideMark/>
          </w:tcPr>
          <w:p w14:paraId="2A985814" w14:textId="77777777" w:rsidR="00360825" w:rsidRPr="00B13575" w:rsidRDefault="00360825" w:rsidP="00C04569">
            <w:pPr>
              <w:jc w:val="left"/>
              <w:rPr>
                <w:rFonts w:ascii="Arial" w:hAnsi="Arial" w:cs="Arial"/>
                <w:color w:val="000000"/>
              </w:rPr>
            </w:pPr>
            <w:r w:rsidRPr="00B13575">
              <w:rPr>
                <w:rFonts w:ascii="Arial" w:hAnsi="Arial" w:cs="Arial"/>
                <w:color w:val="000000"/>
              </w:rPr>
              <w:t>Total</w:t>
            </w:r>
          </w:p>
        </w:tc>
        <w:tc>
          <w:tcPr>
            <w:tcW w:w="1878" w:type="dxa"/>
            <w:vAlign w:val="center"/>
          </w:tcPr>
          <w:p w14:paraId="3177BBC0"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-37,239 - -30,109</w:t>
            </w:r>
          </w:p>
        </w:tc>
        <w:tc>
          <w:tcPr>
            <w:tcW w:w="1878" w:type="dxa"/>
            <w:vAlign w:val="center"/>
          </w:tcPr>
          <w:p w14:paraId="596A8F56"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-12.4 - -11.5</w:t>
            </w:r>
          </w:p>
        </w:tc>
        <w:tc>
          <w:tcPr>
            <w:tcW w:w="1878" w:type="dxa"/>
            <w:shd w:val="clear" w:color="auto" w:fill="auto"/>
            <w:noWrap/>
            <w:vAlign w:val="center"/>
            <w:hideMark/>
          </w:tcPr>
          <w:p w14:paraId="6809C73B" w14:textId="77777777" w:rsidR="00360825" w:rsidRPr="00B13575" w:rsidRDefault="00360825" w:rsidP="00C04569">
            <w:pPr>
              <w:spacing w:after="0" w:line="240" w:lineRule="auto"/>
              <w:jc w:val="center"/>
              <w:rPr>
                <w:rFonts w:ascii="Arial" w:hAnsi="Arial" w:cs="Arial"/>
                <w:color w:val="000000"/>
              </w:rPr>
            </w:pPr>
            <w:r>
              <w:rPr>
                <w:rFonts w:ascii="Arial" w:hAnsi="Arial" w:cs="Arial"/>
                <w:color w:val="000000"/>
              </w:rPr>
              <w:t>64,044-71,367</w:t>
            </w:r>
          </w:p>
        </w:tc>
        <w:tc>
          <w:tcPr>
            <w:tcW w:w="1879" w:type="dxa"/>
            <w:shd w:val="clear" w:color="auto" w:fill="auto"/>
            <w:noWrap/>
            <w:vAlign w:val="center"/>
            <w:hideMark/>
          </w:tcPr>
          <w:p w14:paraId="5A2D1F56"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11.9-12.9</w:t>
            </w:r>
          </w:p>
        </w:tc>
      </w:tr>
    </w:tbl>
    <w:p w14:paraId="0859E2AB" w14:textId="77777777" w:rsidR="00360825" w:rsidRPr="0048621B" w:rsidRDefault="00360825" w:rsidP="00360825">
      <w:pPr>
        <w:pStyle w:val="11Bodytext"/>
        <w:tabs>
          <w:tab w:val="clear" w:pos="794"/>
        </w:tabs>
        <w:rPr>
          <w:i/>
          <w:iCs/>
        </w:rPr>
      </w:pPr>
      <w:r w:rsidRPr="0048621B">
        <w:rPr>
          <w:i/>
          <w:iCs/>
        </w:rPr>
        <w:t>Source: Iceni Projects based on OE data</w:t>
      </w:r>
    </w:p>
    <w:p w14:paraId="7B5977DC"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It is of note that the figures below do not necessarily accord with the commercial property market findings, and this is tested further in the completions trend that follows – with a weakening link between job growth and floorspace needs notably in manufacturing requirements. </w:t>
      </w:r>
    </w:p>
    <w:p w14:paraId="3258268A"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baseline scenario sees a negative demand for industrial space which is</w:t>
      </w:r>
      <w:r>
        <w:rPr>
          <w:rFonts w:ascii="Arial" w:hAnsi="Arial" w:cs="Arial"/>
        </w:rPr>
        <w:t xml:space="preserve"> largely</w:t>
      </w:r>
      <w:r w:rsidRPr="00B13575">
        <w:rPr>
          <w:rFonts w:ascii="Arial" w:hAnsi="Arial" w:cs="Arial"/>
        </w:rPr>
        <w:t xml:space="preserve"> driven by the forecast decline in manufacturing employment.  Because of the significant decline in industrial floorspace demand we do not consider this to be a realistic scenario and have not considered it further.</w:t>
      </w:r>
    </w:p>
    <w:p w14:paraId="7ACB3A18" w14:textId="77777777" w:rsidR="00360825" w:rsidRPr="00B13575" w:rsidRDefault="00360825" w:rsidP="00360825">
      <w:pPr>
        <w:pStyle w:val="Heading3"/>
        <w:rPr>
          <w:rFonts w:ascii="Arial" w:hAnsi="Arial" w:cs="Arial"/>
        </w:rPr>
      </w:pPr>
      <w:r w:rsidRPr="00B13575">
        <w:rPr>
          <w:rFonts w:ascii="Arial" w:hAnsi="Arial" w:cs="Arial"/>
        </w:rPr>
        <w:t>Covid Adjustment</w:t>
      </w:r>
    </w:p>
    <w:p w14:paraId="6180B33D"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The forecast growth also requires adjustment as it reflects post pandemic recovery that will not require additional floorspace i.e. jobs will be re-absorbed. We have therefore made a further calculation which seeks to understand the extent of recovery by calculating negative need generated by the decline in employment between 2019 and 2021. </w:t>
      </w:r>
    </w:p>
    <w:p w14:paraId="21690334" w14:textId="278E7213"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According to OE the number of jobs fell by around 3,000 in the period 2019 to 2021. By calculating the level of floorspace associated with his loss, in the same way as the core analysis set out above we can understand what level of need is associated with the pandemic recovery</w:t>
      </w:r>
      <w:r w:rsidR="002B1913" w:rsidRPr="00B13575">
        <w:rPr>
          <w:rFonts w:ascii="Arial" w:hAnsi="Arial" w:cs="Arial"/>
        </w:rPr>
        <w:t xml:space="preserve">. </w:t>
      </w:r>
    </w:p>
    <w:p w14:paraId="54ACA5C6" w14:textId="078A61E5"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In doing so we are effectively saying that the council are not required to plan any additional floorspace for the first 3,000 jobs in the recovery</w:t>
      </w:r>
      <w:r w:rsidR="002B1913" w:rsidRPr="00B13575">
        <w:rPr>
          <w:rFonts w:ascii="Arial" w:hAnsi="Arial" w:cs="Arial"/>
        </w:rPr>
        <w:t xml:space="preserve">. </w:t>
      </w:r>
      <w:r w:rsidRPr="00B13575">
        <w:rPr>
          <w:rFonts w:ascii="Arial" w:hAnsi="Arial" w:cs="Arial"/>
        </w:rPr>
        <w:t xml:space="preserve">This is because we are assuming that these jobs can be </w:t>
      </w:r>
      <w:r>
        <w:rPr>
          <w:rFonts w:ascii="Arial" w:hAnsi="Arial" w:cs="Arial"/>
        </w:rPr>
        <w:t>re-</w:t>
      </w:r>
      <w:r w:rsidRPr="00B13575">
        <w:rPr>
          <w:rFonts w:ascii="Arial" w:hAnsi="Arial" w:cs="Arial"/>
        </w:rPr>
        <w:t xml:space="preserve">absorbed by the existing stock. </w:t>
      </w:r>
    </w:p>
    <w:p w14:paraId="7E608C7F" w14:textId="3C357851"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lastRenderedPageBreak/>
        <w:t>As shown in the table below with the Covid adjustment reduces the overall need by 6.</w:t>
      </w:r>
      <w:r>
        <w:rPr>
          <w:rFonts w:ascii="Arial" w:hAnsi="Arial" w:cs="Arial"/>
        </w:rPr>
        <w:t>7</w:t>
      </w:r>
      <w:r w:rsidRPr="00B13575">
        <w:rPr>
          <w:rFonts w:ascii="Arial" w:hAnsi="Arial" w:cs="Arial"/>
        </w:rPr>
        <w:t xml:space="preserve"> Ha which is </w:t>
      </w:r>
      <w:r>
        <w:rPr>
          <w:rFonts w:ascii="Arial" w:hAnsi="Arial" w:cs="Arial"/>
        </w:rPr>
        <w:t xml:space="preserve">almost </w:t>
      </w:r>
      <w:r w:rsidRPr="00B13575">
        <w:rPr>
          <w:rFonts w:ascii="Arial" w:hAnsi="Arial" w:cs="Arial"/>
        </w:rPr>
        <w:t>entirely comprised of industrial space. This is because office based industries were not as impacted by the pandemic as much, as people could work from home thus mitigating job losses</w:t>
      </w:r>
      <w:r w:rsidR="002B1913" w:rsidRPr="00B13575">
        <w:rPr>
          <w:rFonts w:ascii="Arial" w:hAnsi="Arial" w:cs="Arial"/>
        </w:rPr>
        <w:t>.</w:t>
      </w:r>
      <w:r w:rsidR="002B1913">
        <w:rPr>
          <w:rFonts w:ascii="Arial" w:hAnsi="Arial" w:cs="Arial"/>
        </w:rPr>
        <w:t xml:space="preserve"> </w:t>
      </w:r>
      <w:r>
        <w:rPr>
          <w:rFonts w:ascii="Arial" w:hAnsi="Arial" w:cs="Arial"/>
        </w:rPr>
        <w:t>The adjustment for office space (especially when adjusted for working from home) is less than 0.5Ha so is not shown in the table below</w:t>
      </w:r>
      <w:r w:rsidR="002B1913">
        <w:rPr>
          <w:rFonts w:ascii="Arial" w:hAnsi="Arial" w:cs="Arial"/>
        </w:rPr>
        <w:t>.</w:t>
      </w:r>
      <w:r w:rsidR="002B1913" w:rsidRPr="00B13575">
        <w:rPr>
          <w:rFonts w:ascii="Arial" w:hAnsi="Arial" w:cs="Arial"/>
        </w:rPr>
        <w:t xml:space="preserve"> </w:t>
      </w:r>
      <w:r w:rsidRPr="00B13575">
        <w:rPr>
          <w:rFonts w:ascii="Arial" w:hAnsi="Arial" w:cs="Arial"/>
        </w:rPr>
        <w:t>The industrial jobs can however return (as they have been) to their former premises without the need to build more, hence this adjustment.</w:t>
      </w:r>
    </w:p>
    <w:p w14:paraId="58FACFBC" w14:textId="77777777" w:rsidR="00360825" w:rsidRPr="00B13575" w:rsidRDefault="00360825" w:rsidP="001A7584">
      <w:pPr>
        <w:pStyle w:val="Heading4"/>
        <w:ind w:firstLine="0"/>
      </w:pPr>
      <w:r w:rsidRPr="00B13575">
        <w:t>Covid Adjustment– Chichester District – 2021-2039</w:t>
      </w:r>
    </w:p>
    <w:tbl>
      <w:tblPr>
        <w:tblW w:w="4383" w:type="dxa"/>
        <w:tblInd w:w="-5" w:type="dxa"/>
        <w:tblLook w:val="04A0" w:firstRow="1" w:lastRow="0" w:firstColumn="1" w:lastColumn="0" w:noHBand="0" w:noVBand="1"/>
      </w:tblPr>
      <w:tblGrid>
        <w:gridCol w:w="2105"/>
        <w:gridCol w:w="2278"/>
      </w:tblGrid>
      <w:tr w:rsidR="00360825" w:rsidRPr="00B13575" w14:paraId="5232818A" w14:textId="77777777" w:rsidTr="00C04569">
        <w:trPr>
          <w:trHeight w:hRule="exact" w:val="374"/>
        </w:trPr>
        <w:tc>
          <w:tcPr>
            <w:tcW w:w="2105"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290032D8" w14:textId="77777777" w:rsidR="00360825" w:rsidRPr="00B13575" w:rsidRDefault="00360825" w:rsidP="00C04569">
            <w:pPr>
              <w:rPr>
                <w:rFonts w:ascii="Arial" w:hAnsi="Arial" w:cs="Arial"/>
                <w:b/>
                <w:bCs/>
                <w:color w:val="FFFFFF"/>
              </w:rPr>
            </w:pPr>
          </w:p>
        </w:tc>
        <w:tc>
          <w:tcPr>
            <w:tcW w:w="2278" w:type="dxa"/>
            <w:tcBorders>
              <w:top w:val="single" w:sz="4" w:space="0" w:color="auto"/>
              <w:left w:val="nil"/>
              <w:bottom w:val="single" w:sz="4" w:space="0" w:color="auto"/>
              <w:right w:val="single" w:sz="4" w:space="0" w:color="auto"/>
            </w:tcBorders>
            <w:shd w:val="clear" w:color="000000" w:fill="002060"/>
            <w:vAlign w:val="bottom"/>
            <w:hideMark/>
          </w:tcPr>
          <w:p w14:paraId="07AB5041" w14:textId="77777777" w:rsidR="00360825" w:rsidRPr="00B13575" w:rsidRDefault="00360825" w:rsidP="00C04569">
            <w:pPr>
              <w:jc w:val="center"/>
              <w:rPr>
                <w:rFonts w:ascii="Arial" w:hAnsi="Arial" w:cs="Arial"/>
                <w:color w:val="FFFFFF"/>
              </w:rPr>
            </w:pPr>
            <w:r w:rsidRPr="00B13575">
              <w:rPr>
                <w:rFonts w:ascii="Arial" w:hAnsi="Arial" w:cs="Arial"/>
                <w:color w:val="FFFFFF"/>
              </w:rPr>
              <w:t>Covid Adjustment</w:t>
            </w:r>
          </w:p>
        </w:tc>
      </w:tr>
      <w:tr w:rsidR="00360825" w:rsidRPr="00B13575" w14:paraId="73C29A57" w14:textId="77777777" w:rsidTr="00C04569">
        <w:trPr>
          <w:trHeight w:hRule="exact" w:val="284"/>
        </w:trPr>
        <w:tc>
          <w:tcPr>
            <w:tcW w:w="2105" w:type="dxa"/>
            <w:tcBorders>
              <w:top w:val="nil"/>
              <w:left w:val="single" w:sz="4" w:space="0" w:color="auto"/>
              <w:bottom w:val="single" w:sz="4" w:space="0" w:color="auto"/>
              <w:right w:val="single" w:sz="4" w:space="0" w:color="auto"/>
            </w:tcBorders>
            <w:shd w:val="clear" w:color="auto" w:fill="auto"/>
            <w:noWrap/>
            <w:vAlign w:val="bottom"/>
            <w:hideMark/>
          </w:tcPr>
          <w:p w14:paraId="76A06040" w14:textId="77777777" w:rsidR="00360825" w:rsidRPr="00B13575" w:rsidRDefault="00360825" w:rsidP="00C04569">
            <w:pPr>
              <w:rPr>
                <w:rFonts w:ascii="Arial" w:hAnsi="Arial" w:cs="Arial"/>
                <w:color w:val="000000"/>
              </w:rPr>
            </w:pPr>
            <w:r w:rsidRPr="00B13575">
              <w:rPr>
                <w:rFonts w:ascii="Arial" w:hAnsi="Arial" w:cs="Arial"/>
                <w:color w:val="000000"/>
              </w:rPr>
              <w:t>Office</w:t>
            </w:r>
          </w:p>
        </w:tc>
        <w:tc>
          <w:tcPr>
            <w:tcW w:w="2278" w:type="dxa"/>
            <w:tcBorders>
              <w:top w:val="nil"/>
              <w:left w:val="nil"/>
              <w:bottom w:val="single" w:sz="4" w:space="0" w:color="auto"/>
              <w:right w:val="single" w:sz="4" w:space="0" w:color="auto"/>
            </w:tcBorders>
            <w:shd w:val="clear" w:color="auto" w:fill="auto"/>
            <w:noWrap/>
            <w:vAlign w:val="bottom"/>
            <w:hideMark/>
          </w:tcPr>
          <w:p w14:paraId="01995E48" w14:textId="77777777" w:rsidR="00360825" w:rsidRPr="00E30C96" w:rsidRDefault="00360825" w:rsidP="00C04569">
            <w:pPr>
              <w:pStyle w:val="ListParagraph"/>
              <w:ind w:left="0"/>
              <w:jc w:val="center"/>
              <w:rPr>
                <w:rFonts w:ascii="Arial" w:hAnsi="Arial"/>
                <w:color w:val="000000"/>
              </w:rPr>
            </w:pPr>
            <w:r>
              <w:rPr>
                <w:rFonts w:ascii="Arial" w:hAnsi="Arial"/>
                <w:color w:val="000000"/>
              </w:rPr>
              <w:t>0.0</w:t>
            </w:r>
          </w:p>
        </w:tc>
      </w:tr>
      <w:tr w:rsidR="00360825" w:rsidRPr="00B13575" w14:paraId="081AD0B5" w14:textId="77777777" w:rsidTr="00C04569">
        <w:trPr>
          <w:trHeight w:hRule="exact" w:val="284"/>
        </w:trPr>
        <w:tc>
          <w:tcPr>
            <w:tcW w:w="2105" w:type="dxa"/>
            <w:tcBorders>
              <w:top w:val="nil"/>
              <w:left w:val="single" w:sz="4" w:space="0" w:color="auto"/>
              <w:bottom w:val="single" w:sz="4" w:space="0" w:color="auto"/>
              <w:right w:val="single" w:sz="4" w:space="0" w:color="auto"/>
            </w:tcBorders>
            <w:shd w:val="clear" w:color="auto" w:fill="auto"/>
            <w:noWrap/>
            <w:vAlign w:val="bottom"/>
            <w:hideMark/>
          </w:tcPr>
          <w:p w14:paraId="0BA7DF91" w14:textId="77777777" w:rsidR="00360825" w:rsidRPr="00B13575" w:rsidRDefault="00360825" w:rsidP="00C04569">
            <w:pPr>
              <w:rPr>
                <w:rFonts w:ascii="Arial" w:hAnsi="Arial" w:cs="Arial"/>
                <w:color w:val="000000"/>
              </w:rPr>
            </w:pPr>
            <w:r w:rsidRPr="00B13575">
              <w:rPr>
                <w:rFonts w:ascii="Arial" w:hAnsi="Arial" w:cs="Arial"/>
                <w:color w:val="000000"/>
              </w:rPr>
              <w:t>Factory</w:t>
            </w:r>
          </w:p>
        </w:tc>
        <w:tc>
          <w:tcPr>
            <w:tcW w:w="2278" w:type="dxa"/>
            <w:tcBorders>
              <w:top w:val="nil"/>
              <w:left w:val="nil"/>
              <w:bottom w:val="single" w:sz="4" w:space="0" w:color="auto"/>
              <w:right w:val="single" w:sz="4" w:space="0" w:color="auto"/>
            </w:tcBorders>
            <w:shd w:val="clear" w:color="auto" w:fill="auto"/>
            <w:noWrap/>
            <w:vAlign w:val="bottom"/>
            <w:hideMark/>
          </w:tcPr>
          <w:p w14:paraId="4238622B" w14:textId="77777777" w:rsidR="00360825" w:rsidRPr="00B13575" w:rsidRDefault="00360825" w:rsidP="00C04569">
            <w:pPr>
              <w:jc w:val="center"/>
              <w:rPr>
                <w:rFonts w:ascii="Arial" w:hAnsi="Arial" w:cs="Arial"/>
                <w:color w:val="000000"/>
              </w:rPr>
            </w:pPr>
            <w:r w:rsidRPr="00B13575">
              <w:rPr>
                <w:rFonts w:ascii="Arial" w:hAnsi="Arial" w:cs="Arial"/>
                <w:color w:val="000000"/>
                <w:sz w:val="22"/>
                <w:szCs w:val="22"/>
              </w:rPr>
              <w:t>-4.</w:t>
            </w:r>
            <w:r>
              <w:rPr>
                <w:rFonts w:ascii="Arial" w:hAnsi="Arial" w:cs="Arial"/>
                <w:color w:val="000000"/>
                <w:sz w:val="22"/>
                <w:szCs w:val="22"/>
              </w:rPr>
              <w:t>6</w:t>
            </w:r>
          </w:p>
        </w:tc>
      </w:tr>
      <w:tr w:rsidR="00360825" w:rsidRPr="00B13575" w14:paraId="18A71EBE" w14:textId="77777777" w:rsidTr="00C04569">
        <w:trPr>
          <w:trHeight w:hRule="exact" w:val="284"/>
        </w:trPr>
        <w:tc>
          <w:tcPr>
            <w:tcW w:w="2105" w:type="dxa"/>
            <w:tcBorders>
              <w:top w:val="nil"/>
              <w:left w:val="single" w:sz="4" w:space="0" w:color="auto"/>
              <w:bottom w:val="single" w:sz="4" w:space="0" w:color="auto"/>
              <w:right w:val="single" w:sz="4" w:space="0" w:color="auto"/>
            </w:tcBorders>
            <w:shd w:val="clear" w:color="auto" w:fill="auto"/>
            <w:noWrap/>
            <w:vAlign w:val="bottom"/>
            <w:hideMark/>
          </w:tcPr>
          <w:p w14:paraId="07C5755E" w14:textId="77777777" w:rsidR="00360825" w:rsidRPr="00B13575" w:rsidRDefault="00360825" w:rsidP="00C04569">
            <w:pPr>
              <w:rPr>
                <w:rFonts w:ascii="Arial" w:hAnsi="Arial" w:cs="Arial"/>
                <w:color w:val="000000"/>
              </w:rPr>
            </w:pPr>
            <w:r w:rsidRPr="00B13575">
              <w:rPr>
                <w:rFonts w:ascii="Arial" w:hAnsi="Arial" w:cs="Arial"/>
                <w:color w:val="000000"/>
              </w:rPr>
              <w:t>Warehouse</w:t>
            </w:r>
          </w:p>
        </w:tc>
        <w:tc>
          <w:tcPr>
            <w:tcW w:w="2278" w:type="dxa"/>
            <w:tcBorders>
              <w:top w:val="nil"/>
              <w:left w:val="nil"/>
              <w:bottom w:val="single" w:sz="4" w:space="0" w:color="auto"/>
              <w:right w:val="single" w:sz="4" w:space="0" w:color="auto"/>
            </w:tcBorders>
            <w:shd w:val="clear" w:color="auto" w:fill="auto"/>
            <w:noWrap/>
            <w:vAlign w:val="bottom"/>
            <w:hideMark/>
          </w:tcPr>
          <w:p w14:paraId="3D3440CF" w14:textId="77777777" w:rsidR="00360825" w:rsidRPr="00B13575" w:rsidRDefault="00360825" w:rsidP="00C04569">
            <w:pPr>
              <w:jc w:val="center"/>
              <w:rPr>
                <w:rFonts w:ascii="Arial" w:hAnsi="Arial" w:cs="Arial"/>
                <w:color w:val="000000"/>
              </w:rPr>
            </w:pPr>
            <w:r w:rsidRPr="00DE1AA1">
              <w:rPr>
                <w:rFonts w:ascii="Arial" w:hAnsi="Arial" w:cs="Arial"/>
                <w:color w:val="000000"/>
              </w:rPr>
              <w:t>-2.1</w:t>
            </w:r>
          </w:p>
        </w:tc>
      </w:tr>
      <w:tr w:rsidR="00360825" w:rsidRPr="00B13575" w14:paraId="61BD65FC" w14:textId="77777777" w:rsidTr="00C04569">
        <w:trPr>
          <w:trHeight w:hRule="exact" w:val="284"/>
        </w:trPr>
        <w:tc>
          <w:tcPr>
            <w:tcW w:w="2105" w:type="dxa"/>
            <w:tcBorders>
              <w:top w:val="nil"/>
              <w:left w:val="single" w:sz="4" w:space="0" w:color="auto"/>
              <w:bottom w:val="single" w:sz="4" w:space="0" w:color="auto"/>
              <w:right w:val="single" w:sz="4" w:space="0" w:color="auto"/>
            </w:tcBorders>
            <w:shd w:val="clear" w:color="auto" w:fill="auto"/>
            <w:noWrap/>
            <w:vAlign w:val="bottom"/>
            <w:hideMark/>
          </w:tcPr>
          <w:p w14:paraId="5E5314D2" w14:textId="77777777" w:rsidR="00360825" w:rsidRPr="00B13575" w:rsidRDefault="00360825" w:rsidP="00C04569">
            <w:pPr>
              <w:rPr>
                <w:rFonts w:ascii="Arial" w:hAnsi="Arial" w:cs="Arial"/>
                <w:color w:val="000000"/>
              </w:rPr>
            </w:pPr>
            <w:r w:rsidRPr="00B13575">
              <w:rPr>
                <w:rFonts w:ascii="Arial" w:hAnsi="Arial" w:cs="Arial"/>
                <w:color w:val="000000"/>
              </w:rPr>
              <w:t xml:space="preserve">Total </w:t>
            </w:r>
          </w:p>
        </w:tc>
        <w:tc>
          <w:tcPr>
            <w:tcW w:w="2278" w:type="dxa"/>
            <w:tcBorders>
              <w:top w:val="nil"/>
              <w:left w:val="nil"/>
              <w:bottom w:val="single" w:sz="4" w:space="0" w:color="auto"/>
              <w:right w:val="single" w:sz="4" w:space="0" w:color="auto"/>
            </w:tcBorders>
            <w:shd w:val="clear" w:color="auto" w:fill="auto"/>
            <w:noWrap/>
            <w:vAlign w:val="bottom"/>
            <w:hideMark/>
          </w:tcPr>
          <w:p w14:paraId="3452A62A" w14:textId="77777777" w:rsidR="00360825" w:rsidRPr="00B13575" w:rsidRDefault="00360825" w:rsidP="00C04569">
            <w:pPr>
              <w:jc w:val="center"/>
              <w:rPr>
                <w:rFonts w:ascii="Arial" w:hAnsi="Arial" w:cs="Arial"/>
                <w:color w:val="000000"/>
              </w:rPr>
            </w:pPr>
            <w:r w:rsidRPr="00B13575">
              <w:rPr>
                <w:rFonts w:ascii="Arial" w:hAnsi="Arial" w:cs="Arial"/>
                <w:color w:val="000000"/>
                <w:sz w:val="22"/>
                <w:szCs w:val="22"/>
              </w:rPr>
              <w:t>-6.</w:t>
            </w:r>
            <w:r>
              <w:rPr>
                <w:rFonts w:ascii="Arial" w:hAnsi="Arial" w:cs="Arial"/>
                <w:color w:val="000000"/>
                <w:sz w:val="22"/>
                <w:szCs w:val="22"/>
              </w:rPr>
              <w:t>7</w:t>
            </w:r>
          </w:p>
        </w:tc>
      </w:tr>
    </w:tbl>
    <w:p w14:paraId="39FE4E63" w14:textId="77777777" w:rsidR="00360825" w:rsidRPr="00DE1AA1" w:rsidRDefault="00360825" w:rsidP="00360825">
      <w:pPr>
        <w:pStyle w:val="11Bodytext"/>
        <w:tabs>
          <w:tab w:val="clear" w:pos="794"/>
        </w:tabs>
      </w:pPr>
      <w:r w:rsidRPr="00DE1AA1">
        <w:t>Source: Iceni Projects based on OE data</w:t>
      </w:r>
    </w:p>
    <w:p w14:paraId="6C11FDA2" w14:textId="77777777" w:rsidR="00360825" w:rsidRPr="00B13575" w:rsidRDefault="00360825" w:rsidP="00360825">
      <w:pPr>
        <w:pStyle w:val="Heading3"/>
        <w:rPr>
          <w:rFonts w:ascii="Arial" w:hAnsi="Arial" w:cs="Arial"/>
        </w:rPr>
      </w:pPr>
      <w:r w:rsidRPr="00B13575">
        <w:rPr>
          <w:rFonts w:ascii="Arial" w:hAnsi="Arial" w:cs="Arial"/>
        </w:rPr>
        <w:t xml:space="preserve">Flexible Margin </w:t>
      </w:r>
    </w:p>
    <w:p w14:paraId="093C2F9C"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It is considered good practice to include a margin of employment land need in addition to floorspace modelling. This step is also included in the previous HEDNA and takes account for: </w:t>
      </w:r>
    </w:p>
    <w:p w14:paraId="64FB1B9B" w14:textId="77777777" w:rsidR="00360825" w:rsidRPr="00B13575" w:rsidRDefault="00360825" w:rsidP="00360825">
      <w:pPr>
        <w:pStyle w:val="ListBullet2"/>
        <w:ind w:left="643" w:hanging="360"/>
        <w:rPr>
          <w:rFonts w:ascii="Arial" w:hAnsi="Arial" w:cs="Arial"/>
        </w:rPr>
      </w:pPr>
      <w:r w:rsidRPr="00B13575">
        <w:rPr>
          <w:rFonts w:ascii="Arial" w:hAnsi="Arial" w:cs="Arial"/>
        </w:rPr>
        <w:t>The potential error margin with the forecasts;</w:t>
      </w:r>
    </w:p>
    <w:p w14:paraId="105F0265" w14:textId="77777777" w:rsidR="00360825" w:rsidRPr="00B13575" w:rsidRDefault="00360825" w:rsidP="00360825">
      <w:pPr>
        <w:pStyle w:val="ListBullet2"/>
        <w:ind w:left="643" w:hanging="360"/>
        <w:rPr>
          <w:rFonts w:ascii="Arial" w:hAnsi="Arial" w:cs="Arial"/>
        </w:rPr>
      </w:pPr>
      <w:r w:rsidRPr="00B13575">
        <w:rPr>
          <w:rFonts w:ascii="Arial" w:hAnsi="Arial" w:cs="Arial"/>
        </w:rPr>
        <w:t>Providing a choice of sites to facilitate competition; and</w:t>
      </w:r>
    </w:p>
    <w:p w14:paraId="27EBA48D" w14:textId="77777777" w:rsidR="00360825" w:rsidRPr="00B13575" w:rsidRDefault="00360825" w:rsidP="00360825">
      <w:pPr>
        <w:pStyle w:val="ListBullet2"/>
        <w:ind w:left="643" w:hanging="360"/>
        <w:rPr>
          <w:rFonts w:ascii="Arial" w:hAnsi="Arial" w:cs="Arial"/>
        </w:rPr>
      </w:pPr>
      <w:r w:rsidRPr="00B13575">
        <w:rPr>
          <w:rFonts w:ascii="Arial" w:hAnsi="Arial" w:cs="Arial"/>
        </w:rPr>
        <w:t>Providing flexibility to allow for any delays in sites coming forward</w:t>
      </w:r>
    </w:p>
    <w:p w14:paraId="1614701F"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In the 2017 Chichester HEDNA, a flexible margin of 5 years’ worth of completions trends was used. However, this was changed to 2 years in the 2019 and 2020 HEDNAs as one of the drivers for the 5-year margin was an allowance for sites lost to alternate uses including residential. This is now calculated separately (as replacement demand below) and considered in addition to the margin.</w:t>
      </w:r>
    </w:p>
    <w:p w14:paraId="291DFFE6" w14:textId="1877267B" w:rsidR="0036082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In total, gross completions have been in the region of </w:t>
      </w:r>
      <w:r>
        <w:rPr>
          <w:rFonts w:ascii="Arial" w:hAnsi="Arial" w:cs="Arial"/>
        </w:rPr>
        <w:t>12</w:t>
      </w:r>
      <w:r w:rsidRPr="00B13575">
        <w:rPr>
          <w:rFonts w:ascii="Arial" w:hAnsi="Arial" w:cs="Arial"/>
        </w:rPr>
        <w:t>,</w:t>
      </w:r>
      <w:r>
        <w:rPr>
          <w:rFonts w:ascii="Arial" w:hAnsi="Arial" w:cs="Arial"/>
        </w:rPr>
        <w:t>15</w:t>
      </w:r>
      <w:r w:rsidRPr="00B13575">
        <w:rPr>
          <w:rFonts w:ascii="Arial" w:hAnsi="Arial" w:cs="Arial"/>
        </w:rPr>
        <w:t>0 square metres per annum although this has been slightly impacted by slower recent growth</w:t>
      </w:r>
      <w:r>
        <w:rPr>
          <w:rFonts w:ascii="Arial" w:hAnsi="Arial" w:cs="Arial"/>
        </w:rPr>
        <w:t xml:space="preserve"> and also excludes the exceptional development for Rolls Royce at </w:t>
      </w:r>
      <w:proofErr w:type="spellStart"/>
      <w:r>
        <w:rPr>
          <w:rFonts w:ascii="Arial" w:hAnsi="Arial" w:cs="Arial"/>
        </w:rPr>
        <w:t>Westhamptnett</w:t>
      </w:r>
      <w:proofErr w:type="spellEnd"/>
      <w:r>
        <w:rPr>
          <w:rFonts w:ascii="Arial" w:hAnsi="Arial" w:cs="Arial"/>
        </w:rPr>
        <w:t xml:space="preserve"> in 2004</w:t>
      </w:r>
      <w:r w:rsidR="002B1913" w:rsidRPr="00B13575">
        <w:rPr>
          <w:rFonts w:ascii="Arial" w:hAnsi="Arial" w:cs="Arial"/>
        </w:rPr>
        <w:t xml:space="preserve">. </w:t>
      </w:r>
    </w:p>
    <w:p w14:paraId="7EEEDB97" w14:textId="1DC3A725" w:rsidR="00360825" w:rsidRPr="006449E2" w:rsidRDefault="00360825" w:rsidP="001A7584">
      <w:pPr>
        <w:pStyle w:val="BodyText"/>
        <w:numPr>
          <w:ilvl w:val="1"/>
          <w:numId w:val="6"/>
        </w:numPr>
        <w:tabs>
          <w:tab w:val="num" w:pos="0"/>
        </w:tabs>
        <w:ind w:left="0" w:hanging="709"/>
        <w:rPr>
          <w:rFonts w:ascii="Arial" w:hAnsi="Arial" w:cs="Arial"/>
        </w:rPr>
      </w:pPr>
      <w:r w:rsidRPr="006449E2">
        <w:rPr>
          <w:rFonts w:ascii="Arial" w:hAnsi="Arial" w:cs="Arial"/>
        </w:rPr>
        <w:t>The annual trends are doubled to give a margin of two years, this equates to an additional 24,300 sqm to the overall need</w:t>
      </w:r>
      <w:r w:rsidR="002B1913" w:rsidRPr="006449E2">
        <w:rPr>
          <w:rFonts w:ascii="Arial" w:hAnsi="Arial" w:cs="Arial"/>
        </w:rPr>
        <w:t xml:space="preserve">. </w:t>
      </w:r>
      <w:r w:rsidRPr="006449E2">
        <w:rPr>
          <w:rFonts w:ascii="Arial" w:hAnsi="Arial" w:cs="Arial"/>
        </w:rPr>
        <w:t xml:space="preserve">Using the same plot ratio as other calculation this step results in an additional </w:t>
      </w:r>
      <w:r>
        <w:rPr>
          <w:rFonts w:ascii="Arial" w:hAnsi="Arial" w:cs="Arial"/>
        </w:rPr>
        <w:t>5.0</w:t>
      </w:r>
      <w:r w:rsidRPr="006449E2">
        <w:rPr>
          <w:rFonts w:ascii="Arial" w:hAnsi="Arial" w:cs="Arial"/>
        </w:rPr>
        <w:t xml:space="preserve"> Ha of land being added to the need, the majority of which is industrial and warehousing need.</w:t>
      </w:r>
    </w:p>
    <w:p w14:paraId="2C6B232C" w14:textId="77777777" w:rsidR="00360825" w:rsidRPr="00B13575" w:rsidRDefault="00360825" w:rsidP="00360825">
      <w:pPr>
        <w:spacing w:after="0" w:line="240" w:lineRule="auto"/>
        <w:jc w:val="left"/>
        <w:rPr>
          <w:rFonts w:ascii="Arial" w:hAnsi="Arial" w:cs="Arial"/>
          <w:b/>
          <w:color w:val="646464" w:themeColor="background2"/>
        </w:rPr>
      </w:pPr>
      <w:r w:rsidRPr="00B13575">
        <w:rPr>
          <w:rFonts w:ascii="Arial" w:hAnsi="Arial" w:cs="Arial"/>
        </w:rPr>
        <w:br w:type="page"/>
      </w:r>
    </w:p>
    <w:p w14:paraId="25311771" w14:textId="0F6EB95F" w:rsidR="00360825" w:rsidRPr="00B13575" w:rsidRDefault="00360825" w:rsidP="001A7584">
      <w:pPr>
        <w:pStyle w:val="Heading4"/>
        <w:ind w:firstLine="0"/>
      </w:pPr>
      <w:r w:rsidRPr="00B13575">
        <w:lastRenderedPageBreak/>
        <w:t>Flexible Margin from Gross Completions – Chichester Plan Area</w:t>
      </w:r>
    </w:p>
    <w:tbl>
      <w:tblPr>
        <w:tblW w:w="8784" w:type="dxa"/>
        <w:tblLayout w:type="fixed"/>
        <w:tblLook w:val="04A0" w:firstRow="1" w:lastRow="0" w:firstColumn="1" w:lastColumn="0" w:noHBand="0" w:noVBand="1"/>
      </w:tblPr>
      <w:tblGrid>
        <w:gridCol w:w="2263"/>
        <w:gridCol w:w="1630"/>
        <w:gridCol w:w="1630"/>
        <w:gridCol w:w="1630"/>
        <w:gridCol w:w="1631"/>
      </w:tblGrid>
      <w:tr w:rsidR="00360825" w:rsidRPr="00B13575" w14:paraId="627C3D68" w14:textId="77777777" w:rsidTr="00C04569">
        <w:trPr>
          <w:trHeight w:val="640"/>
        </w:trPr>
        <w:tc>
          <w:tcPr>
            <w:tcW w:w="2263"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675D1653" w14:textId="77777777" w:rsidR="00360825" w:rsidRPr="00DE1AA1" w:rsidRDefault="00360825" w:rsidP="00C04569">
            <w:pPr>
              <w:spacing w:after="0" w:line="240" w:lineRule="auto"/>
              <w:jc w:val="left"/>
              <w:rPr>
                <w:rFonts w:ascii="Arial" w:hAnsi="Arial" w:cs="Arial"/>
                <w:color w:val="FFFFFF"/>
              </w:rPr>
            </w:pPr>
            <w:r>
              <w:rPr>
                <w:rFonts w:ascii="Arial" w:hAnsi="Arial" w:cs="Arial"/>
                <w:color w:val="FFFFFF"/>
              </w:rPr>
              <w:t>2001-2021</w:t>
            </w:r>
          </w:p>
        </w:tc>
        <w:tc>
          <w:tcPr>
            <w:tcW w:w="1630" w:type="dxa"/>
            <w:tcBorders>
              <w:top w:val="single" w:sz="4" w:space="0" w:color="auto"/>
              <w:left w:val="nil"/>
              <w:bottom w:val="single" w:sz="4" w:space="0" w:color="auto"/>
              <w:right w:val="single" w:sz="4" w:space="0" w:color="auto"/>
            </w:tcBorders>
            <w:shd w:val="clear" w:color="000000" w:fill="002060"/>
            <w:vAlign w:val="bottom"/>
            <w:hideMark/>
          </w:tcPr>
          <w:p w14:paraId="792E6AE8"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Annual Average</w:t>
            </w:r>
          </w:p>
          <w:p w14:paraId="04C830AF"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sqm</w:t>
            </w:r>
          </w:p>
        </w:tc>
        <w:tc>
          <w:tcPr>
            <w:tcW w:w="1630" w:type="dxa"/>
            <w:tcBorders>
              <w:top w:val="single" w:sz="4" w:space="0" w:color="auto"/>
              <w:left w:val="nil"/>
              <w:bottom w:val="single" w:sz="4" w:space="0" w:color="auto"/>
              <w:right w:val="single" w:sz="4" w:space="0" w:color="auto"/>
            </w:tcBorders>
            <w:shd w:val="clear" w:color="000000" w:fill="002060"/>
            <w:vAlign w:val="bottom"/>
            <w:hideMark/>
          </w:tcPr>
          <w:p w14:paraId="0F005A5B"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Total Margin </w:t>
            </w:r>
          </w:p>
          <w:p w14:paraId="1B97120E"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(2 years)</w:t>
            </w:r>
          </w:p>
          <w:p w14:paraId="0D9C5105"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sqm</w:t>
            </w:r>
          </w:p>
        </w:tc>
        <w:tc>
          <w:tcPr>
            <w:tcW w:w="1630" w:type="dxa"/>
            <w:tcBorders>
              <w:top w:val="single" w:sz="4" w:space="0" w:color="auto"/>
              <w:left w:val="nil"/>
              <w:bottom w:val="single" w:sz="4" w:space="0" w:color="auto"/>
              <w:right w:val="single" w:sz="4" w:space="0" w:color="auto"/>
            </w:tcBorders>
            <w:shd w:val="clear" w:color="000000" w:fill="002060"/>
            <w:vAlign w:val="bottom"/>
            <w:hideMark/>
          </w:tcPr>
          <w:p w14:paraId="40DCED8E"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Plot Ratio</w:t>
            </w:r>
          </w:p>
        </w:tc>
        <w:tc>
          <w:tcPr>
            <w:tcW w:w="1631" w:type="dxa"/>
            <w:tcBorders>
              <w:top w:val="single" w:sz="4" w:space="0" w:color="auto"/>
              <w:left w:val="nil"/>
              <w:bottom w:val="single" w:sz="4" w:space="0" w:color="auto"/>
              <w:right w:val="single" w:sz="4" w:space="0" w:color="auto"/>
            </w:tcBorders>
            <w:shd w:val="clear" w:color="000000" w:fill="002060"/>
            <w:vAlign w:val="bottom"/>
            <w:hideMark/>
          </w:tcPr>
          <w:p w14:paraId="76923806" w14:textId="77777777" w:rsidR="00360825" w:rsidRPr="00DE1AA1" w:rsidRDefault="00360825" w:rsidP="00C04569">
            <w:pPr>
              <w:spacing w:after="0" w:line="240" w:lineRule="auto"/>
              <w:jc w:val="center"/>
              <w:rPr>
                <w:rFonts w:ascii="Arial" w:hAnsi="Arial" w:cs="Arial"/>
                <w:color w:val="FFFFFF"/>
              </w:rPr>
            </w:pPr>
            <w:r w:rsidRPr="00B13575">
              <w:rPr>
                <w:rFonts w:ascii="Arial" w:hAnsi="Arial" w:cs="Arial"/>
                <w:color w:val="FFFFFF"/>
              </w:rPr>
              <w:t>Flexible Margin (Ha)</w:t>
            </w:r>
          </w:p>
        </w:tc>
      </w:tr>
      <w:tr w:rsidR="00360825" w:rsidRPr="00B13575" w14:paraId="0E4D83A0"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34CA91B"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1630" w:type="dxa"/>
            <w:tcBorders>
              <w:top w:val="nil"/>
              <w:left w:val="nil"/>
              <w:bottom w:val="single" w:sz="4" w:space="0" w:color="auto"/>
              <w:right w:val="single" w:sz="4" w:space="0" w:color="auto"/>
            </w:tcBorders>
            <w:shd w:val="clear" w:color="auto" w:fill="auto"/>
            <w:noWrap/>
            <w:vAlign w:val="bottom"/>
            <w:hideMark/>
          </w:tcPr>
          <w:p w14:paraId="3F0040FB"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2,925</w:t>
            </w:r>
          </w:p>
        </w:tc>
        <w:tc>
          <w:tcPr>
            <w:tcW w:w="1630" w:type="dxa"/>
            <w:tcBorders>
              <w:top w:val="nil"/>
              <w:left w:val="nil"/>
              <w:bottom w:val="single" w:sz="4" w:space="0" w:color="auto"/>
              <w:right w:val="single" w:sz="4" w:space="0" w:color="auto"/>
            </w:tcBorders>
            <w:shd w:val="clear" w:color="auto" w:fill="auto"/>
            <w:noWrap/>
            <w:vAlign w:val="bottom"/>
            <w:hideMark/>
          </w:tcPr>
          <w:p w14:paraId="07C9C4AA"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5,850</w:t>
            </w:r>
          </w:p>
        </w:tc>
        <w:tc>
          <w:tcPr>
            <w:tcW w:w="1630" w:type="dxa"/>
            <w:tcBorders>
              <w:top w:val="nil"/>
              <w:left w:val="nil"/>
              <w:bottom w:val="single" w:sz="4" w:space="0" w:color="auto"/>
              <w:right w:val="single" w:sz="4" w:space="0" w:color="auto"/>
            </w:tcBorders>
            <w:shd w:val="clear" w:color="auto" w:fill="auto"/>
            <w:noWrap/>
            <w:vAlign w:val="bottom"/>
            <w:hideMark/>
          </w:tcPr>
          <w:p w14:paraId="628A5B50"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0.8</w:t>
            </w:r>
          </w:p>
        </w:tc>
        <w:tc>
          <w:tcPr>
            <w:tcW w:w="1631" w:type="dxa"/>
            <w:tcBorders>
              <w:top w:val="nil"/>
              <w:left w:val="nil"/>
              <w:bottom w:val="single" w:sz="4" w:space="0" w:color="auto"/>
              <w:right w:val="single" w:sz="4" w:space="0" w:color="auto"/>
            </w:tcBorders>
            <w:shd w:val="clear" w:color="auto" w:fill="auto"/>
            <w:noWrap/>
            <w:vAlign w:val="bottom"/>
            <w:hideMark/>
          </w:tcPr>
          <w:p w14:paraId="70DDF6AF"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0.8</w:t>
            </w:r>
          </w:p>
        </w:tc>
      </w:tr>
      <w:tr w:rsidR="00360825" w:rsidRPr="00B13575" w14:paraId="471A26F1"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EBF41E7"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1630" w:type="dxa"/>
            <w:tcBorders>
              <w:top w:val="nil"/>
              <w:left w:val="nil"/>
              <w:bottom w:val="single" w:sz="4" w:space="0" w:color="auto"/>
              <w:right w:val="single" w:sz="4" w:space="0" w:color="auto"/>
            </w:tcBorders>
            <w:shd w:val="clear" w:color="auto" w:fill="auto"/>
            <w:noWrap/>
            <w:vAlign w:val="bottom"/>
            <w:hideMark/>
          </w:tcPr>
          <w:p w14:paraId="1A501E47"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5,381</w:t>
            </w:r>
          </w:p>
        </w:tc>
        <w:tc>
          <w:tcPr>
            <w:tcW w:w="1630" w:type="dxa"/>
            <w:tcBorders>
              <w:top w:val="nil"/>
              <w:left w:val="nil"/>
              <w:bottom w:val="single" w:sz="4" w:space="0" w:color="auto"/>
              <w:right w:val="single" w:sz="4" w:space="0" w:color="auto"/>
            </w:tcBorders>
            <w:shd w:val="clear" w:color="auto" w:fill="auto"/>
            <w:noWrap/>
            <w:vAlign w:val="bottom"/>
            <w:hideMark/>
          </w:tcPr>
          <w:p w14:paraId="0EA637BA"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10,761</w:t>
            </w:r>
          </w:p>
        </w:tc>
        <w:tc>
          <w:tcPr>
            <w:tcW w:w="1630" w:type="dxa"/>
            <w:tcBorders>
              <w:top w:val="nil"/>
              <w:left w:val="nil"/>
              <w:bottom w:val="single" w:sz="4" w:space="0" w:color="auto"/>
              <w:right w:val="single" w:sz="4" w:space="0" w:color="auto"/>
            </w:tcBorders>
            <w:shd w:val="clear" w:color="auto" w:fill="auto"/>
            <w:noWrap/>
            <w:vAlign w:val="bottom"/>
            <w:hideMark/>
          </w:tcPr>
          <w:p w14:paraId="19B49B50"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0.4</w:t>
            </w:r>
          </w:p>
        </w:tc>
        <w:tc>
          <w:tcPr>
            <w:tcW w:w="1631" w:type="dxa"/>
            <w:tcBorders>
              <w:top w:val="nil"/>
              <w:left w:val="nil"/>
              <w:bottom w:val="single" w:sz="4" w:space="0" w:color="auto"/>
              <w:right w:val="single" w:sz="4" w:space="0" w:color="auto"/>
            </w:tcBorders>
            <w:shd w:val="clear" w:color="auto" w:fill="auto"/>
            <w:noWrap/>
            <w:vAlign w:val="bottom"/>
            <w:hideMark/>
          </w:tcPr>
          <w:p w14:paraId="40B6FD24"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2.7</w:t>
            </w:r>
          </w:p>
        </w:tc>
      </w:tr>
      <w:tr w:rsidR="00360825" w:rsidRPr="00B13575" w14:paraId="1ED91C30"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154D5B9"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1630" w:type="dxa"/>
            <w:tcBorders>
              <w:top w:val="nil"/>
              <w:left w:val="nil"/>
              <w:bottom w:val="single" w:sz="4" w:space="0" w:color="auto"/>
              <w:right w:val="single" w:sz="4" w:space="0" w:color="auto"/>
            </w:tcBorders>
            <w:shd w:val="clear" w:color="auto" w:fill="auto"/>
            <w:noWrap/>
            <w:vAlign w:val="bottom"/>
            <w:hideMark/>
          </w:tcPr>
          <w:p w14:paraId="3E9802CF"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3,844</w:t>
            </w:r>
          </w:p>
        </w:tc>
        <w:tc>
          <w:tcPr>
            <w:tcW w:w="1630" w:type="dxa"/>
            <w:tcBorders>
              <w:top w:val="nil"/>
              <w:left w:val="nil"/>
              <w:bottom w:val="single" w:sz="4" w:space="0" w:color="auto"/>
              <w:right w:val="single" w:sz="4" w:space="0" w:color="auto"/>
            </w:tcBorders>
            <w:shd w:val="clear" w:color="auto" w:fill="auto"/>
            <w:noWrap/>
            <w:vAlign w:val="bottom"/>
            <w:hideMark/>
          </w:tcPr>
          <w:p w14:paraId="68B0888D"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7,689</w:t>
            </w:r>
          </w:p>
        </w:tc>
        <w:tc>
          <w:tcPr>
            <w:tcW w:w="1630" w:type="dxa"/>
            <w:tcBorders>
              <w:top w:val="nil"/>
              <w:left w:val="nil"/>
              <w:bottom w:val="single" w:sz="4" w:space="0" w:color="auto"/>
              <w:right w:val="single" w:sz="4" w:space="0" w:color="auto"/>
            </w:tcBorders>
            <w:shd w:val="clear" w:color="auto" w:fill="auto"/>
            <w:noWrap/>
            <w:vAlign w:val="bottom"/>
            <w:hideMark/>
          </w:tcPr>
          <w:p w14:paraId="577382C1"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0.5</w:t>
            </w:r>
          </w:p>
        </w:tc>
        <w:tc>
          <w:tcPr>
            <w:tcW w:w="1631" w:type="dxa"/>
            <w:tcBorders>
              <w:top w:val="nil"/>
              <w:left w:val="nil"/>
              <w:bottom w:val="single" w:sz="4" w:space="0" w:color="auto"/>
              <w:right w:val="single" w:sz="4" w:space="0" w:color="auto"/>
            </w:tcBorders>
            <w:shd w:val="clear" w:color="auto" w:fill="auto"/>
            <w:noWrap/>
            <w:vAlign w:val="bottom"/>
            <w:hideMark/>
          </w:tcPr>
          <w:p w14:paraId="056C17C9"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1.5</w:t>
            </w:r>
          </w:p>
        </w:tc>
      </w:tr>
      <w:tr w:rsidR="00360825" w:rsidRPr="00B13575" w14:paraId="6B4145F7"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A1B30B0"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1630" w:type="dxa"/>
            <w:tcBorders>
              <w:top w:val="nil"/>
              <w:left w:val="nil"/>
              <w:bottom w:val="single" w:sz="4" w:space="0" w:color="auto"/>
              <w:right w:val="single" w:sz="4" w:space="0" w:color="auto"/>
            </w:tcBorders>
            <w:shd w:val="clear" w:color="auto" w:fill="auto"/>
            <w:noWrap/>
            <w:vAlign w:val="bottom"/>
            <w:hideMark/>
          </w:tcPr>
          <w:p w14:paraId="50277BD8"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12,150</w:t>
            </w:r>
          </w:p>
        </w:tc>
        <w:tc>
          <w:tcPr>
            <w:tcW w:w="1630" w:type="dxa"/>
            <w:tcBorders>
              <w:top w:val="nil"/>
              <w:left w:val="nil"/>
              <w:bottom w:val="single" w:sz="4" w:space="0" w:color="auto"/>
              <w:right w:val="single" w:sz="4" w:space="0" w:color="auto"/>
            </w:tcBorders>
            <w:shd w:val="clear" w:color="auto" w:fill="auto"/>
            <w:noWrap/>
            <w:vAlign w:val="bottom"/>
            <w:hideMark/>
          </w:tcPr>
          <w:p w14:paraId="15C6F83F"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24,300</w:t>
            </w:r>
          </w:p>
        </w:tc>
        <w:tc>
          <w:tcPr>
            <w:tcW w:w="1630" w:type="dxa"/>
            <w:tcBorders>
              <w:top w:val="nil"/>
              <w:left w:val="nil"/>
              <w:bottom w:val="single" w:sz="4" w:space="0" w:color="auto"/>
              <w:right w:val="single" w:sz="4" w:space="0" w:color="auto"/>
            </w:tcBorders>
            <w:shd w:val="clear" w:color="auto" w:fill="auto"/>
            <w:noWrap/>
            <w:vAlign w:val="bottom"/>
            <w:hideMark/>
          </w:tcPr>
          <w:p w14:paraId="0D2E3626"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 </w:t>
            </w:r>
          </w:p>
        </w:tc>
        <w:tc>
          <w:tcPr>
            <w:tcW w:w="1631" w:type="dxa"/>
            <w:tcBorders>
              <w:top w:val="nil"/>
              <w:left w:val="nil"/>
              <w:bottom w:val="single" w:sz="4" w:space="0" w:color="auto"/>
              <w:right w:val="single" w:sz="4" w:space="0" w:color="auto"/>
            </w:tcBorders>
            <w:shd w:val="clear" w:color="auto" w:fill="auto"/>
            <w:noWrap/>
            <w:vAlign w:val="bottom"/>
            <w:hideMark/>
          </w:tcPr>
          <w:p w14:paraId="40DFF831"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5.0</w:t>
            </w:r>
          </w:p>
        </w:tc>
      </w:tr>
    </w:tbl>
    <w:p w14:paraId="42261096"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WSCC Data and CDC Data</w:t>
      </w:r>
    </w:p>
    <w:p w14:paraId="49572E12" w14:textId="77777777" w:rsidR="00360825" w:rsidRPr="00B13575" w:rsidRDefault="00360825" w:rsidP="00360825">
      <w:pPr>
        <w:pStyle w:val="Heading3"/>
        <w:rPr>
          <w:rFonts w:ascii="Arial" w:hAnsi="Arial" w:cs="Arial"/>
        </w:rPr>
      </w:pPr>
      <w:r w:rsidRPr="00B13575">
        <w:rPr>
          <w:rFonts w:ascii="Arial" w:hAnsi="Arial" w:cs="Arial"/>
        </w:rPr>
        <w:t>Replacement Demand</w:t>
      </w:r>
    </w:p>
    <w:p w14:paraId="308F51BD"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While manufacturing employment is expected to decline, there is clearly still demand for industrial floorspace as demonstrated by the commercial property market and confirmed by local agents. This demand is driven by existing companies seeking newer accommodation to move and/or grow into. Automation also means that while employment in manufacturing is falling the value of the sector is growing even in the baseline scenario.</w:t>
      </w:r>
    </w:p>
    <w:p w14:paraId="053F9A67"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The noted high demand is exacerbated by the loss of existing space to alternative uses. We have therefore made a final adjustment to account for floorspace or land that has been lost from business activity in the past and may continue to be lost in the future. </w:t>
      </w:r>
    </w:p>
    <w:p w14:paraId="7413139E" w14:textId="77777777" w:rsidR="0036082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losses are comprised of redundant sites that are no longer desired by the market, taking into account changing industrial patterns and structural shifts in the economy, and losses due to permitted development rights to residential use.</w:t>
      </w:r>
    </w:p>
    <w:p w14:paraId="1AE48910" w14:textId="58B3BF64" w:rsidR="00360825" w:rsidRDefault="00360825" w:rsidP="001A7584">
      <w:pPr>
        <w:pStyle w:val="BodyText"/>
        <w:numPr>
          <w:ilvl w:val="1"/>
          <w:numId w:val="6"/>
        </w:numPr>
        <w:tabs>
          <w:tab w:val="num" w:pos="0"/>
        </w:tabs>
        <w:ind w:left="0" w:hanging="709"/>
        <w:rPr>
          <w:rFonts w:ascii="Arial" w:hAnsi="Arial" w:cs="Arial"/>
        </w:rPr>
      </w:pPr>
      <w:r w:rsidRPr="008B17BB">
        <w:rPr>
          <w:rFonts w:ascii="Arial" w:hAnsi="Arial" w:cs="Arial"/>
        </w:rPr>
        <w:t xml:space="preserve">Because of differing monitoring regimes we have collated losses to other uses for different time periods, but in all cases taken the average for the longest </w:t>
      </w:r>
      <w:r w:rsidR="004C7B56" w:rsidRPr="008B17BB">
        <w:rPr>
          <w:rFonts w:ascii="Arial" w:hAnsi="Arial" w:cs="Arial"/>
        </w:rPr>
        <w:t>period</w:t>
      </w:r>
      <w:r w:rsidRPr="008B17BB">
        <w:rPr>
          <w:rFonts w:ascii="Arial" w:hAnsi="Arial" w:cs="Arial"/>
        </w:rPr>
        <w:t xml:space="preserve"> available</w:t>
      </w:r>
      <w:r w:rsidR="002B1913" w:rsidRPr="008B17BB">
        <w:rPr>
          <w:rFonts w:ascii="Arial" w:hAnsi="Arial" w:cs="Arial"/>
        </w:rPr>
        <w:t xml:space="preserve">. </w:t>
      </w:r>
      <w:r w:rsidRPr="008B17BB">
        <w:rPr>
          <w:rFonts w:ascii="Arial" w:hAnsi="Arial" w:cs="Arial"/>
        </w:rPr>
        <w:t>For losses to other commercial uses we have taken the average annual losses from 2001 and for losses to residential from 2018</w:t>
      </w:r>
      <w:r w:rsidR="002B1913" w:rsidRPr="008B17BB">
        <w:rPr>
          <w:rFonts w:ascii="Arial" w:hAnsi="Arial" w:cs="Arial"/>
        </w:rPr>
        <w:t xml:space="preserve">. </w:t>
      </w:r>
      <w:r w:rsidRPr="008B17BB">
        <w:rPr>
          <w:rFonts w:ascii="Arial" w:hAnsi="Arial" w:cs="Arial"/>
        </w:rPr>
        <w:t>We have then taken the average for each of these groups to get to an overall average.</w:t>
      </w:r>
      <w:r>
        <w:rPr>
          <w:rFonts w:ascii="Arial" w:hAnsi="Arial" w:cs="Arial"/>
        </w:rPr>
        <w:t xml:space="preserve"> </w:t>
      </w:r>
      <w:r w:rsidRPr="008B17BB">
        <w:rPr>
          <w:rFonts w:ascii="Arial" w:hAnsi="Arial" w:cs="Arial"/>
        </w:rPr>
        <w:t>The scale of these losses is outlined below</w:t>
      </w:r>
      <w:r w:rsidR="002B1913" w:rsidRPr="008B17BB">
        <w:rPr>
          <w:rFonts w:ascii="Arial" w:hAnsi="Arial" w:cs="Arial"/>
        </w:rPr>
        <w:t xml:space="preserve">. </w:t>
      </w:r>
    </w:p>
    <w:p w14:paraId="4C6AFD9C" w14:textId="7F0D4ADE" w:rsidR="00360825" w:rsidRPr="008B17BB" w:rsidRDefault="00360825" w:rsidP="001A7584">
      <w:pPr>
        <w:pStyle w:val="BodyText"/>
        <w:numPr>
          <w:ilvl w:val="1"/>
          <w:numId w:val="6"/>
        </w:numPr>
        <w:tabs>
          <w:tab w:val="num" w:pos="0"/>
        </w:tabs>
        <w:ind w:left="0" w:hanging="709"/>
        <w:rPr>
          <w:rFonts w:ascii="Arial" w:hAnsi="Arial" w:cs="Arial"/>
        </w:rPr>
      </w:pPr>
      <w:r w:rsidRPr="008B17BB">
        <w:rPr>
          <w:rFonts w:ascii="Arial" w:hAnsi="Arial" w:cs="Arial"/>
        </w:rPr>
        <w:t>As shown the largest amount of lost stock has been  warehouse stock (1,537 sqm per annum) of which most has gone to residential uses</w:t>
      </w:r>
      <w:r w:rsidR="002B1913" w:rsidRPr="008B17BB">
        <w:rPr>
          <w:rFonts w:ascii="Arial" w:hAnsi="Arial" w:cs="Arial"/>
        </w:rPr>
        <w:t xml:space="preserve">. </w:t>
      </w:r>
      <w:r w:rsidRPr="008B17BB">
        <w:rPr>
          <w:rFonts w:ascii="Arial" w:hAnsi="Arial" w:cs="Arial"/>
        </w:rPr>
        <w:t xml:space="preserve">This is </w:t>
      </w:r>
      <w:r w:rsidR="002B1913" w:rsidRPr="008B17BB">
        <w:rPr>
          <w:rFonts w:ascii="Arial" w:hAnsi="Arial" w:cs="Arial"/>
        </w:rPr>
        <w:t>common</w:t>
      </w:r>
      <w:r w:rsidRPr="008B17BB">
        <w:rPr>
          <w:rFonts w:ascii="Arial" w:hAnsi="Arial" w:cs="Arial"/>
        </w:rPr>
        <w:t xml:space="preserve"> as warehouse space has a shorter lifespan than other uses</w:t>
      </w:r>
      <w:r w:rsidR="002B1913" w:rsidRPr="008B17BB">
        <w:rPr>
          <w:rFonts w:ascii="Arial" w:hAnsi="Arial" w:cs="Arial"/>
        </w:rPr>
        <w:t xml:space="preserve">. </w:t>
      </w:r>
      <w:r w:rsidRPr="008B17BB">
        <w:rPr>
          <w:rFonts w:ascii="Arial" w:hAnsi="Arial" w:cs="Arial"/>
        </w:rPr>
        <w:t>There have also been losses in industrial (414 sqm per annum) and office space (1,894 sqm per annum) that will arguably need to be replaced.</w:t>
      </w:r>
    </w:p>
    <w:p w14:paraId="3F90187F" w14:textId="77777777" w:rsidR="00360825" w:rsidRPr="00B13575" w:rsidRDefault="00360825" w:rsidP="00360825">
      <w:pPr>
        <w:spacing w:after="0" w:line="240" w:lineRule="auto"/>
        <w:jc w:val="left"/>
        <w:rPr>
          <w:rFonts w:ascii="Arial" w:hAnsi="Arial" w:cs="Arial"/>
          <w:b/>
          <w:color w:val="646464" w:themeColor="background2"/>
        </w:rPr>
      </w:pPr>
      <w:r w:rsidRPr="00B13575">
        <w:rPr>
          <w:rFonts w:ascii="Arial" w:hAnsi="Arial" w:cs="Arial"/>
        </w:rPr>
        <w:br w:type="page"/>
      </w:r>
    </w:p>
    <w:p w14:paraId="16089D47" w14:textId="57E057D4" w:rsidR="00360825" w:rsidRPr="00B13575" w:rsidRDefault="00360825" w:rsidP="001A7584">
      <w:pPr>
        <w:pStyle w:val="Heading4"/>
        <w:ind w:firstLine="0"/>
      </w:pPr>
      <w:r w:rsidRPr="00B13575">
        <w:lastRenderedPageBreak/>
        <w:t>Commercial Losses to Other Uses (20</w:t>
      </w:r>
      <w:r w:rsidR="00302EF0">
        <w:t>01/</w:t>
      </w:r>
      <w:r w:rsidRPr="00B13575">
        <w:t>18-2021) – Chichester Plan Area</w:t>
      </w:r>
    </w:p>
    <w:tbl>
      <w:tblPr>
        <w:tblW w:w="8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559"/>
        <w:gridCol w:w="1418"/>
        <w:gridCol w:w="1620"/>
        <w:gridCol w:w="1276"/>
      </w:tblGrid>
      <w:tr w:rsidR="00360825" w:rsidRPr="00996D73" w14:paraId="2E383875" w14:textId="77777777" w:rsidTr="00C04569">
        <w:trPr>
          <w:trHeight w:val="290"/>
        </w:trPr>
        <w:tc>
          <w:tcPr>
            <w:tcW w:w="2547" w:type="dxa"/>
            <w:shd w:val="clear" w:color="auto" w:fill="002060"/>
            <w:noWrap/>
            <w:vAlign w:val="bottom"/>
            <w:hideMark/>
          </w:tcPr>
          <w:p w14:paraId="638657CD" w14:textId="77777777" w:rsidR="00360825" w:rsidRPr="005A2C0A" w:rsidRDefault="00360825" w:rsidP="00C04569">
            <w:pPr>
              <w:spacing w:after="0" w:line="240" w:lineRule="auto"/>
              <w:jc w:val="left"/>
              <w:rPr>
                <w:rFonts w:ascii="Arial" w:hAnsi="Arial" w:cs="Arial"/>
                <w:color w:val="FFFFFF" w:themeColor="background1"/>
              </w:rPr>
            </w:pPr>
            <w:r w:rsidRPr="005A2C0A">
              <w:rPr>
                <w:rFonts w:ascii="Arial" w:hAnsi="Arial" w:cs="Arial"/>
                <w:color w:val="FFFFFF" w:themeColor="background1"/>
              </w:rPr>
              <w:t>Lost to</w:t>
            </w:r>
          </w:p>
        </w:tc>
        <w:tc>
          <w:tcPr>
            <w:tcW w:w="1559" w:type="dxa"/>
            <w:shd w:val="clear" w:color="auto" w:fill="002060"/>
            <w:noWrap/>
            <w:vAlign w:val="bottom"/>
            <w:hideMark/>
          </w:tcPr>
          <w:p w14:paraId="33E3375A" w14:textId="77777777" w:rsidR="00360825" w:rsidRPr="005A2C0A" w:rsidRDefault="00360825" w:rsidP="00C04569">
            <w:pPr>
              <w:spacing w:after="0" w:line="240" w:lineRule="auto"/>
              <w:jc w:val="center"/>
              <w:rPr>
                <w:rFonts w:ascii="Arial" w:hAnsi="Arial" w:cs="Arial"/>
                <w:color w:val="FFFFFF" w:themeColor="background1"/>
              </w:rPr>
            </w:pPr>
            <w:r w:rsidRPr="005A2C0A">
              <w:rPr>
                <w:rFonts w:ascii="Arial" w:hAnsi="Arial" w:cs="Arial"/>
                <w:color w:val="FFFFFF" w:themeColor="background1"/>
              </w:rPr>
              <w:t>Office</w:t>
            </w:r>
          </w:p>
        </w:tc>
        <w:tc>
          <w:tcPr>
            <w:tcW w:w="1418" w:type="dxa"/>
            <w:shd w:val="clear" w:color="auto" w:fill="002060"/>
            <w:noWrap/>
            <w:vAlign w:val="bottom"/>
            <w:hideMark/>
          </w:tcPr>
          <w:p w14:paraId="2ECF5668" w14:textId="77777777" w:rsidR="00360825" w:rsidRPr="005A2C0A" w:rsidRDefault="00360825" w:rsidP="00C04569">
            <w:pPr>
              <w:spacing w:after="0" w:line="240" w:lineRule="auto"/>
              <w:jc w:val="center"/>
              <w:rPr>
                <w:rFonts w:ascii="Arial" w:hAnsi="Arial" w:cs="Arial"/>
                <w:color w:val="FFFFFF" w:themeColor="background1"/>
              </w:rPr>
            </w:pPr>
            <w:r w:rsidRPr="005A2C0A">
              <w:rPr>
                <w:rFonts w:ascii="Arial" w:hAnsi="Arial" w:cs="Arial"/>
                <w:color w:val="FFFFFF" w:themeColor="background1"/>
              </w:rPr>
              <w:t>Industrial</w:t>
            </w:r>
          </w:p>
        </w:tc>
        <w:tc>
          <w:tcPr>
            <w:tcW w:w="1620" w:type="dxa"/>
            <w:shd w:val="clear" w:color="auto" w:fill="002060"/>
            <w:noWrap/>
            <w:vAlign w:val="bottom"/>
            <w:hideMark/>
          </w:tcPr>
          <w:p w14:paraId="63329E09" w14:textId="77777777" w:rsidR="00360825" w:rsidRPr="005A2C0A" w:rsidRDefault="00360825" w:rsidP="00C04569">
            <w:pPr>
              <w:spacing w:after="0" w:line="240" w:lineRule="auto"/>
              <w:jc w:val="center"/>
              <w:rPr>
                <w:rFonts w:ascii="Arial" w:hAnsi="Arial" w:cs="Arial"/>
                <w:color w:val="FFFFFF" w:themeColor="background1"/>
              </w:rPr>
            </w:pPr>
            <w:r w:rsidRPr="00996D73">
              <w:rPr>
                <w:rFonts w:ascii="Arial" w:hAnsi="Arial" w:cs="Arial"/>
                <w:color w:val="FFFFFF" w:themeColor="background1"/>
              </w:rPr>
              <w:t>Distribution</w:t>
            </w:r>
          </w:p>
        </w:tc>
        <w:tc>
          <w:tcPr>
            <w:tcW w:w="1276" w:type="dxa"/>
            <w:shd w:val="clear" w:color="auto" w:fill="002060"/>
            <w:noWrap/>
            <w:vAlign w:val="bottom"/>
            <w:hideMark/>
          </w:tcPr>
          <w:p w14:paraId="27E59956" w14:textId="77777777" w:rsidR="00360825" w:rsidRPr="005A2C0A" w:rsidRDefault="00360825" w:rsidP="00C04569">
            <w:pPr>
              <w:spacing w:after="0" w:line="240" w:lineRule="auto"/>
              <w:jc w:val="center"/>
              <w:rPr>
                <w:rFonts w:ascii="Arial" w:hAnsi="Arial" w:cs="Arial"/>
                <w:color w:val="FFFFFF" w:themeColor="background1"/>
              </w:rPr>
            </w:pPr>
            <w:r w:rsidRPr="005A2C0A">
              <w:rPr>
                <w:rFonts w:ascii="Arial" w:hAnsi="Arial" w:cs="Arial"/>
                <w:color w:val="FFFFFF" w:themeColor="background1"/>
              </w:rPr>
              <w:t>Total</w:t>
            </w:r>
          </w:p>
        </w:tc>
      </w:tr>
      <w:tr w:rsidR="00360825" w:rsidRPr="005A2C0A" w14:paraId="6537476A" w14:textId="77777777" w:rsidTr="00C04569">
        <w:trPr>
          <w:trHeight w:val="290"/>
        </w:trPr>
        <w:tc>
          <w:tcPr>
            <w:tcW w:w="2547" w:type="dxa"/>
            <w:shd w:val="clear" w:color="auto" w:fill="auto"/>
            <w:noWrap/>
            <w:vAlign w:val="bottom"/>
            <w:hideMark/>
          </w:tcPr>
          <w:p w14:paraId="3DDAAD88" w14:textId="77777777" w:rsidR="00360825" w:rsidRPr="005A2C0A" w:rsidRDefault="00360825" w:rsidP="00C04569">
            <w:pPr>
              <w:spacing w:after="0" w:line="240" w:lineRule="auto"/>
              <w:jc w:val="left"/>
              <w:rPr>
                <w:rFonts w:ascii="Arial" w:hAnsi="Arial" w:cs="Arial"/>
                <w:color w:val="000000"/>
              </w:rPr>
            </w:pPr>
            <w:r w:rsidRPr="005A2C0A">
              <w:rPr>
                <w:rFonts w:ascii="Arial" w:hAnsi="Arial" w:cs="Arial"/>
                <w:color w:val="000000"/>
              </w:rPr>
              <w:t>A1</w:t>
            </w:r>
            <w:r w:rsidRPr="00996D73">
              <w:rPr>
                <w:rFonts w:ascii="Arial" w:hAnsi="Arial" w:cs="Arial"/>
                <w:color w:val="000000"/>
              </w:rPr>
              <w:t xml:space="preserve"> (Shops etc)</w:t>
            </w:r>
          </w:p>
        </w:tc>
        <w:tc>
          <w:tcPr>
            <w:tcW w:w="1559" w:type="dxa"/>
            <w:shd w:val="clear" w:color="auto" w:fill="auto"/>
            <w:noWrap/>
            <w:vAlign w:val="bottom"/>
            <w:hideMark/>
          </w:tcPr>
          <w:p w14:paraId="094009C2"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3</w:t>
            </w:r>
            <w:r w:rsidRPr="00996D73">
              <w:rPr>
                <w:rFonts w:ascii="Arial" w:hAnsi="Arial" w:cs="Arial"/>
                <w:color w:val="000000"/>
              </w:rPr>
              <w:t>,</w:t>
            </w:r>
            <w:r w:rsidRPr="005A2C0A">
              <w:rPr>
                <w:rFonts w:ascii="Arial" w:hAnsi="Arial" w:cs="Arial"/>
                <w:color w:val="000000"/>
              </w:rPr>
              <w:t>428</w:t>
            </w:r>
          </w:p>
        </w:tc>
        <w:tc>
          <w:tcPr>
            <w:tcW w:w="1418" w:type="dxa"/>
            <w:shd w:val="clear" w:color="auto" w:fill="auto"/>
            <w:noWrap/>
            <w:vAlign w:val="bottom"/>
            <w:hideMark/>
          </w:tcPr>
          <w:p w14:paraId="78C318A9"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20</w:t>
            </w:r>
            <w:r w:rsidRPr="00996D73">
              <w:rPr>
                <w:rFonts w:ascii="Arial" w:hAnsi="Arial" w:cs="Arial"/>
                <w:color w:val="000000"/>
              </w:rPr>
              <w:t>,</w:t>
            </w:r>
            <w:r w:rsidRPr="005A2C0A">
              <w:rPr>
                <w:rFonts w:ascii="Arial" w:hAnsi="Arial" w:cs="Arial"/>
                <w:color w:val="000000"/>
              </w:rPr>
              <w:t>648</w:t>
            </w:r>
          </w:p>
        </w:tc>
        <w:tc>
          <w:tcPr>
            <w:tcW w:w="1620" w:type="dxa"/>
            <w:shd w:val="clear" w:color="auto" w:fill="auto"/>
            <w:noWrap/>
            <w:vAlign w:val="bottom"/>
            <w:hideMark/>
          </w:tcPr>
          <w:p w14:paraId="6F960CA5"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4</w:t>
            </w:r>
            <w:r w:rsidRPr="00996D73">
              <w:rPr>
                <w:rFonts w:ascii="Arial" w:hAnsi="Arial" w:cs="Arial"/>
                <w:color w:val="000000"/>
              </w:rPr>
              <w:t>,</w:t>
            </w:r>
            <w:r w:rsidRPr="005A2C0A">
              <w:rPr>
                <w:rFonts w:ascii="Arial" w:hAnsi="Arial" w:cs="Arial"/>
                <w:color w:val="000000"/>
              </w:rPr>
              <w:t>297</w:t>
            </w:r>
          </w:p>
        </w:tc>
        <w:tc>
          <w:tcPr>
            <w:tcW w:w="1276" w:type="dxa"/>
            <w:shd w:val="clear" w:color="auto" w:fill="auto"/>
            <w:noWrap/>
            <w:vAlign w:val="bottom"/>
            <w:hideMark/>
          </w:tcPr>
          <w:p w14:paraId="6A6FFC84"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28</w:t>
            </w:r>
            <w:r w:rsidRPr="00996D73">
              <w:rPr>
                <w:rFonts w:ascii="Arial" w:hAnsi="Arial" w:cs="Arial"/>
                <w:color w:val="000000"/>
              </w:rPr>
              <w:t>,</w:t>
            </w:r>
            <w:r w:rsidRPr="005A2C0A">
              <w:rPr>
                <w:rFonts w:ascii="Arial" w:hAnsi="Arial" w:cs="Arial"/>
                <w:color w:val="000000"/>
              </w:rPr>
              <w:t>373</w:t>
            </w:r>
          </w:p>
        </w:tc>
      </w:tr>
      <w:tr w:rsidR="00360825" w:rsidRPr="005A2C0A" w14:paraId="3C27F9D3" w14:textId="77777777" w:rsidTr="00C04569">
        <w:trPr>
          <w:trHeight w:val="290"/>
        </w:trPr>
        <w:tc>
          <w:tcPr>
            <w:tcW w:w="2547" w:type="dxa"/>
            <w:shd w:val="clear" w:color="auto" w:fill="auto"/>
            <w:noWrap/>
            <w:vAlign w:val="bottom"/>
            <w:hideMark/>
          </w:tcPr>
          <w:p w14:paraId="14BBAA31" w14:textId="77777777" w:rsidR="00360825" w:rsidRPr="005A2C0A" w:rsidRDefault="00360825" w:rsidP="00C04569">
            <w:pPr>
              <w:spacing w:after="0" w:line="240" w:lineRule="auto"/>
              <w:jc w:val="left"/>
              <w:rPr>
                <w:rFonts w:ascii="Arial" w:hAnsi="Arial" w:cs="Arial"/>
                <w:color w:val="000000"/>
              </w:rPr>
            </w:pPr>
            <w:r w:rsidRPr="005A2C0A">
              <w:rPr>
                <w:rFonts w:ascii="Arial" w:hAnsi="Arial" w:cs="Arial"/>
                <w:color w:val="000000"/>
              </w:rPr>
              <w:t>A2</w:t>
            </w:r>
            <w:r w:rsidRPr="00996D73">
              <w:rPr>
                <w:rFonts w:ascii="Arial" w:hAnsi="Arial" w:cs="Arial"/>
                <w:color w:val="000000"/>
              </w:rPr>
              <w:t xml:space="preserve"> (Professional and Financial Services etc.)</w:t>
            </w:r>
          </w:p>
        </w:tc>
        <w:tc>
          <w:tcPr>
            <w:tcW w:w="1559" w:type="dxa"/>
            <w:shd w:val="clear" w:color="auto" w:fill="auto"/>
            <w:noWrap/>
            <w:vAlign w:val="bottom"/>
            <w:hideMark/>
          </w:tcPr>
          <w:p w14:paraId="7E7CD6DD"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5</w:t>
            </w:r>
            <w:r w:rsidRPr="00996D73">
              <w:rPr>
                <w:rFonts w:ascii="Arial" w:hAnsi="Arial" w:cs="Arial"/>
                <w:color w:val="000000"/>
              </w:rPr>
              <w:t>,</w:t>
            </w:r>
            <w:r w:rsidRPr="005A2C0A">
              <w:rPr>
                <w:rFonts w:ascii="Arial" w:hAnsi="Arial" w:cs="Arial"/>
                <w:color w:val="000000"/>
              </w:rPr>
              <w:t>92</w:t>
            </w:r>
          </w:p>
        </w:tc>
        <w:tc>
          <w:tcPr>
            <w:tcW w:w="1418" w:type="dxa"/>
            <w:shd w:val="clear" w:color="auto" w:fill="auto"/>
            <w:noWrap/>
            <w:vAlign w:val="bottom"/>
            <w:hideMark/>
          </w:tcPr>
          <w:p w14:paraId="164BDDEA"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260</w:t>
            </w:r>
          </w:p>
        </w:tc>
        <w:tc>
          <w:tcPr>
            <w:tcW w:w="1620" w:type="dxa"/>
            <w:shd w:val="clear" w:color="auto" w:fill="auto"/>
            <w:noWrap/>
            <w:vAlign w:val="bottom"/>
            <w:hideMark/>
          </w:tcPr>
          <w:p w14:paraId="778D16C6"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60</w:t>
            </w:r>
          </w:p>
        </w:tc>
        <w:tc>
          <w:tcPr>
            <w:tcW w:w="1276" w:type="dxa"/>
            <w:shd w:val="clear" w:color="auto" w:fill="auto"/>
            <w:noWrap/>
            <w:vAlign w:val="bottom"/>
            <w:hideMark/>
          </w:tcPr>
          <w:p w14:paraId="7AAF8FAE"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912</w:t>
            </w:r>
          </w:p>
        </w:tc>
      </w:tr>
      <w:tr w:rsidR="00360825" w:rsidRPr="005A2C0A" w14:paraId="60CBF1A1" w14:textId="77777777" w:rsidTr="00C04569">
        <w:trPr>
          <w:trHeight w:val="290"/>
        </w:trPr>
        <w:tc>
          <w:tcPr>
            <w:tcW w:w="2547" w:type="dxa"/>
            <w:shd w:val="clear" w:color="auto" w:fill="auto"/>
            <w:noWrap/>
            <w:vAlign w:val="bottom"/>
            <w:hideMark/>
          </w:tcPr>
          <w:p w14:paraId="64A7F7FB" w14:textId="77777777" w:rsidR="00360825" w:rsidRPr="005A2C0A" w:rsidRDefault="00360825" w:rsidP="00C04569">
            <w:pPr>
              <w:spacing w:after="0" w:line="240" w:lineRule="auto"/>
              <w:jc w:val="left"/>
              <w:rPr>
                <w:rFonts w:ascii="Arial" w:hAnsi="Arial" w:cs="Arial"/>
                <w:color w:val="000000"/>
              </w:rPr>
            </w:pPr>
            <w:r w:rsidRPr="005A2C0A">
              <w:rPr>
                <w:rFonts w:ascii="Arial" w:hAnsi="Arial" w:cs="Arial"/>
                <w:color w:val="000000"/>
              </w:rPr>
              <w:t>D2</w:t>
            </w:r>
            <w:r w:rsidRPr="00996D73">
              <w:rPr>
                <w:rFonts w:ascii="Arial" w:hAnsi="Arial" w:cs="Arial"/>
                <w:color w:val="000000"/>
              </w:rPr>
              <w:t xml:space="preserve"> (Assembly and Leisure)</w:t>
            </w:r>
          </w:p>
        </w:tc>
        <w:tc>
          <w:tcPr>
            <w:tcW w:w="1559" w:type="dxa"/>
            <w:shd w:val="clear" w:color="auto" w:fill="auto"/>
            <w:noWrap/>
            <w:vAlign w:val="bottom"/>
            <w:hideMark/>
          </w:tcPr>
          <w:p w14:paraId="1AE13A58"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185</w:t>
            </w:r>
          </w:p>
        </w:tc>
        <w:tc>
          <w:tcPr>
            <w:tcW w:w="1418" w:type="dxa"/>
            <w:shd w:val="clear" w:color="auto" w:fill="auto"/>
            <w:noWrap/>
            <w:vAlign w:val="bottom"/>
            <w:hideMark/>
          </w:tcPr>
          <w:p w14:paraId="4D87F37F"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088</w:t>
            </w:r>
          </w:p>
        </w:tc>
        <w:tc>
          <w:tcPr>
            <w:tcW w:w="1620" w:type="dxa"/>
            <w:shd w:val="clear" w:color="auto" w:fill="auto"/>
            <w:noWrap/>
            <w:vAlign w:val="bottom"/>
            <w:hideMark/>
          </w:tcPr>
          <w:p w14:paraId="73952B72"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874</w:t>
            </w:r>
          </w:p>
        </w:tc>
        <w:tc>
          <w:tcPr>
            <w:tcW w:w="1276" w:type="dxa"/>
            <w:shd w:val="clear" w:color="auto" w:fill="auto"/>
            <w:noWrap/>
            <w:vAlign w:val="bottom"/>
            <w:hideMark/>
          </w:tcPr>
          <w:p w14:paraId="3CB0AC3A"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3</w:t>
            </w:r>
            <w:r w:rsidRPr="00996D73">
              <w:rPr>
                <w:rFonts w:ascii="Arial" w:hAnsi="Arial" w:cs="Arial"/>
                <w:color w:val="000000"/>
              </w:rPr>
              <w:t>,</w:t>
            </w:r>
            <w:r w:rsidRPr="005A2C0A">
              <w:rPr>
                <w:rFonts w:ascii="Arial" w:hAnsi="Arial" w:cs="Arial"/>
                <w:color w:val="000000"/>
              </w:rPr>
              <w:t>147</w:t>
            </w:r>
          </w:p>
        </w:tc>
      </w:tr>
      <w:tr w:rsidR="00360825" w:rsidRPr="005A2C0A" w14:paraId="1D64D923" w14:textId="77777777" w:rsidTr="00C04569">
        <w:trPr>
          <w:trHeight w:val="290"/>
        </w:trPr>
        <w:tc>
          <w:tcPr>
            <w:tcW w:w="2547" w:type="dxa"/>
            <w:shd w:val="clear" w:color="auto" w:fill="auto"/>
            <w:noWrap/>
            <w:vAlign w:val="bottom"/>
            <w:hideMark/>
          </w:tcPr>
          <w:p w14:paraId="0B018F0C" w14:textId="77777777" w:rsidR="00360825" w:rsidRPr="005A2C0A" w:rsidRDefault="00360825" w:rsidP="00C04569">
            <w:pPr>
              <w:spacing w:after="0" w:line="240" w:lineRule="auto"/>
              <w:jc w:val="left"/>
              <w:rPr>
                <w:rFonts w:ascii="Arial" w:hAnsi="Arial" w:cs="Arial"/>
                <w:color w:val="000000"/>
              </w:rPr>
            </w:pPr>
            <w:r w:rsidRPr="005A2C0A">
              <w:rPr>
                <w:rFonts w:ascii="Arial" w:hAnsi="Arial" w:cs="Arial"/>
                <w:color w:val="000000"/>
              </w:rPr>
              <w:t xml:space="preserve">Total </w:t>
            </w:r>
            <w:r w:rsidRPr="00996D73">
              <w:rPr>
                <w:rFonts w:ascii="Arial" w:hAnsi="Arial" w:cs="Arial"/>
                <w:color w:val="000000"/>
              </w:rPr>
              <w:t>to A1,A2,D2 (2001-2021)</w:t>
            </w:r>
          </w:p>
        </w:tc>
        <w:tc>
          <w:tcPr>
            <w:tcW w:w="1559" w:type="dxa"/>
            <w:shd w:val="clear" w:color="auto" w:fill="auto"/>
            <w:noWrap/>
            <w:vAlign w:val="bottom"/>
            <w:hideMark/>
          </w:tcPr>
          <w:p w14:paraId="55D985DE"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5</w:t>
            </w:r>
            <w:r w:rsidRPr="00996D73">
              <w:rPr>
                <w:rFonts w:ascii="Arial" w:hAnsi="Arial" w:cs="Arial"/>
                <w:color w:val="000000"/>
              </w:rPr>
              <w:t>,</w:t>
            </w:r>
            <w:r w:rsidRPr="005A2C0A">
              <w:rPr>
                <w:rFonts w:ascii="Arial" w:hAnsi="Arial" w:cs="Arial"/>
                <w:color w:val="000000"/>
              </w:rPr>
              <w:t>205</w:t>
            </w:r>
          </w:p>
        </w:tc>
        <w:tc>
          <w:tcPr>
            <w:tcW w:w="1418" w:type="dxa"/>
            <w:shd w:val="clear" w:color="auto" w:fill="auto"/>
            <w:noWrap/>
            <w:vAlign w:val="bottom"/>
            <w:hideMark/>
          </w:tcPr>
          <w:p w14:paraId="14F16C91"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21</w:t>
            </w:r>
            <w:r w:rsidRPr="00996D73">
              <w:rPr>
                <w:rFonts w:ascii="Arial" w:hAnsi="Arial" w:cs="Arial"/>
                <w:color w:val="000000"/>
              </w:rPr>
              <w:t>,</w:t>
            </w:r>
            <w:r w:rsidRPr="005A2C0A">
              <w:rPr>
                <w:rFonts w:ascii="Arial" w:hAnsi="Arial" w:cs="Arial"/>
                <w:color w:val="000000"/>
              </w:rPr>
              <w:t>996</w:t>
            </w:r>
          </w:p>
        </w:tc>
        <w:tc>
          <w:tcPr>
            <w:tcW w:w="1620" w:type="dxa"/>
            <w:shd w:val="clear" w:color="auto" w:fill="auto"/>
            <w:noWrap/>
            <w:vAlign w:val="bottom"/>
            <w:hideMark/>
          </w:tcPr>
          <w:p w14:paraId="0CDEC521"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5</w:t>
            </w:r>
            <w:r w:rsidRPr="00996D73">
              <w:rPr>
                <w:rFonts w:ascii="Arial" w:hAnsi="Arial" w:cs="Arial"/>
                <w:color w:val="000000"/>
              </w:rPr>
              <w:t>,</w:t>
            </w:r>
            <w:r w:rsidRPr="005A2C0A">
              <w:rPr>
                <w:rFonts w:ascii="Arial" w:hAnsi="Arial" w:cs="Arial"/>
                <w:color w:val="000000"/>
              </w:rPr>
              <w:t>231</w:t>
            </w:r>
          </w:p>
        </w:tc>
        <w:tc>
          <w:tcPr>
            <w:tcW w:w="1276" w:type="dxa"/>
            <w:shd w:val="clear" w:color="auto" w:fill="auto"/>
            <w:noWrap/>
            <w:vAlign w:val="bottom"/>
            <w:hideMark/>
          </w:tcPr>
          <w:p w14:paraId="593D3D48"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32</w:t>
            </w:r>
            <w:r w:rsidRPr="00996D73">
              <w:rPr>
                <w:rFonts w:ascii="Arial" w:hAnsi="Arial" w:cs="Arial"/>
                <w:color w:val="000000"/>
              </w:rPr>
              <w:t>,</w:t>
            </w:r>
            <w:r w:rsidRPr="005A2C0A">
              <w:rPr>
                <w:rFonts w:ascii="Arial" w:hAnsi="Arial" w:cs="Arial"/>
                <w:color w:val="000000"/>
              </w:rPr>
              <w:t>432</w:t>
            </w:r>
          </w:p>
        </w:tc>
      </w:tr>
      <w:tr w:rsidR="00360825" w:rsidRPr="005A2C0A" w14:paraId="34E31CF1" w14:textId="77777777" w:rsidTr="00C04569">
        <w:trPr>
          <w:trHeight w:val="290"/>
        </w:trPr>
        <w:tc>
          <w:tcPr>
            <w:tcW w:w="2547" w:type="dxa"/>
            <w:shd w:val="clear" w:color="auto" w:fill="auto"/>
            <w:noWrap/>
            <w:vAlign w:val="bottom"/>
            <w:hideMark/>
          </w:tcPr>
          <w:p w14:paraId="40EACF5C" w14:textId="77777777" w:rsidR="00360825" w:rsidRPr="00996D73" w:rsidRDefault="00360825" w:rsidP="00C04569">
            <w:pPr>
              <w:spacing w:after="0" w:line="240" w:lineRule="auto"/>
              <w:jc w:val="left"/>
              <w:rPr>
                <w:rFonts w:ascii="Arial" w:hAnsi="Arial" w:cs="Arial"/>
                <w:color w:val="000000"/>
              </w:rPr>
            </w:pPr>
            <w:r w:rsidRPr="005A2C0A">
              <w:rPr>
                <w:rFonts w:ascii="Arial" w:hAnsi="Arial" w:cs="Arial"/>
                <w:color w:val="000000"/>
              </w:rPr>
              <w:t>Average</w:t>
            </w:r>
          </w:p>
          <w:p w14:paraId="0B21C661" w14:textId="77777777" w:rsidR="00360825" w:rsidRPr="005A2C0A" w:rsidRDefault="00360825" w:rsidP="00C04569">
            <w:pPr>
              <w:spacing w:after="0" w:line="240" w:lineRule="auto"/>
              <w:jc w:val="left"/>
              <w:rPr>
                <w:rFonts w:ascii="Arial" w:hAnsi="Arial" w:cs="Arial"/>
                <w:color w:val="000000"/>
              </w:rPr>
            </w:pPr>
            <w:r w:rsidRPr="00996D73">
              <w:rPr>
                <w:rFonts w:ascii="Arial" w:hAnsi="Arial" w:cs="Arial"/>
                <w:color w:val="000000"/>
              </w:rPr>
              <w:t>(2001-2021)</w:t>
            </w:r>
          </w:p>
        </w:tc>
        <w:tc>
          <w:tcPr>
            <w:tcW w:w="1559" w:type="dxa"/>
            <w:shd w:val="clear" w:color="auto" w:fill="auto"/>
            <w:noWrap/>
            <w:vAlign w:val="bottom"/>
            <w:hideMark/>
          </w:tcPr>
          <w:p w14:paraId="29C4356E"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260</w:t>
            </w:r>
          </w:p>
        </w:tc>
        <w:tc>
          <w:tcPr>
            <w:tcW w:w="1418" w:type="dxa"/>
            <w:shd w:val="clear" w:color="auto" w:fill="auto"/>
            <w:noWrap/>
            <w:vAlign w:val="bottom"/>
            <w:hideMark/>
          </w:tcPr>
          <w:p w14:paraId="67428DA8"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100</w:t>
            </w:r>
          </w:p>
        </w:tc>
        <w:tc>
          <w:tcPr>
            <w:tcW w:w="1620" w:type="dxa"/>
            <w:shd w:val="clear" w:color="auto" w:fill="auto"/>
            <w:noWrap/>
            <w:vAlign w:val="bottom"/>
            <w:hideMark/>
          </w:tcPr>
          <w:p w14:paraId="7F4157EB"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262</w:t>
            </w:r>
          </w:p>
        </w:tc>
        <w:tc>
          <w:tcPr>
            <w:tcW w:w="1276" w:type="dxa"/>
            <w:shd w:val="clear" w:color="auto" w:fill="auto"/>
            <w:noWrap/>
            <w:vAlign w:val="bottom"/>
            <w:hideMark/>
          </w:tcPr>
          <w:p w14:paraId="08D6D62C"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622</w:t>
            </w:r>
          </w:p>
        </w:tc>
      </w:tr>
      <w:tr w:rsidR="00360825" w:rsidRPr="005A2C0A" w14:paraId="0BAD6823" w14:textId="77777777" w:rsidTr="00C04569">
        <w:trPr>
          <w:trHeight w:val="290"/>
        </w:trPr>
        <w:tc>
          <w:tcPr>
            <w:tcW w:w="2547" w:type="dxa"/>
            <w:shd w:val="clear" w:color="auto" w:fill="auto"/>
            <w:noWrap/>
            <w:vAlign w:val="bottom"/>
            <w:hideMark/>
          </w:tcPr>
          <w:p w14:paraId="07DA23EB" w14:textId="77777777" w:rsidR="00360825" w:rsidRPr="00996D73" w:rsidRDefault="00360825" w:rsidP="00C04569">
            <w:pPr>
              <w:spacing w:after="0" w:line="240" w:lineRule="auto"/>
              <w:jc w:val="left"/>
              <w:rPr>
                <w:rFonts w:ascii="Arial" w:hAnsi="Arial" w:cs="Arial"/>
                <w:color w:val="000000"/>
              </w:rPr>
            </w:pPr>
            <w:r w:rsidRPr="005A2C0A">
              <w:rPr>
                <w:rFonts w:ascii="Arial" w:hAnsi="Arial" w:cs="Arial"/>
                <w:color w:val="000000"/>
              </w:rPr>
              <w:t>Average to Resi</w:t>
            </w:r>
            <w:r w:rsidRPr="00996D73">
              <w:rPr>
                <w:rFonts w:ascii="Arial" w:hAnsi="Arial" w:cs="Arial"/>
                <w:color w:val="000000"/>
              </w:rPr>
              <w:t>dential</w:t>
            </w:r>
          </w:p>
          <w:p w14:paraId="56A0A418" w14:textId="77777777" w:rsidR="00360825" w:rsidRPr="005A2C0A" w:rsidRDefault="00360825" w:rsidP="00C04569">
            <w:pPr>
              <w:spacing w:after="0" w:line="240" w:lineRule="auto"/>
              <w:jc w:val="left"/>
              <w:rPr>
                <w:rFonts w:ascii="Arial" w:hAnsi="Arial" w:cs="Arial"/>
                <w:color w:val="000000"/>
              </w:rPr>
            </w:pPr>
            <w:r w:rsidRPr="00996D73">
              <w:rPr>
                <w:rFonts w:ascii="Arial" w:hAnsi="Arial" w:cs="Arial"/>
                <w:color w:val="000000"/>
              </w:rPr>
              <w:t>(2018-2021)</w:t>
            </w:r>
          </w:p>
        </w:tc>
        <w:tc>
          <w:tcPr>
            <w:tcW w:w="1559" w:type="dxa"/>
            <w:shd w:val="clear" w:color="auto" w:fill="auto"/>
            <w:noWrap/>
            <w:vAlign w:val="bottom"/>
            <w:hideMark/>
          </w:tcPr>
          <w:p w14:paraId="6BC40F9F"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277</w:t>
            </w:r>
          </w:p>
        </w:tc>
        <w:tc>
          <w:tcPr>
            <w:tcW w:w="1418" w:type="dxa"/>
            <w:shd w:val="clear" w:color="auto" w:fill="auto"/>
            <w:noWrap/>
            <w:vAlign w:val="bottom"/>
            <w:hideMark/>
          </w:tcPr>
          <w:p w14:paraId="5B983DF9"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314</w:t>
            </w:r>
          </w:p>
        </w:tc>
        <w:tc>
          <w:tcPr>
            <w:tcW w:w="1620" w:type="dxa"/>
            <w:shd w:val="clear" w:color="auto" w:fill="auto"/>
            <w:noWrap/>
            <w:vAlign w:val="bottom"/>
            <w:hideMark/>
          </w:tcPr>
          <w:p w14:paraId="7A8E52FE"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w:t>
            </w:r>
            <w:r w:rsidRPr="00996D73">
              <w:rPr>
                <w:rFonts w:ascii="Arial" w:hAnsi="Arial" w:cs="Arial"/>
                <w:color w:val="000000"/>
              </w:rPr>
              <w:t>,</w:t>
            </w:r>
            <w:r w:rsidRPr="005A2C0A">
              <w:rPr>
                <w:rFonts w:ascii="Arial" w:hAnsi="Arial" w:cs="Arial"/>
                <w:color w:val="000000"/>
              </w:rPr>
              <w:t>616</w:t>
            </w:r>
          </w:p>
        </w:tc>
        <w:tc>
          <w:tcPr>
            <w:tcW w:w="1276" w:type="dxa"/>
            <w:shd w:val="clear" w:color="auto" w:fill="auto"/>
            <w:noWrap/>
            <w:vAlign w:val="bottom"/>
            <w:hideMark/>
          </w:tcPr>
          <w:p w14:paraId="4112DCCC"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4</w:t>
            </w:r>
            <w:r w:rsidRPr="00996D73">
              <w:rPr>
                <w:rFonts w:ascii="Arial" w:hAnsi="Arial" w:cs="Arial"/>
                <w:color w:val="000000"/>
              </w:rPr>
              <w:t>,</w:t>
            </w:r>
            <w:r w:rsidRPr="005A2C0A">
              <w:rPr>
                <w:rFonts w:ascii="Arial" w:hAnsi="Arial" w:cs="Arial"/>
                <w:color w:val="000000"/>
              </w:rPr>
              <w:t>207</w:t>
            </w:r>
          </w:p>
        </w:tc>
      </w:tr>
      <w:tr w:rsidR="00360825" w:rsidRPr="005A2C0A" w14:paraId="55F73056" w14:textId="77777777" w:rsidTr="00C04569">
        <w:trPr>
          <w:trHeight w:val="290"/>
        </w:trPr>
        <w:tc>
          <w:tcPr>
            <w:tcW w:w="2547" w:type="dxa"/>
            <w:shd w:val="clear" w:color="auto" w:fill="auto"/>
            <w:noWrap/>
            <w:vAlign w:val="bottom"/>
            <w:hideMark/>
          </w:tcPr>
          <w:p w14:paraId="1680BB05" w14:textId="77777777" w:rsidR="00360825" w:rsidRPr="005A2C0A" w:rsidRDefault="00360825" w:rsidP="00C04569">
            <w:pPr>
              <w:spacing w:after="0" w:line="240" w:lineRule="auto"/>
              <w:jc w:val="left"/>
              <w:rPr>
                <w:rFonts w:ascii="Arial" w:hAnsi="Arial" w:cs="Arial"/>
                <w:color w:val="000000"/>
              </w:rPr>
            </w:pPr>
            <w:r w:rsidRPr="005A2C0A">
              <w:rPr>
                <w:rFonts w:ascii="Arial" w:hAnsi="Arial" w:cs="Arial"/>
                <w:color w:val="000000"/>
              </w:rPr>
              <w:t>Revised Average</w:t>
            </w:r>
          </w:p>
        </w:tc>
        <w:tc>
          <w:tcPr>
            <w:tcW w:w="1559" w:type="dxa"/>
            <w:shd w:val="clear" w:color="auto" w:fill="auto"/>
            <w:noWrap/>
            <w:vAlign w:val="bottom"/>
            <w:hideMark/>
          </w:tcPr>
          <w:p w14:paraId="63935A0C"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537</w:t>
            </w:r>
          </w:p>
        </w:tc>
        <w:tc>
          <w:tcPr>
            <w:tcW w:w="1418" w:type="dxa"/>
            <w:shd w:val="clear" w:color="auto" w:fill="auto"/>
            <w:noWrap/>
            <w:vAlign w:val="bottom"/>
            <w:hideMark/>
          </w:tcPr>
          <w:p w14:paraId="26F27725"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414</w:t>
            </w:r>
          </w:p>
        </w:tc>
        <w:tc>
          <w:tcPr>
            <w:tcW w:w="1620" w:type="dxa"/>
            <w:shd w:val="clear" w:color="auto" w:fill="auto"/>
            <w:noWrap/>
            <w:vAlign w:val="bottom"/>
            <w:hideMark/>
          </w:tcPr>
          <w:p w14:paraId="3ED198CA"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w:t>
            </w:r>
            <w:r w:rsidRPr="00996D73">
              <w:rPr>
                <w:rFonts w:ascii="Arial" w:hAnsi="Arial" w:cs="Arial"/>
                <w:color w:val="000000"/>
              </w:rPr>
              <w:t>,</w:t>
            </w:r>
            <w:r w:rsidRPr="005A2C0A">
              <w:rPr>
                <w:rFonts w:ascii="Arial" w:hAnsi="Arial" w:cs="Arial"/>
                <w:color w:val="000000"/>
              </w:rPr>
              <w:t>878</w:t>
            </w:r>
          </w:p>
        </w:tc>
        <w:tc>
          <w:tcPr>
            <w:tcW w:w="1276" w:type="dxa"/>
            <w:shd w:val="clear" w:color="auto" w:fill="auto"/>
            <w:noWrap/>
            <w:vAlign w:val="bottom"/>
            <w:hideMark/>
          </w:tcPr>
          <w:p w14:paraId="09DF48C4"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5</w:t>
            </w:r>
            <w:r w:rsidRPr="00996D73">
              <w:rPr>
                <w:rFonts w:ascii="Arial" w:hAnsi="Arial" w:cs="Arial"/>
                <w:color w:val="000000"/>
              </w:rPr>
              <w:t>,</w:t>
            </w:r>
            <w:r w:rsidRPr="005A2C0A">
              <w:rPr>
                <w:rFonts w:ascii="Arial" w:hAnsi="Arial" w:cs="Arial"/>
                <w:color w:val="000000"/>
              </w:rPr>
              <w:t>829</w:t>
            </w:r>
          </w:p>
        </w:tc>
      </w:tr>
    </w:tbl>
    <w:p w14:paraId="070648BC" w14:textId="77777777" w:rsidR="00360825" w:rsidRPr="00996D73" w:rsidRDefault="00360825" w:rsidP="00360825">
      <w:pPr>
        <w:pStyle w:val="11Bodytext"/>
        <w:tabs>
          <w:tab w:val="clear" w:pos="794"/>
        </w:tabs>
        <w:rPr>
          <w:i/>
          <w:iCs/>
        </w:rPr>
      </w:pPr>
      <w:r w:rsidRPr="00996D73">
        <w:rPr>
          <w:i/>
          <w:iCs/>
        </w:rPr>
        <w:t>Source: Iceni Projects based on OE and WSCC Data</w:t>
      </w:r>
    </w:p>
    <w:p w14:paraId="17210095" w14:textId="24174B21"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It is not expected that the rate of losses will continue to the same degree but some losses will continue to occur. This is justified as the strong upturn in demand for warehousing space means that it is less likely to be lost in future. We have therefore assumed that historic trends in losses to other uses going forward will be at 50% of </w:t>
      </w:r>
      <w:r>
        <w:rPr>
          <w:rFonts w:ascii="Arial" w:hAnsi="Arial" w:cs="Arial"/>
        </w:rPr>
        <w:t>the</w:t>
      </w:r>
      <w:r w:rsidRPr="00B13575">
        <w:rPr>
          <w:rFonts w:ascii="Arial" w:hAnsi="Arial" w:cs="Arial"/>
        </w:rPr>
        <w:t xml:space="preserve"> rates</w:t>
      </w:r>
      <w:r>
        <w:rPr>
          <w:rFonts w:ascii="Arial" w:hAnsi="Arial" w:cs="Arial"/>
        </w:rPr>
        <w:t xml:space="preserve"> calculated</w:t>
      </w:r>
      <w:r w:rsidR="002B1913" w:rsidRPr="00B13575">
        <w:rPr>
          <w:rFonts w:ascii="Arial" w:hAnsi="Arial" w:cs="Arial"/>
        </w:rPr>
        <w:t xml:space="preserve">. </w:t>
      </w:r>
    </w:p>
    <w:p w14:paraId="68201504" w14:textId="0EE7A14D"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As shown in the table below, if this trend continues there will be a replacement demand for almost </w:t>
      </w:r>
      <w:r>
        <w:rPr>
          <w:rFonts w:ascii="Arial" w:hAnsi="Arial" w:cs="Arial"/>
        </w:rPr>
        <w:t>52</w:t>
      </w:r>
      <w:r w:rsidRPr="00B13575">
        <w:rPr>
          <w:rFonts w:ascii="Arial" w:hAnsi="Arial" w:cs="Arial"/>
        </w:rPr>
        <w:t xml:space="preserve">,000 sq. m across the plan period. This is the equivalent of replacing around 7% of the total employment floorspace. This is translated in to employment land using same plot ratios as before. In total, this component adds </w:t>
      </w:r>
      <w:r>
        <w:rPr>
          <w:rFonts w:ascii="Arial" w:hAnsi="Arial" w:cs="Arial"/>
        </w:rPr>
        <w:t>10.2</w:t>
      </w:r>
      <w:r w:rsidRPr="00B13575">
        <w:rPr>
          <w:rFonts w:ascii="Arial" w:hAnsi="Arial" w:cs="Arial"/>
        </w:rPr>
        <w:t xml:space="preserve"> Ha on to the calculation</w:t>
      </w:r>
      <w:r w:rsidR="002B1913" w:rsidRPr="00B13575">
        <w:rPr>
          <w:rFonts w:ascii="Arial" w:hAnsi="Arial" w:cs="Arial"/>
        </w:rPr>
        <w:t xml:space="preserve">. </w:t>
      </w:r>
      <w:r w:rsidRPr="00B13575">
        <w:rPr>
          <w:rFonts w:ascii="Arial" w:hAnsi="Arial" w:cs="Arial"/>
        </w:rPr>
        <w:t>The majority of this is from industrial and specifically warehouses.</w:t>
      </w:r>
    </w:p>
    <w:p w14:paraId="31D31FD5" w14:textId="669DA61F" w:rsidR="00360825" w:rsidRPr="00B13575" w:rsidRDefault="00360825" w:rsidP="001A7584">
      <w:pPr>
        <w:pStyle w:val="Heading4"/>
        <w:ind w:firstLine="0"/>
      </w:pPr>
      <w:r w:rsidRPr="00B13575">
        <w:t>Replacement Demand Calculation (2021-203</w:t>
      </w:r>
      <w:r w:rsidR="00892BCF">
        <w:t>9</w:t>
      </w:r>
      <w:r w:rsidRPr="00B13575">
        <w:t>) – Chichester Plan Area</w:t>
      </w:r>
    </w:p>
    <w:tbl>
      <w:tblPr>
        <w:tblW w:w="9067" w:type="dxa"/>
        <w:tblLayout w:type="fixed"/>
        <w:tblLook w:val="04A0" w:firstRow="1" w:lastRow="0" w:firstColumn="1" w:lastColumn="0" w:noHBand="0" w:noVBand="1"/>
      </w:tblPr>
      <w:tblGrid>
        <w:gridCol w:w="1339"/>
        <w:gridCol w:w="1932"/>
        <w:gridCol w:w="1932"/>
        <w:gridCol w:w="1932"/>
        <w:gridCol w:w="1932"/>
      </w:tblGrid>
      <w:tr w:rsidR="00360825" w:rsidRPr="008B17BB" w14:paraId="51BB4C7A" w14:textId="77777777" w:rsidTr="00C04569">
        <w:trPr>
          <w:trHeight w:val="770"/>
        </w:trPr>
        <w:tc>
          <w:tcPr>
            <w:tcW w:w="1339"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B78FF01" w14:textId="77777777" w:rsidR="00360825" w:rsidRPr="008B17BB" w:rsidRDefault="00360825" w:rsidP="00C04569">
            <w:pPr>
              <w:spacing w:after="0" w:line="240" w:lineRule="auto"/>
              <w:jc w:val="left"/>
              <w:rPr>
                <w:rFonts w:ascii="Arial" w:hAnsi="Arial" w:cs="Arial"/>
                <w:color w:val="000000"/>
              </w:rPr>
            </w:pPr>
            <w:r w:rsidRPr="008B17BB">
              <w:rPr>
                <w:rFonts w:ascii="Arial" w:hAnsi="Arial" w:cs="Arial"/>
                <w:color w:val="000000"/>
              </w:rPr>
              <w:t> </w:t>
            </w:r>
          </w:p>
        </w:tc>
        <w:tc>
          <w:tcPr>
            <w:tcW w:w="1932" w:type="dxa"/>
            <w:tcBorders>
              <w:top w:val="single" w:sz="4" w:space="0" w:color="auto"/>
              <w:left w:val="nil"/>
              <w:bottom w:val="single" w:sz="4" w:space="0" w:color="auto"/>
              <w:right w:val="single" w:sz="4" w:space="0" w:color="auto"/>
            </w:tcBorders>
            <w:shd w:val="clear" w:color="000000" w:fill="002060"/>
            <w:vAlign w:val="bottom"/>
            <w:hideMark/>
          </w:tcPr>
          <w:p w14:paraId="3BDB8DEC" w14:textId="77777777" w:rsidR="00360825" w:rsidRPr="008B17BB" w:rsidRDefault="00360825" w:rsidP="00C04569">
            <w:pPr>
              <w:spacing w:after="0" w:line="240" w:lineRule="auto"/>
              <w:jc w:val="center"/>
              <w:rPr>
                <w:rFonts w:ascii="Arial" w:hAnsi="Arial" w:cs="Arial"/>
                <w:color w:val="FFFFFF"/>
              </w:rPr>
            </w:pPr>
            <w:r w:rsidRPr="008B17BB">
              <w:rPr>
                <w:rFonts w:ascii="Arial" w:hAnsi="Arial" w:cs="Arial"/>
                <w:color w:val="FFFFFF"/>
              </w:rPr>
              <w:t>Average Annual Loss to Other Uses sqm</w:t>
            </w:r>
          </w:p>
        </w:tc>
        <w:tc>
          <w:tcPr>
            <w:tcW w:w="1932" w:type="dxa"/>
            <w:tcBorders>
              <w:top w:val="single" w:sz="4" w:space="0" w:color="auto"/>
              <w:left w:val="nil"/>
              <w:bottom w:val="single" w:sz="4" w:space="0" w:color="auto"/>
              <w:right w:val="single" w:sz="4" w:space="0" w:color="auto"/>
            </w:tcBorders>
            <w:shd w:val="clear" w:color="000000" w:fill="002060"/>
            <w:vAlign w:val="bottom"/>
            <w:hideMark/>
          </w:tcPr>
          <w:p w14:paraId="70E0784A" w14:textId="77777777" w:rsidR="00360825" w:rsidRPr="008B17BB" w:rsidRDefault="00360825" w:rsidP="00C04569">
            <w:pPr>
              <w:spacing w:after="0" w:line="240" w:lineRule="auto"/>
              <w:jc w:val="center"/>
              <w:rPr>
                <w:rFonts w:ascii="Arial" w:hAnsi="Arial" w:cs="Arial"/>
                <w:color w:val="FFFFFF"/>
              </w:rPr>
            </w:pPr>
            <w:r w:rsidRPr="008B17BB">
              <w:rPr>
                <w:rFonts w:ascii="Arial" w:hAnsi="Arial" w:cs="Arial"/>
                <w:color w:val="FFFFFF"/>
              </w:rPr>
              <w:t>50% of Average Annual Loss to Other Uses sqm</w:t>
            </w:r>
          </w:p>
        </w:tc>
        <w:tc>
          <w:tcPr>
            <w:tcW w:w="1932" w:type="dxa"/>
            <w:tcBorders>
              <w:top w:val="single" w:sz="4" w:space="0" w:color="auto"/>
              <w:left w:val="nil"/>
              <w:bottom w:val="single" w:sz="4" w:space="0" w:color="auto"/>
              <w:right w:val="single" w:sz="4" w:space="0" w:color="auto"/>
            </w:tcBorders>
            <w:shd w:val="clear" w:color="000000" w:fill="002060"/>
            <w:vAlign w:val="bottom"/>
            <w:hideMark/>
          </w:tcPr>
          <w:p w14:paraId="6E739BC0" w14:textId="77777777" w:rsidR="00360825" w:rsidRPr="008B17BB" w:rsidRDefault="00360825" w:rsidP="00C04569">
            <w:pPr>
              <w:spacing w:after="0" w:line="240" w:lineRule="auto"/>
              <w:jc w:val="center"/>
              <w:rPr>
                <w:rFonts w:ascii="Arial" w:hAnsi="Arial" w:cs="Arial"/>
                <w:color w:val="FFFFFF"/>
              </w:rPr>
            </w:pPr>
            <w:r w:rsidRPr="008B17BB">
              <w:rPr>
                <w:rFonts w:ascii="Arial" w:hAnsi="Arial" w:cs="Arial"/>
                <w:color w:val="FFFFFF"/>
              </w:rPr>
              <w:t>Replacement Demand sqm</w:t>
            </w:r>
          </w:p>
        </w:tc>
        <w:tc>
          <w:tcPr>
            <w:tcW w:w="1932" w:type="dxa"/>
            <w:tcBorders>
              <w:top w:val="single" w:sz="4" w:space="0" w:color="auto"/>
              <w:left w:val="nil"/>
              <w:bottom w:val="single" w:sz="4" w:space="0" w:color="auto"/>
              <w:right w:val="single" w:sz="4" w:space="0" w:color="auto"/>
            </w:tcBorders>
            <w:shd w:val="clear" w:color="000000" w:fill="002060"/>
            <w:vAlign w:val="bottom"/>
            <w:hideMark/>
          </w:tcPr>
          <w:p w14:paraId="642B121A" w14:textId="77777777" w:rsidR="00360825" w:rsidRPr="008B17BB" w:rsidRDefault="00360825" w:rsidP="00C04569">
            <w:pPr>
              <w:spacing w:after="0" w:line="240" w:lineRule="auto"/>
              <w:jc w:val="center"/>
              <w:rPr>
                <w:rFonts w:ascii="Arial" w:hAnsi="Arial" w:cs="Arial"/>
                <w:color w:val="FFFFFF"/>
              </w:rPr>
            </w:pPr>
            <w:r w:rsidRPr="008B17BB">
              <w:rPr>
                <w:rFonts w:ascii="Arial" w:hAnsi="Arial" w:cs="Arial"/>
                <w:color w:val="FFFFFF"/>
              </w:rPr>
              <w:t xml:space="preserve">Replacement Demand </w:t>
            </w:r>
          </w:p>
          <w:p w14:paraId="63626B4D" w14:textId="77777777" w:rsidR="00360825" w:rsidRPr="008B17BB" w:rsidRDefault="00360825" w:rsidP="00C04569">
            <w:pPr>
              <w:spacing w:after="0" w:line="240" w:lineRule="auto"/>
              <w:jc w:val="center"/>
              <w:rPr>
                <w:rFonts w:ascii="Arial" w:hAnsi="Arial" w:cs="Arial"/>
                <w:color w:val="FFFFFF"/>
              </w:rPr>
            </w:pPr>
            <w:r w:rsidRPr="008B17BB">
              <w:rPr>
                <w:rFonts w:ascii="Arial" w:hAnsi="Arial" w:cs="Arial"/>
                <w:color w:val="FFFFFF"/>
              </w:rPr>
              <w:t>Ha</w:t>
            </w:r>
          </w:p>
        </w:tc>
      </w:tr>
      <w:tr w:rsidR="00360825" w:rsidRPr="008B17BB" w14:paraId="48EA627C" w14:textId="77777777" w:rsidTr="00C04569">
        <w:trPr>
          <w:trHeight w:val="29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1971C68E" w14:textId="77777777" w:rsidR="00360825" w:rsidRPr="008B17BB" w:rsidRDefault="00360825" w:rsidP="00C04569">
            <w:pPr>
              <w:spacing w:after="0" w:line="240" w:lineRule="auto"/>
              <w:jc w:val="left"/>
              <w:rPr>
                <w:rFonts w:ascii="Arial" w:hAnsi="Arial" w:cs="Arial"/>
                <w:color w:val="000000"/>
              </w:rPr>
            </w:pPr>
            <w:r w:rsidRPr="008B17BB">
              <w:rPr>
                <w:rFonts w:ascii="Arial" w:hAnsi="Arial" w:cs="Arial"/>
                <w:color w:val="000000"/>
              </w:rPr>
              <w:t>Office</w:t>
            </w:r>
          </w:p>
        </w:tc>
        <w:tc>
          <w:tcPr>
            <w:tcW w:w="1932" w:type="dxa"/>
            <w:tcBorders>
              <w:top w:val="nil"/>
              <w:left w:val="nil"/>
              <w:bottom w:val="single" w:sz="4" w:space="0" w:color="auto"/>
              <w:right w:val="single" w:sz="4" w:space="0" w:color="auto"/>
            </w:tcBorders>
            <w:shd w:val="clear" w:color="auto" w:fill="auto"/>
            <w:noWrap/>
            <w:vAlign w:val="bottom"/>
            <w:hideMark/>
          </w:tcPr>
          <w:p w14:paraId="3CDAEE15"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1,537</w:t>
            </w:r>
          </w:p>
        </w:tc>
        <w:tc>
          <w:tcPr>
            <w:tcW w:w="1932" w:type="dxa"/>
            <w:tcBorders>
              <w:top w:val="nil"/>
              <w:left w:val="nil"/>
              <w:bottom w:val="single" w:sz="4" w:space="0" w:color="auto"/>
              <w:right w:val="single" w:sz="4" w:space="0" w:color="auto"/>
            </w:tcBorders>
            <w:shd w:val="clear" w:color="auto" w:fill="auto"/>
            <w:noWrap/>
            <w:vAlign w:val="bottom"/>
            <w:hideMark/>
          </w:tcPr>
          <w:p w14:paraId="35EC73D2"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769</w:t>
            </w:r>
          </w:p>
        </w:tc>
        <w:tc>
          <w:tcPr>
            <w:tcW w:w="1932" w:type="dxa"/>
            <w:tcBorders>
              <w:top w:val="nil"/>
              <w:left w:val="nil"/>
              <w:bottom w:val="single" w:sz="4" w:space="0" w:color="auto"/>
              <w:right w:val="single" w:sz="4" w:space="0" w:color="auto"/>
            </w:tcBorders>
            <w:shd w:val="clear" w:color="auto" w:fill="auto"/>
            <w:noWrap/>
            <w:vAlign w:val="bottom"/>
            <w:hideMark/>
          </w:tcPr>
          <w:p w14:paraId="4B24111C"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13,835</w:t>
            </w:r>
          </w:p>
        </w:tc>
        <w:tc>
          <w:tcPr>
            <w:tcW w:w="1932" w:type="dxa"/>
            <w:tcBorders>
              <w:top w:val="nil"/>
              <w:left w:val="nil"/>
              <w:bottom w:val="single" w:sz="4" w:space="0" w:color="auto"/>
              <w:right w:val="single" w:sz="4" w:space="0" w:color="auto"/>
            </w:tcBorders>
            <w:shd w:val="clear" w:color="auto" w:fill="auto"/>
            <w:noWrap/>
            <w:vAlign w:val="bottom"/>
            <w:hideMark/>
          </w:tcPr>
          <w:p w14:paraId="41B14680"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1.8</w:t>
            </w:r>
          </w:p>
        </w:tc>
      </w:tr>
      <w:tr w:rsidR="00360825" w:rsidRPr="008B17BB" w14:paraId="31975DD0" w14:textId="77777777" w:rsidTr="00C04569">
        <w:trPr>
          <w:trHeight w:val="29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62D0FB8C" w14:textId="77777777" w:rsidR="00360825" w:rsidRPr="008B17BB" w:rsidRDefault="00360825" w:rsidP="00C04569">
            <w:pPr>
              <w:spacing w:after="0" w:line="240" w:lineRule="auto"/>
              <w:jc w:val="left"/>
              <w:rPr>
                <w:rFonts w:ascii="Arial" w:hAnsi="Arial" w:cs="Arial"/>
                <w:color w:val="000000"/>
              </w:rPr>
            </w:pPr>
            <w:r w:rsidRPr="008B17BB">
              <w:rPr>
                <w:rFonts w:ascii="Arial" w:hAnsi="Arial" w:cs="Arial"/>
                <w:color w:val="000000"/>
              </w:rPr>
              <w:t>Factory</w:t>
            </w:r>
          </w:p>
        </w:tc>
        <w:tc>
          <w:tcPr>
            <w:tcW w:w="1932" w:type="dxa"/>
            <w:tcBorders>
              <w:top w:val="nil"/>
              <w:left w:val="nil"/>
              <w:bottom w:val="single" w:sz="4" w:space="0" w:color="auto"/>
              <w:right w:val="single" w:sz="4" w:space="0" w:color="auto"/>
            </w:tcBorders>
            <w:shd w:val="clear" w:color="auto" w:fill="auto"/>
            <w:noWrap/>
            <w:vAlign w:val="bottom"/>
            <w:hideMark/>
          </w:tcPr>
          <w:p w14:paraId="064F1529"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1,414</w:t>
            </w:r>
          </w:p>
        </w:tc>
        <w:tc>
          <w:tcPr>
            <w:tcW w:w="1932" w:type="dxa"/>
            <w:tcBorders>
              <w:top w:val="nil"/>
              <w:left w:val="nil"/>
              <w:bottom w:val="single" w:sz="4" w:space="0" w:color="auto"/>
              <w:right w:val="single" w:sz="4" w:space="0" w:color="auto"/>
            </w:tcBorders>
            <w:shd w:val="clear" w:color="auto" w:fill="auto"/>
            <w:noWrap/>
            <w:vAlign w:val="bottom"/>
            <w:hideMark/>
          </w:tcPr>
          <w:p w14:paraId="22EB7D91"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707</w:t>
            </w:r>
          </w:p>
        </w:tc>
        <w:tc>
          <w:tcPr>
            <w:tcW w:w="1932" w:type="dxa"/>
            <w:tcBorders>
              <w:top w:val="nil"/>
              <w:left w:val="nil"/>
              <w:bottom w:val="single" w:sz="4" w:space="0" w:color="auto"/>
              <w:right w:val="single" w:sz="4" w:space="0" w:color="auto"/>
            </w:tcBorders>
            <w:shd w:val="clear" w:color="auto" w:fill="auto"/>
            <w:noWrap/>
            <w:vAlign w:val="bottom"/>
            <w:hideMark/>
          </w:tcPr>
          <w:p w14:paraId="3F3CFBF1"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12,724</w:t>
            </w:r>
          </w:p>
        </w:tc>
        <w:tc>
          <w:tcPr>
            <w:tcW w:w="1932" w:type="dxa"/>
            <w:tcBorders>
              <w:top w:val="nil"/>
              <w:left w:val="nil"/>
              <w:bottom w:val="single" w:sz="4" w:space="0" w:color="auto"/>
              <w:right w:val="single" w:sz="4" w:space="0" w:color="auto"/>
            </w:tcBorders>
            <w:shd w:val="clear" w:color="auto" w:fill="auto"/>
            <w:noWrap/>
            <w:vAlign w:val="bottom"/>
            <w:hideMark/>
          </w:tcPr>
          <w:p w14:paraId="219A2558"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3.2</w:t>
            </w:r>
          </w:p>
        </w:tc>
      </w:tr>
      <w:tr w:rsidR="00360825" w:rsidRPr="008B17BB" w14:paraId="4892BAAF" w14:textId="77777777" w:rsidTr="00C04569">
        <w:trPr>
          <w:trHeight w:val="29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16F6BAEC" w14:textId="77777777" w:rsidR="00360825" w:rsidRPr="008B17BB" w:rsidRDefault="00360825" w:rsidP="00C04569">
            <w:pPr>
              <w:spacing w:after="0" w:line="240" w:lineRule="auto"/>
              <w:jc w:val="left"/>
              <w:rPr>
                <w:rFonts w:ascii="Arial" w:hAnsi="Arial" w:cs="Arial"/>
                <w:color w:val="000000"/>
              </w:rPr>
            </w:pPr>
            <w:r w:rsidRPr="008B17BB">
              <w:rPr>
                <w:rFonts w:ascii="Arial" w:hAnsi="Arial" w:cs="Arial"/>
                <w:color w:val="000000"/>
              </w:rPr>
              <w:t>Warehouses</w:t>
            </w:r>
          </w:p>
        </w:tc>
        <w:tc>
          <w:tcPr>
            <w:tcW w:w="1932" w:type="dxa"/>
            <w:tcBorders>
              <w:top w:val="nil"/>
              <w:left w:val="nil"/>
              <w:bottom w:val="single" w:sz="4" w:space="0" w:color="auto"/>
              <w:right w:val="single" w:sz="4" w:space="0" w:color="auto"/>
            </w:tcBorders>
            <w:shd w:val="clear" w:color="auto" w:fill="auto"/>
            <w:noWrap/>
            <w:vAlign w:val="bottom"/>
            <w:hideMark/>
          </w:tcPr>
          <w:p w14:paraId="126DB8B8"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2,878</w:t>
            </w:r>
          </w:p>
        </w:tc>
        <w:tc>
          <w:tcPr>
            <w:tcW w:w="1932" w:type="dxa"/>
            <w:tcBorders>
              <w:top w:val="nil"/>
              <w:left w:val="nil"/>
              <w:bottom w:val="single" w:sz="4" w:space="0" w:color="auto"/>
              <w:right w:val="single" w:sz="4" w:space="0" w:color="auto"/>
            </w:tcBorders>
            <w:shd w:val="clear" w:color="auto" w:fill="auto"/>
            <w:noWrap/>
            <w:vAlign w:val="bottom"/>
            <w:hideMark/>
          </w:tcPr>
          <w:p w14:paraId="16541B2D"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1,439</w:t>
            </w:r>
          </w:p>
        </w:tc>
        <w:tc>
          <w:tcPr>
            <w:tcW w:w="1932" w:type="dxa"/>
            <w:tcBorders>
              <w:top w:val="nil"/>
              <w:left w:val="nil"/>
              <w:bottom w:val="single" w:sz="4" w:space="0" w:color="auto"/>
              <w:right w:val="single" w:sz="4" w:space="0" w:color="auto"/>
            </w:tcBorders>
            <w:shd w:val="clear" w:color="auto" w:fill="auto"/>
            <w:noWrap/>
            <w:vAlign w:val="bottom"/>
            <w:hideMark/>
          </w:tcPr>
          <w:p w14:paraId="33A346E5"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25,898</w:t>
            </w:r>
          </w:p>
        </w:tc>
        <w:tc>
          <w:tcPr>
            <w:tcW w:w="1932" w:type="dxa"/>
            <w:tcBorders>
              <w:top w:val="nil"/>
              <w:left w:val="nil"/>
              <w:bottom w:val="single" w:sz="4" w:space="0" w:color="auto"/>
              <w:right w:val="single" w:sz="4" w:space="0" w:color="auto"/>
            </w:tcBorders>
            <w:shd w:val="clear" w:color="auto" w:fill="auto"/>
            <w:noWrap/>
            <w:vAlign w:val="bottom"/>
            <w:hideMark/>
          </w:tcPr>
          <w:p w14:paraId="19E385DA"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5.2</w:t>
            </w:r>
          </w:p>
        </w:tc>
      </w:tr>
      <w:tr w:rsidR="00360825" w:rsidRPr="008B17BB" w14:paraId="722846BF" w14:textId="77777777" w:rsidTr="00C04569">
        <w:trPr>
          <w:trHeight w:val="29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4010B825" w14:textId="77777777" w:rsidR="00360825" w:rsidRPr="008B17BB" w:rsidRDefault="00360825" w:rsidP="00C04569">
            <w:pPr>
              <w:spacing w:after="0" w:line="240" w:lineRule="auto"/>
              <w:jc w:val="left"/>
              <w:rPr>
                <w:rFonts w:ascii="Arial" w:hAnsi="Arial" w:cs="Arial"/>
                <w:color w:val="000000"/>
              </w:rPr>
            </w:pPr>
            <w:r w:rsidRPr="008B17BB">
              <w:rPr>
                <w:rFonts w:ascii="Arial" w:hAnsi="Arial" w:cs="Arial"/>
                <w:color w:val="000000"/>
              </w:rPr>
              <w:t>Total</w:t>
            </w:r>
          </w:p>
        </w:tc>
        <w:tc>
          <w:tcPr>
            <w:tcW w:w="1932" w:type="dxa"/>
            <w:tcBorders>
              <w:top w:val="nil"/>
              <w:left w:val="nil"/>
              <w:bottom w:val="single" w:sz="4" w:space="0" w:color="auto"/>
              <w:right w:val="single" w:sz="4" w:space="0" w:color="auto"/>
            </w:tcBorders>
            <w:shd w:val="clear" w:color="auto" w:fill="auto"/>
            <w:noWrap/>
            <w:vAlign w:val="bottom"/>
            <w:hideMark/>
          </w:tcPr>
          <w:p w14:paraId="5C7544D9"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5,829</w:t>
            </w:r>
          </w:p>
        </w:tc>
        <w:tc>
          <w:tcPr>
            <w:tcW w:w="1932" w:type="dxa"/>
            <w:tcBorders>
              <w:top w:val="nil"/>
              <w:left w:val="nil"/>
              <w:bottom w:val="single" w:sz="4" w:space="0" w:color="auto"/>
              <w:right w:val="single" w:sz="4" w:space="0" w:color="auto"/>
            </w:tcBorders>
            <w:shd w:val="clear" w:color="auto" w:fill="auto"/>
            <w:noWrap/>
            <w:vAlign w:val="bottom"/>
            <w:hideMark/>
          </w:tcPr>
          <w:p w14:paraId="19DF17C5"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2,914</w:t>
            </w:r>
          </w:p>
        </w:tc>
        <w:tc>
          <w:tcPr>
            <w:tcW w:w="1932" w:type="dxa"/>
            <w:tcBorders>
              <w:top w:val="nil"/>
              <w:left w:val="nil"/>
              <w:bottom w:val="single" w:sz="4" w:space="0" w:color="auto"/>
              <w:right w:val="single" w:sz="4" w:space="0" w:color="auto"/>
            </w:tcBorders>
            <w:shd w:val="clear" w:color="auto" w:fill="auto"/>
            <w:noWrap/>
            <w:vAlign w:val="bottom"/>
            <w:hideMark/>
          </w:tcPr>
          <w:p w14:paraId="1E9F995D"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52,457</w:t>
            </w:r>
          </w:p>
        </w:tc>
        <w:tc>
          <w:tcPr>
            <w:tcW w:w="1932" w:type="dxa"/>
            <w:tcBorders>
              <w:top w:val="nil"/>
              <w:left w:val="nil"/>
              <w:bottom w:val="single" w:sz="4" w:space="0" w:color="auto"/>
              <w:right w:val="single" w:sz="4" w:space="0" w:color="auto"/>
            </w:tcBorders>
            <w:shd w:val="clear" w:color="auto" w:fill="auto"/>
            <w:noWrap/>
            <w:vAlign w:val="bottom"/>
            <w:hideMark/>
          </w:tcPr>
          <w:p w14:paraId="6BCB527C"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10.2</w:t>
            </w:r>
          </w:p>
        </w:tc>
      </w:tr>
    </w:tbl>
    <w:p w14:paraId="0E2EF637" w14:textId="77777777" w:rsidR="00360825" w:rsidRPr="00B13575" w:rsidRDefault="00360825" w:rsidP="00360825">
      <w:pPr>
        <w:pStyle w:val="BodyTextbeforebullet"/>
        <w:numPr>
          <w:ilvl w:val="0"/>
          <w:numId w:val="0"/>
        </w:numPr>
        <w:rPr>
          <w:rFonts w:ascii="Arial" w:hAnsi="Arial" w:cs="Arial"/>
        </w:rPr>
      </w:pPr>
      <w:r w:rsidRPr="00B13575">
        <w:rPr>
          <w:rFonts w:ascii="Arial" w:hAnsi="Arial" w:cs="Arial"/>
        </w:rPr>
        <w:t>Source: Iceni Projects based on OE and WSCC Data</w:t>
      </w:r>
    </w:p>
    <w:p w14:paraId="3AA853F4" w14:textId="77777777" w:rsidR="00360825" w:rsidRPr="00B13575" w:rsidRDefault="00360825" w:rsidP="00360825">
      <w:pPr>
        <w:pStyle w:val="Heading3"/>
        <w:rPr>
          <w:rFonts w:ascii="Arial" w:hAnsi="Arial" w:cs="Arial"/>
        </w:rPr>
      </w:pPr>
      <w:r w:rsidRPr="00B13575">
        <w:rPr>
          <w:rFonts w:ascii="Arial" w:hAnsi="Arial" w:cs="Arial"/>
        </w:rPr>
        <w:t>Labour Demand Conclusions</w:t>
      </w:r>
    </w:p>
    <w:p w14:paraId="66A9856A" w14:textId="5F16B212"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Once these various adjustments are added to the core need from the modelling the total demand is for between </w:t>
      </w:r>
      <w:r>
        <w:rPr>
          <w:rFonts w:ascii="Arial" w:hAnsi="Arial" w:cs="Arial"/>
        </w:rPr>
        <w:t>20.4</w:t>
      </w:r>
      <w:r w:rsidRPr="00B13575">
        <w:rPr>
          <w:rFonts w:ascii="Arial" w:hAnsi="Arial" w:cs="Arial"/>
        </w:rPr>
        <w:t xml:space="preserve"> and </w:t>
      </w:r>
      <w:r>
        <w:rPr>
          <w:rFonts w:ascii="Arial" w:hAnsi="Arial" w:cs="Arial"/>
        </w:rPr>
        <w:t>21.4</w:t>
      </w:r>
      <w:r w:rsidRPr="00B13575">
        <w:rPr>
          <w:rFonts w:ascii="Arial" w:hAnsi="Arial" w:cs="Arial"/>
        </w:rPr>
        <w:t xml:space="preserve"> Ha of employment land</w:t>
      </w:r>
      <w:r w:rsidR="002B1913" w:rsidRPr="00B13575">
        <w:rPr>
          <w:rFonts w:ascii="Arial" w:hAnsi="Arial" w:cs="Arial"/>
        </w:rPr>
        <w:t xml:space="preserve">. </w:t>
      </w:r>
      <w:r w:rsidRPr="00B13575">
        <w:rPr>
          <w:rFonts w:ascii="Arial" w:hAnsi="Arial" w:cs="Arial"/>
        </w:rPr>
        <w:t>The majority of this demand is for warehouse space</w:t>
      </w:r>
      <w:r>
        <w:rPr>
          <w:rFonts w:ascii="Arial" w:hAnsi="Arial" w:cs="Arial"/>
        </w:rPr>
        <w:t xml:space="preserve"> (11.8Ha)</w:t>
      </w:r>
      <w:r w:rsidRPr="00B13575">
        <w:rPr>
          <w:rFonts w:ascii="Arial" w:hAnsi="Arial" w:cs="Arial"/>
        </w:rPr>
        <w:t xml:space="preserve">. </w:t>
      </w:r>
    </w:p>
    <w:p w14:paraId="1070222E" w14:textId="77777777" w:rsidR="00360825" w:rsidRPr="00B13575" w:rsidRDefault="00360825" w:rsidP="001A7584">
      <w:pPr>
        <w:pStyle w:val="Heading4"/>
        <w:ind w:firstLine="0"/>
      </w:pPr>
      <w:r w:rsidRPr="00B13575">
        <w:lastRenderedPageBreak/>
        <w:t>Employment Land Requirement with Covid Adjustment, Margin and replacement demand – Chichester – 2021-2039</w:t>
      </w:r>
    </w:p>
    <w:tbl>
      <w:tblPr>
        <w:tblW w:w="8506" w:type="dxa"/>
        <w:tblInd w:w="-5" w:type="dxa"/>
        <w:tblLook w:val="04A0" w:firstRow="1" w:lastRow="0" w:firstColumn="1" w:lastColumn="0" w:noHBand="0" w:noVBand="1"/>
      </w:tblPr>
      <w:tblGrid>
        <w:gridCol w:w="1276"/>
        <w:gridCol w:w="1985"/>
        <w:gridCol w:w="1276"/>
        <w:gridCol w:w="1134"/>
        <w:gridCol w:w="1417"/>
        <w:gridCol w:w="1418"/>
      </w:tblGrid>
      <w:tr w:rsidR="00360825" w:rsidRPr="00B13575" w14:paraId="260BEF39" w14:textId="77777777" w:rsidTr="00C04569">
        <w:trPr>
          <w:trHeight w:hRule="exact" w:val="817"/>
        </w:trPr>
        <w:tc>
          <w:tcPr>
            <w:tcW w:w="1276"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38DBFD0D" w14:textId="77777777" w:rsidR="00360825" w:rsidRPr="00DE1AA1" w:rsidRDefault="00360825" w:rsidP="00C04569">
            <w:pPr>
              <w:rPr>
                <w:rFonts w:ascii="Arial" w:hAnsi="Arial" w:cs="Arial"/>
                <w:b/>
                <w:bCs/>
                <w:color w:val="FFFFFF"/>
              </w:rPr>
            </w:pPr>
            <w:r w:rsidRPr="00DE1AA1">
              <w:rPr>
                <w:rFonts w:ascii="Arial" w:hAnsi="Arial" w:cs="Arial"/>
                <w:b/>
                <w:bCs/>
                <w:color w:val="FFFFFF"/>
              </w:rPr>
              <w:t> </w:t>
            </w:r>
          </w:p>
        </w:tc>
        <w:tc>
          <w:tcPr>
            <w:tcW w:w="1985" w:type="dxa"/>
            <w:tcBorders>
              <w:top w:val="single" w:sz="4" w:space="0" w:color="auto"/>
              <w:left w:val="nil"/>
              <w:bottom w:val="single" w:sz="4" w:space="0" w:color="auto"/>
              <w:right w:val="single" w:sz="4" w:space="0" w:color="auto"/>
            </w:tcBorders>
            <w:shd w:val="clear" w:color="000000" w:fill="002060"/>
            <w:vAlign w:val="bottom"/>
            <w:hideMark/>
          </w:tcPr>
          <w:p w14:paraId="6A87BA5B" w14:textId="77777777" w:rsidR="00360825" w:rsidRPr="00DE1AA1" w:rsidRDefault="00360825" w:rsidP="00C04569">
            <w:pPr>
              <w:jc w:val="center"/>
              <w:rPr>
                <w:rFonts w:ascii="Arial" w:hAnsi="Arial" w:cs="Arial"/>
                <w:color w:val="FFFFFF"/>
              </w:rPr>
            </w:pPr>
            <w:r w:rsidRPr="00DE1AA1">
              <w:rPr>
                <w:rFonts w:ascii="Arial" w:hAnsi="Arial" w:cs="Arial"/>
                <w:color w:val="FFFFFF"/>
              </w:rPr>
              <w:t>Employment Land Requirement (Ha)</w:t>
            </w:r>
          </w:p>
        </w:tc>
        <w:tc>
          <w:tcPr>
            <w:tcW w:w="1276" w:type="dxa"/>
            <w:tcBorders>
              <w:top w:val="single" w:sz="4" w:space="0" w:color="auto"/>
              <w:left w:val="nil"/>
              <w:bottom w:val="single" w:sz="4" w:space="0" w:color="auto"/>
              <w:right w:val="single" w:sz="4" w:space="0" w:color="auto"/>
            </w:tcBorders>
            <w:shd w:val="clear" w:color="000000" w:fill="002060"/>
            <w:vAlign w:val="bottom"/>
            <w:hideMark/>
          </w:tcPr>
          <w:p w14:paraId="74051EB4" w14:textId="77777777" w:rsidR="00360825" w:rsidRPr="00DE1AA1" w:rsidRDefault="00360825" w:rsidP="00C04569">
            <w:pPr>
              <w:jc w:val="center"/>
              <w:rPr>
                <w:rFonts w:ascii="Arial" w:hAnsi="Arial" w:cs="Arial"/>
                <w:color w:val="FFFFFF"/>
              </w:rPr>
            </w:pPr>
            <w:r w:rsidRPr="00DE1AA1">
              <w:rPr>
                <w:rFonts w:ascii="Arial" w:hAnsi="Arial" w:cs="Arial"/>
                <w:color w:val="FFFFFF"/>
              </w:rPr>
              <w:t>Covid Adjustment</w:t>
            </w:r>
          </w:p>
        </w:tc>
        <w:tc>
          <w:tcPr>
            <w:tcW w:w="1134" w:type="dxa"/>
            <w:tcBorders>
              <w:top w:val="single" w:sz="4" w:space="0" w:color="auto"/>
              <w:left w:val="nil"/>
              <w:bottom w:val="single" w:sz="4" w:space="0" w:color="auto"/>
              <w:right w:val="single" w:sz="4" w:space="0" w:color="auto"/>
            </w:tcBorders>
            <w:shd w:val="clear" w:color="000000" w:fill="002060"/>
            <w:vAlign w:val="bottom"/>
            <w:hideMark/>
          </w:tcPr>
          <w:p w14:paraId="0377E3F1" w14:textId="77777777" w:rsidR="00360825" w:rsidRPr="00DE1AA1" w:rsidRDefault="00360825" w:rsidP="00C04569">
            <w:pPr>
              <w:jc w:val="center"/>
              <w:rPr>
                <w:rFonts w:ascii="Arial" w:hAnsi="Arial" w:cs="Arial"/>
                <w:color w:val="FFFFFF"/>
              </w:rPr>
            </w:pPr>
            <w:r w:rsidRPr="00DE1AA1">
              <w:rPr>
                <w:rFonts w:ascii="Arial" w:hAnsi="Arial" w:cs="Arial"/>
                <w:color w:val="FFFFFF"/>
              </w:rPr>
              <w:t>Flexible Margin</w:t>
            </w:r>
          </w:p>
        </w:tc>
        <w:tc>
          <w:tcPr>
            <w:tcW w:w="1417" w:type="dxa"/>
            <w:tcBorders>
              <w:top w:val="single" w:sz="4" w:space="0" w:color="auto"/>
              <w:left w:val="nil"/>
              <w:bottom w:val="single" w:sz="4" w:space="0" w:color="auto"/>
              <w:right w:val="single" w:sz="4" w:space="0" w:color="auto"/>
            </w:tcBorders>
            <w:shd w:val="clear" w:color="000000" w:fill="002060"/>
            <w:vAlign w:val="bottom"/>
            <w:hideMark/>
          </w:tcPr>
          <w:p w14:paraId="29705477" w14:textId="77777777" w:rsidR="00360825" w:rsidRPr="00DE1AA1" w:rsidRDefault="00360825" w:rsidP="00C04569">
            <w:pPr>
              <w:jc w:val="center"/>
              <w:rPr>
                <w:rFonts w:ascii="Arial" w:hAnsi="Arial" w:cs="Arial"/>
                <w:color w:val="FFFFFF"/>
              </w:rPr>
            </w:pPr>
            <w:r w:rsidRPr="00DE1AA1">
              <w:rPr>
                <w:rFonts w:ascii="Arial" w:hAnsi="Arial" w:cs="Arial"/>
                <w:color w:val="FFFFFF"/>
              </w:rPr>
              <w:t>Replacement Demand</w:t>
            </w:r>
          </w:p>
        </w:tc>
        <w:tc>
          <w:tcPr>
            <w:tcW w:w="1418" w:type="dxa"/>
            <w:tcBorders>
              <w:top w:val="single" w:sz="4" w:space="0" w:color="auto"/>
              <w:left w:val="nil"/>
              <w:bottom w:val="single" w:sz="4" w:space="0" w:color="auto"/>
              <w:right w:val="single" w:sz="4" w:space="0" w:color="auto"/>
            </w:tcBorders>
            <w:shd w:val="clear" w:color="000000" w:fill="002060"/>
            <w:vAlign w:val="bottom"/>
            <w:hideMark/>
          </w:tcPr>
          <w:p w14:paraId="556530BF" w14:textId="77777777" w:rsidR="00360825" w:rsidRPr="00DE1AA1" w:rsidRDefault="00360825" w:rsidP="00C04569">
            <w:pPr>
              <w:jc w:val="center"/>
              <w:rPr>
                <w:rFonts w:ascii="Arial" w:hAnsi="Arial" w:cs="Arial"/>
                <w:color w:val="FFFFFF"/>
              </w:rPr>
            </w:pPr>
            <w:r w:rsidRPr="00DE1AA1">
              <w:rPr>
                <w:rFonts w:ascii="Arial" w:hAnsi="Arial" w:cs="Arial"/>
                <w:color w:val="FFFFFF"/>
              </w:rPr>
              <w:t>Revised Need</w:t>
            </w:r>
          </w:p>
        </w:tc>
      </w:tr>
      <w:tr w:rsidR="00360825" w:rsidRPr="00B13575" w14:paraId="01C93F04" w14:textId="77777777" w:rsidTr="00C04569">
        <w:trPr>
          <w:trHeight w:hRule="exact" w:val="284"/>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2E51D66" w14:textId="77777777" w:rsidR="00360825" w:rsidRPr="00DE1AA1" w:rsidRDefault="00360825" w:rsidP="00C04569">
            <w:pPr>
              <w:rPr>
                <w:rFonts w:ascii="Arial" w:hAnsi="Arial" w:cs="Arial"/>
                <w:color w:val="000000"/>
              </w:rPr>
            </w:pPr>
            <w:r w:rsidRPr="00DE1AA1">
              <w:rPr>
                <w:rFonts w:ascii="Arial" w:hAnsi="Arial" w:cs="Arial"/>
                <w:color w:val="000000"/>
              </w:rPr>
              <w:t>Office</w:t>
            </w:r>
          </w:p>
        </w:tc>
        <w:tc>
          <w:tcPr>
            <w:tcW w:w="1985" w:type="dxa"/>
            <w:tcBorders>
              <w:top w:val="nil"/>
              <w:left w:val="nil"/>
              <w:bottom w:val="single" w:sz="4" w:space="0" w:color="auto"/>
              <w:right w:val="single" w:sz="4" w:space="0" w:color="auto"/>
            </w:tcBorders>
            <w:shd w:val="clear" w:color="auto" w:fill="auto"/>
            <w:noWrap/>
            <w:vAlign w:val="center"/>
            <w:hideMark/>
          </w:tcPr>
          <w:p w14:paraId="1AA594AB" w14:textId="77777777" w:rsidR="00360825" w:rsidRPr="00DE1AA1" w:rsidRDefault="00360825" w:rsidP="00C04569">
            <w:pPr>
              <w:jc w:val="center"/>
              <w:rPr>
                <w:rFonts w:ascii="Arial" w:hAnsi="Arial" w:cs="Arial"/>
                <w:color w:val="000000"/>
              </w:rPr>
            </w:pPr>
            <w:r>
              <w:rPr>
                <w:rFonts w:ascii="Arial" w:hAnsi="Arial" w:cs="Arial"/>
                <w:color w:val="000000"/>
              </w:rPr>
              <w:t>2.6 - 3.6</w:t>
            </w:r>
          </w:p>
        </w:tc>
        <w:tc>
          <w:tcPr>
            <w:tcW w:w="1276" w:type="dxa"/>
            <w:tcBorders>
              <w:top w:val="nil"/>
              <w:left w:val="nil"/>
              <w:bottom w:val="single" w:sz="4" w:space="0" w:color="auto"/>
              <w:right w:val="single" w:sz="4" w:space="0" w:color="auto"/>
            </w:tcBorders>
            <w:shd w:val="clear" w:color="auto" w:fill="auto"/>
            <w:noWrap/>
            <w:vAlign w:val="center"/>
            <w:hideMark/>
          </w:tcPr>
          <w:p w14:paraId="5D4529F4" w14:textId="77777777" w:rsidR="00360825" w:rsidRPr="00DE1AA1" w:rsidRDefault="00360825" w:rsidP="00C04569">
            <w:pPr>
              <w:jc w:val="center"/>
              <w:rPr>
                <w:rFonts w:ascii="Arial" w:hAnsi="Arial" w:cs="Arial"/>
                <w:color w:val="000000"/>
              </w:rPr>
            </w:pPr>
            <w:r>
              <w:rPr>
                <w:rFonts w:ascii="Arial" w:hAnsi="Arial" w:cs="Arial"/>
                <w:color w:val="000000"/>
              </w:rPr>
              <w:t>0.0</w:t>
            </w:r>
          </w:p>
        </w:tc>
        <w:tc>
          <w:tcPr>
            <w:tcW w:w="1134" w:type="dxa"/>
            <w:tcBorders>
              <w:top w:val="nil"/>
              <w:left w:val="nil"/>
              <w:bottom w:val="single" w:sz="4" w:space="0" w:color="auto"/>
              <w:right w:val="single" w:sz="4" w:space="0" w:color="auto"/>
            </w:tcBorders>
            <w:shd w:val="clear" w:color="auto" w:fill="auto"/>
            <w:noWrap/>
            <w:vAlign w:val="center"/>
            <w:hideMark/>
          </w:tcPr>
          <w:p w14:paraId="41675A92" w14:textId="77777777" w:rsidR="00360825" w:rsidRPr="00DE1AA1" w:rsidRDefault="00360825" w:rsidP="00C04569">
            <w:pPr>
              <w:jc w:val="center"/>
              <w:rPr>
                <w:rFonts w:ascii="Arial" w:hAnsi="Arial" w:cs="Arial"/>
                <w:color w:val="000000"/>
              </w:rPr>
            </w:pPr>
            <w:r>
              <w:rPr>
                <w:rFonts w:ascii="Arial" w:hAnsi="Arial" w:cs="Arial"/>
                <w:color w:val="000000"/>
              </w:rPr>
              <w:t>0.8</w:t>
            </w:r>
          </w:p>
        </w:tc>
        <w:tc>
          <w:tcPr>
            <w:tcW w:w="1417" w:type="dxa"/>
            <w:tcBorders>
              <w:top w:val="nil"/>
              <w:left w:val="nil"/>
              <w:bottom w:val="single" w:sz="4" w:space="0" w:color="auto"/>
              <w:right w:val="single" w:sz="4" w:space="0" w:color="auto"/>
            </w:tcBorders>
            <w:shd w:val="clear" w:color="auto" w:fill="auto"/>
            <w:noWrap/>
            <w:vAlign w:val="center"/>
            <w:hideMark/>
          </w:tcPr>
          <w:p w14:paraId="350A6037" w14:textId="77777777" w:rsidR="00360825" w:rsidRPr="00DE1AA1" w:rsidRDefault="00360825" w:rsidP="00C04569">
            <w:pPr>
              <w:jc w:val="center"/>
              <w:rPr>
                <w:rFonts w:ascii="Arial" w:hAnsi="Arial" w:cs="Arial"/>
                <w:color w:val="000000"/>
              </w:rPr>
            </w:pPr>
            <w:r>
              <w:rPr>
                <w:rFonts w:ascii="Arial" w:hAnsi="Arial" w:cs="Arial"/>
                <w:color w:val="000000"/>
              </w:rPr>
              <w:t>1.8</w:t>
            </w:r>
          </w:p>
        </w:tc>
        <w:tc>
          <w:tcPr>
            <w:tcW w:w="1418" w:type="dxa"/>
            <w:tcBorders>
              <w:top w:val="nil"/>
              <w:left w:val="nil"/>
              <w:bottom w:val="single" w:sz="4" w:space="0" w:color="auto"/>
              <w:right w:val="single" w:sz="4" w:space="0" w:color="auto"/>
            </w:tcBorders>
            <w:shd w:val="clear" w:color="auto" w:fill="auto"/>
            <w:noWrap/>
            <w:vAlign w:val="center"/>
            <w:hideMark/>
          </w:tcPr>
          <w:p w14:paraId="6A19FB44" w14:textId="77777777" w:rsidR="00360825" w:rsidRPr="00DE1AA1" w:rsidRDefault="00360825" w:rsidP="00C04569">
            <w:pPr>
              <w:jc w:val="center"/>
              <w:rPr>
                <w:rFonts w:ascii="Arial" w:hAnsi="Arial" w:cs="Arial"/>
                <w:color w:val="000000"/>
              </w:rPr>
            </w:pPr>
            <w:r>
              <w:rPr>
                <w:rFonts w:ascii="Arial" w:hAnsi="Arial" w:cs="Arial"/>
                <w:color w:val="000000"/>
              </w:rPr>
              <w:t>5.3 - 6.3</w:t>
            </w:r>
          </w:p>
        </w:tc>
      </w:tr>
      <w:tr w:rsidR="00360825" w:rsidRPr="00B13575" w14:paraId="6957AA3C" w14:textId="77777777" w:rsidTr="00C04569">
        <w:trPr>
          <w:trHeight w:hRule="exact" w:val="284"/>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08331BB" w14:textId="77777777" w:rsidR="00360825" w:rsidRPr="00DE1AA1" w:rsidRDefault="00360825" w:rsidP="00C04569">
            <w:pPr>
              <w:rPr>
                <w:rFonts w:ascii="Arial" w:hAnsi="Arial" w:cs="Arial"/>
                <w:color w:val="000000"/>
              </w:rPr>
            </w:pPr>
            <w:r w:rsidRPr="00DE1AA1">
              <w:rPr>
                <w:rFonts w:ascii="Arial" w:hAnsi="Arial" w:cs="Arial"/>
                <w:color w:val="000000"/>
              </w:rPr>
              <w:t>Factory</w:t>
            </w:r>
          </w:p>
        </w:tc>
        <w:tc>
          <w:tcPr>
            <w:tcW w:w="1985" w:type="dxa"/>
            <w:tcBorders>
              <w:top w:val="nil"/>
              <w:left w:val="nil"/>
              <w:bottom w:val="single" w:sz="4" w:space="0" w:color="auto"/>
              <w:right w:val="single" w:sz="4" w:space="0" w:color="auto"/>
            </w:tcBorders>
            <w:shd w:val="clear" w:color="auto" w:fill="auto"/>
            <w:noWrap/>
            <w:vAlign w:val="center"/>
            <w:hideMark/>
          </w:tcPr>
          <w:p w14:paraId="64178C08" w14:textId="77777777" w:rsidR="00360825" w:rsidRPr="00DE1AA1" w:rsidRDefault="00360825" w:rsidP="00C04569">
            <w:pPr>
              <w:jc w:val="center"/>
              <w:rPr>
                <w:rFonts w:ascii="Arial" w:hAnsi="Arial" w:cs="Arial"/>
                <w:color w:val="000000"/>
              </w:rPr>
            </w:pPr>
            <w:r>
              <w:rPr>
                <w:rFonts w:ascii="Arial" w:hAnsi="Arial" w:cs="Arial"/>
                <w:color w:val="000000"/>
              </w:rPr>
              <w:t>2.1</w:t>
            </w:r>
          </w:p>
        </w:tc>
        <w:tc>
          <w:tcPr>
            <w:tcW w:w="1276" w:type="dxa"/>
            <w:tcBorders>
              <w:top w:val="nil"/>
              <w:left w:val="nil"/>
              <w:bottom w:val="single" w:sz="4" w:space="0" w:color="auto"/>
              <w:right w:val="single" w:sz="4" w:space="0" w:color="auto"/>
            </w:tcBorders>
            <w:shd w:val="clear" w:color="auto" w:fill="auto"/>
            <w:noWrap/>
            <w:vAlign w:val="center"/>
            <w:hideMark/>
          </w:tcPr>
          <w:p w14:paraId="7663E91E" w14:textId="77777777" w:rsidR="00360825" w:rsidRPr="00DE1AA1" w:rsidRDefault="00360825" w:rsidP="00C04569">
            <w:pPr>
              <w:jc w:val="center"/>
              <w:rPr>
                <w:rFonts w:ascii="Arial" w:hAnsi="Arial" w:cs="Arial"/>
                <w:color w:val="000000"/>
              </w:rPr>
            </w:pPr>
            <w:r>
              <w:rPr>
                <w:rFonts w:ascii="Arial" w:hAnsi="Arial" w:cs="Arial"/>
                <w:color w:val="000000"/>
              </w:rPr>
              <w:t>-4.6</w:t>
            </w:r>
          </w:p>
        </w:tc>
        <w:tc>
          <w:tcPr>
            <w:tcW w:w="1134" w:type="dxa"/>
            <w:tcBorders>
              <w:top w:val="nil"/>
              <w:left w:val="nil"/>
              <w:bottom w:val="single" w:sz="4" w:space="0" w:color="auto"/>
              <w:right w:val="single" w:sz="4" w:space="0" w:color="auto"/>
            </w:tcBorders>
            <w:shd w:val="clear" w:color="auto" w:fill="auto"/>
            <w:noWrap/>
            <w:vAlign w:val="center"/>
            <w:hideMark/>
          </w:tcPr>
          <w:p w14:paraId="71F31869" w14:textId="77777777" w:rsidR="00360825" w:rsidRPr="00DE1AA1" w:rsidRDefault="00360825" w:rsidP="00C04569">
            <w:pPr>
              <w:jc w:val="center"/>
              <w:rPr>
                <w:rFonts w:ascii="Arial" w:hAnsi="Arial" w:cs="Arial"/>
                <w:color w:val="000000"/>
              </w:rPr>
            </w:pPr>
            <w:r>
              <w:rPr>
                <w:rFonts w:ascii="Arial" w:hAnsi="Arial" w:cs="Arial"/>
                <w:color w:val="000000"/>
              </w:rPr>
              <w:t>2.7</w:t>
            </w:r>
          </w:p>
        </w:tc>
        <w:tc>
          <w:tcPr>
            <w:tcW w:w="1417" w:type="dxa"/>
            <w:tcBorders>
              <w:top w:val="nil"/>
              <w:left w:val="nil"/>
              <w:bottom w:val="single" w:sz="4" w:space="0" w:color="auto"/>
              <w:right w:val="single" w:sz="4" w:space="0" w:color="auto"/>
            </w:tcBorders>
            <w:shd w:val="clear" w:color="auto" w:fill="auto"/>
            <w:noWrap/>
            <w:vAlign w:val="center"/>
            <w:hideMark/>
          </w:tcPr>
          <w:p w14:paraId="15FC5F5F" w14:textId="77777777" w:rsidR="00360825" w:rsidRPr="00DE1AA1" w:rsidRDefault="00360825" w:rsidP="00C04569">
            <w:pPr>
              <w:jc w:val="center"/>
              <w:rPr>
                <w:rFonts w:ascii="Arial" w:hAnsi="Arial" w:cs="Arial"/>
                <w:color w:val="000000"/>
              </w:rPr>
            </w:pPr>
            <w:r>
              <w:rPr>
                <w:rFonts w:ascii="Arial" w:hAnsi="Arial" w:cs="Arial"/>
                <w:color w:val="000000"/>
              </w:rPr>
              <w:t>3.2</w:t>
            </w:r>
          </w:p>
        </w:tc>
        <w:tc>
          <w:tcPr>
            <w:tcW w:w="1418" w:type="dxa"/>
            <w:tcBorders>
              <w:top w:val="nil"/>
              <w:left w:val="nil"/>
              <w:bottom w:val="single" w:sz="4" w:space="0" w:color="auto"/>
              <w:right w:val="single" w:sz="4" w:space="0" w:color="auto"/>
            </w:tcBorders>
            <w:shd w:val="clear" w:color="auto" w:fill="auto"/>
            <w:noWrap/>
            <w:vAlign w:val="center"/>
            <w:hideMark/>
          </w:tcPr>
          <w:p w14:paraId="0DE3704B" w14:textId="77777777" w:rsidR="00360825" w:rsidRPr="00DE1AA1" w:rsidRDefault="00360825" w:rsidP="00C04569">
            <w:pPr>
              <w:jc w:val="center"/>
              <w:rPr>
                <w:rFonts w:ascii="Arial" w:hAnsi="Arial" w:cs="Arial"/>
                <w:color w:val="000000"/>
              </w:rPr>
            </w:pPr>
            <w:r>
              <w:rPr>
                <w:rFonts w:ascii="Arial" w:hAnsi="Arial" w:cs="Arial"/>
                <w:color w:val="000000"/>
              </w:rPr>
              <w:t>3.4</w:t>
            </w:r>
          </w:p>
        </w:tc>
      </w:tr>
      <w:tr w:rsidR="00360825" w:rsidRPr="00B13575" w14:paraId="46524CC3" w14:textId="77777777" w:rsidTr="00C04569">
        <w:trPr>
          <w:trHeight w:hRule="exact" w:val="284"/>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32ABA74" w14:textId="77777777" w:rsidR="00360825" w:rsidRPr="00DE1AA1" w:rsidRDefault="00360825" w:rsidP="00C04569">
            <w:pPr>
              <w:rPr>
                <w:rFonts w:ascii="Arial" w:hAnsi="Arial" w:cs="Arial"/>
                <w:color w:val="000000"/>
              </w:rPr>
            </w:pPr>
            <w:r w:rsidRPr="00DE1AA1">
              <w:rPr>
                <w:rFonts w:ascii="Arial" w:hAnsi="Arial" w:cs="Arial"/>
                <w:color w:val="000000"/>
              </w:rPr>
              <w:t>Warehouse</w:t>
            </w:r>
          </w:p>
        </w:tc>
        <w:tc>
          <w:tcPr>
            <w:tcW w:w="1985" w:type="dxa"/>
            <w:tcBorders>
              <w:top w:val="nil"/>
              <w:left w:val="nil"/>
              <w:bottom w:val="single" w:sz="4" w:space="0" w:color="auto"/>
              <w:right w:val="single" w:sz="4" w:space="0" w:color="auto"/>
            </w:tcBorders>
            <w:shd w:val="clear" w:color="auto" w:fill="auto"/>
            <w:noWrap/>
            <w:vAlign w:val="center"/>
            <w:hideMark/>
          </w:tcPr>
          <w:p w14:paraId="793FDB3D" w14:textId="77777777" w:rsidR="00360825" w:rsidRPr="00DE1AA1" w:rsidRDefault="00360825" w:rsidP="00C04569">
            <w:pPr>
              <w:jc w:val="center"/>
              <w:rPr>
                <w:rFonts w:ascii="Arial" w:hAnsi="Arial" w:cs="Arial"/>
                <w:color w:val="000000"/>
              </w:rPr>
            </w:pPr>
            <w:r>
              <w:rPr>
                <w:rFonts w:ascii="Arial" w:hAnsi="Arial" w:cs="Arial"/>
                <w:color w:val="000000"/>
              </w:rPr>
              <w:t>7.2</w:t>
            </w:r>
          </w:p>
        </w:tc>
        <w:tc>
          <w:tcPr>
            <w:tcW w:w="1276" w:type="dxa"/>
            <w:tcBorders>
              <w:top w:val="nil"/>
              <w:left w:val="nil"/>
              <w:bottom w:val="single" w:sz="4" w:space="0" w:color="auto"/>
              <w:right w:val="single" w:sz="4" w:space="0" w:color="auto"/>
            </w:tcBorders>
            <w:shd w:val="clear" w:color="auto" w:fill="auto"/>
            <w:noWrap/>
            <w:vAlign w:val="center"/>
            <w:hideMark/>
          </w:tcPr>
          <w:p w14:paraId="21CAB0F8" w14:textId="77777777" w:rsidR="00360825" w:rsidRPr="00DE1AA1" w:rsidRDefault="00360825" w:rsidP="00C04569">
            <w:pPr>
              <w:jc w:val="center"/>
              <w:rPr>
                <w:rFonts w:ascii="Arial" w:hAnsi="Arial" w:cs="Arial"/>
                <w:color w:val="000000"/>
              </w:rPr>
            </w:pPr>
            <w:r>
              <w:rPr>
                <w:rFonts w:ascii="Arial" w:hAnsi="Arial" w:cs="Arial"/>
                <w:color w:val="000000"/>
              </w:rPr>
              <w:t>-2.1</w:t>
            </w:r>
          </w:p>
        </w:tc>
        <w:tc>
          <w:tcPr>
            <w:tcW w:w="1134" w:type="dxa"/>
            <w:tcBorders>
              <w:top w:val="nil"/>
              <w:left w:val="nil"/>
              <w:bottom w:val="single" w:sz="4" w:space="0" w:color="auto"/>
              <w:right w:val="single" w:sz="4" w:space="0" w:color="auto"/>
            </w:tcBorders>
            <w:shd w:val="clear" w:color="auto" w:fill="auto"/>
            <w:noWrap/>
            <w:vAlign w:val="center"/>
            <w:hideMark/>
          </w:tcPr>
          <w:p w14:paraId="77F3CCAB" w14:textId="77777777" w:rsidR="00360825" w:rsidRPr="00DE1AA1" w:rsidRDefault="00360825" w:rsidP="00C04569">
            <w:pPr>
              <w:jc w:val="center"/>
              <w:rPr>
                <w:rFonts w:ascii="Arial" w:hAnsi="Arial" w:cs="Arial"/>
                <w:color w:val="000000"/>
              </w:rPr>
            </w:pPr>
            <w:r>
              <w:rPr>
                <w:rFonts w:ascii="Arial" w:hAnsi="Arial" w:cs="Arial"/>
                <w:color w:val="000000"/>
              </w:rPr>
              <w:t>1.5</w:t>
            </w:r>
          </w:p>
        </w:tc>
        <w:tc>
          <w:tcPr>
            <w:tcW w:w="1417" w:type="dxa"/>
            <w:tcBorders>
              <w:top w:val="nil"/>
              <w:left w:val="nil"/>
              <w:bottom w:val="single" w:sz="4" w:space="0" w:color="auto"/>
              <w:right w:val="single" w:sz="4" w:space="0" w:color="auto"/>
            </w:tcBorders>
            <w:shd w:val="clear" w:color="auto" w:fill="auto"/>
            <w:noWrap/>
            <w:vAlign w:val="center"/>
            <w:hideMark/>
          </w:tcPr>
          <w:p w14:paraId="5EFFAD43" w14:textId="77777777" w:rsidR="00360825" w:rsidRPr="00DE1AA1" w:rsidRDefault="00360825" w:rsidP="00C04569">
            <w:pPr>
              <w:jc w:val="center"/>
              <w:rPr>
                <w:rFonts w:ascii="Arial" w:hAnsi="Arial" w:cs="Arial"/>
                <w:color w:val="000000"/>
              </w:rPr>
            </w:pPr>
            <w:r>
              <w:rPr>
                <w:rFonts w:ascii="Arial" w:hAnsi="Arial" w:cs="Arial"/>
                <w:color w:val="000000"/>
              </w:rPr>
              <w:t>5.2</w:t>
            </w:r>
          </w:p>
        </w:tc>
        <w:tc>
          <w:tcPr>
            <w:tcW w:w="1418" w:type="dxa"/>
            <w:tcBorders>
              <w:top w:val="nil"/>
              <w:left w:val="nil"/>
              <w:bottom w:val="single" w:sz="4" w:space="0" w:color="auto"/>
              <w:right w:val="single" w:sz="4" w:space="0" w:color="auto"/>
            </w:tcBorders>
            <w:shd w:val="clear" w:color="auto" w:fill="auto"/>
            <w:noWrap/>
            <w:vAlign w:val="center"/>
            <w:hideMark/>
          </w:tcPr>
          <w:p w14:paraId="11A6C7F9" w14:textId="77777777" w:rsidR="00360825" w:rsidRPr="00DE1AA1" w:rsidRDefault="00360825" w:rsidP="00C04569">
            <w:pPr>
              <w:jc w:val="center"/>
              <w:rPr>
                <w:rFonts w:ascii="Arial" w:hAnsi="Arial" w:cs="Arial"/>
                <w:color w:val="000000"/>
              </w:rPr>
            </w:pPr>
            <w:r>
              <w:rPr>
                <w:rFonts w:ascii="Arial" w:hAnsi="Arial" w:cs="Arial"/>
                <w:color w:val="000000"/>
              </w:rPr>
              <w:t>11.8</w:t>
            </w:r>
          </w:p>
        </w:tc>
      </w:tr>
      <w:tr w:rsidR="00360825" w:rsidRPr="00B13575" w14:paraId="42C5D13E" w14:textId="77777777" w:rsidTr="00C04569">
        <w:trPr>
          <w:trHeight w:hRule="exact" w:val="284"/>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E579C3F" w14:textId="77777777" w:rsidR="00360825" w:rsidRPr="00DE1AA1" w:rsidRDefault="00360825" w:rsidP="00C04569">
            <w:pPr>
              <w:rPr>
                <w:rFonts w:ascii="Arial" w:hAnsi="Arial" w:cs="Arial"/>
                <w:color w:val="000000"/>
              </w:rPr>
            </w:pPr>
            <w:r w:rsidRPr="00DE1AA1">
              <w:rPr>
                <w:rFonts w:ascii="Arial" w:hAnsi="Arial" w:cs="Arial"/>
                <w:color w:val="000000"/>
              </w:rPr>
              <w:t>Total</w:t>
            </w:r>
          </w:p>
        </w:tc>
        <w:tc>
          <w:tcPr>
            <w:tcW w:w="1985" w:type="dxa"/>
            <w:tcBorders>
              <w:top w:val="nil"/>
              <w:left w:val="nil"/>
              <w:bottom w:val="single" w:sz="4" w:space="0" w:color="auto"/>
              <w:right w:val="single" w:sz="4" w:space="0" w:color="auto"/>
            </w:tcBorders>
            <w:shd w:val="clear" w:color="auto" w:fill="auto"/>
            <w:noWrap/>
            <w:vAlign w:val="center"/>
            <w:hideMark/>
          </w:tcPr>
          <w:p w14:paraId="6211FAB2" w14:textId="77777777" w:rsidR="00360825" w:rsidRPr="00DE1AA1" w:rsidRDefault="00360825" w:rsidP="00C04569">
            <w:pPr>
              <w:jc w:val="center"/>
              <w:rPr>
                <w:rFonts w:ascii="Arial" w:hAnsi="Arial" w:cs="Arial"/>
                <w:color w:val="000000"/>
              </w:rPr>
            </w:pPr>
            <w:r>
              <w:rPr>
                <w:rFonts w:ascii="Arial" w:hAnsi="Arial" w:cs="Arial"/>
                <w:color w:val="000000"/>
              </w:rPr>
              <w:t>11.9 - 12.9</w:t>
            </w:r>
          </w:p>
        </w:tc>
        <w:tc>
          <w:tcPr>
            <w:tcW w:w="1276" w:type="dxa"/>
            <w:tcBorders>
              <w:top w:val="nil"/>
              <w:left w:val="nil"/>
              <w:bottom w:val="single" w:sz="4" w:space="0" w:color="auto"/>
              <w:right w:val="single" w:sz="4" w:space="0" w:color="auto"/>
            </w:tcBorders>
            <w:shd w:val="clear" w:color="auto" w:fill="auto"/>
            <w:noWrap/>
            <w:vAlign w:val="center"/>
            <w:hideMark/>
          </w:tcPr>
          <w:p w14:paraId="66CB6863" w14:textId="77777777" w:rsidR="00360825" w:rsidRPr="00DE1AA1" w:rsidRDefault="00360825" w:rsidP="00C04569">
            <w:pPr>
              <w:jc w:val="center"/>
              <w:rPr>
                <w:rFonts w:ascii="Arial" w:hAnsi="Arial" w:cs="Arial"/>
                <w:color w:val="000000"/>
              </w:rPr>
            </w:pPr>
            <w:r>
              <w:rPr>
                <w:rFonts w:ascii="Arial" w:hAnsi="Arial" w:cs="Arial"/>
                <w:color w:val="000000"/>
              </w:rPr>
              <w:t>-6.7</w:t>
            </w:r>
          </w:p>
        </w:tc>
        <w:tc>
          <w:tcPr>
            <w:tcW w:w="1134" w:type="dxa"/>
            <w:tcBorders>
              <w:top w:val="nil"/>
              <w:left w:val="nil"/>
              <w:bottom w:val="single" w:sz="4" w:space="0" w:color="auto"/>
              <w:right w:val="single" w:sz="4" w:space="0" w:color="auto"/>
            </w:tcBorders>
            <w:shd w:val="clear" w:color="auto" w:fill="auto"/>
            <w:noWrap/>
            <w:vAlign w:val="center"/>
            <w:hideMark/>
          </w:tcPr>
          <w:p w14:paraId="2470831F" w14:textId="77777777" w:rsidR="00360825" w:rsidRPr="00DE1AA1" w:rsidRDefault="00360825" w:rsidP="00C04569">
            <w:pPr>
              <w:jc w:val="center"/>
              <w:rPr>
                <w:rFonts w:ascii="Arial" w:hAnsi="Arial" w:cs="Arial"/>
                <w:color w:val="000000"/>
              </w:rPr>
            </w:pPr>
            <w:r>
              <w:rPr>
                <w:rFonts w:ascii="Arial" w:hAnsi="Arial" w:cs="Arial"/>
                <w:color w:val="000000"/>
              </w:rPr>
              <w:t>5.0</w:t>
            </w:r>
          </w:p>
        </w:tc>
        <w:tc>
          <w:tcPr>
            <w:tcW w:w="1417" w:type="dxa"/>
            <w:tcBorders>
              <w:top w:val="nil"/>
              <w:left w:val="nil"/>
              <w:bottom w:val="single" w:sz="4" w:space="0" w:color="auto"/>
              <w:right w:val="single" w:sz="4" w:space="0" w:color="auto"/>
            </w:tcBorders>
            <w:shd w:val="clear" w:color="auto" w:fill="auto"/>
            <w:noWrap/>
            <w:vAlign w:val="center"/>
            <w:hideMark/>
          </w:tcPr>
          <w:p w14:paraId="0B62F7FC" w14:textId="77777777" w:rsidR="00360825" w:rsidRPr="00DE1AA1" w:rsidRDefault="00360825" w:rsidP="00C04569">
            <w:pPr>
              <w:jc w:val="center"/>
              <w:rPr>
                <w:rFonts w:ascii="Arial" w:hAnsi="Arial" w:cs="Arial"/>
                <w:color w:val="000000"/>
              </w:rPr>
            </w:pPr>
            <w:r>
              <w:rPr>
                <w:rFonts w:ascii="Arial" w:hAnsi="Arial" w:cs="Arial"/>
                <w:color w:val="000000"/>
              </w:rPr>
              <w:t>10.2</w:t>
            </w:r>
          </w:p>
        </w:tc>
        <w:tc>
          <w:tcPr>
            <w:tcW w:w="1418" w:type="dxa"/>
            <w:tcBorders>
              <w:top w:val="nil"/>
              <w:left w:val="nil"/>
              <w:bottom w:val="single" w:sz="4" w:space="0" w:color="auto"/>
              <w:right w:val="single" w:sz="4" w:space="0" w:color="auto"/>
            </w:tcBorders>
            <w:shd w:val="clear" w:color="auto" w:fill="auto"/>
            <w:noWrap/>
            <w:vAlign w:val="center"/>
            <w:hideMark/>
          </w:tcPr>
          <w:p w14:paraId="6ED0291B" w14:textId="77777777" w:rsidR="00360825" w:rsidRPr="00DE1AA1" w:rsidRDefault="00360825" w:rsidP="00C04569">
            <w:pPr>
              <w:jc w:val="center"/>
              <w:rPr>
                <w:rFonts w:ascii="Arial" w:hAnsi="Arial" w:cs="Arial"/>
                <w:color w:val="000000"/>
              </w:rPr>
            </w:pPr>
            <w:r>
              <w:rPr>
                <w:rFonts w:ascii="Arial" w:hAnsi="Arial" w:cs="Arial"/>
                <w:color w:val="000000"/>
              </w:rPr>
              <w:t>20.4 - 21.4</w:t>
            </w:r>
          </w:p>
        </w:tc>
      </w:tr>
    </w:tbl>
    <w:p w14:paraId="39F908AC" w14:textId="77777777" w:rsidR="00360825" w:rsidRPr="00B13575" w:rsidRDefault="00360825" w:rsidP="00360825">
      <w:pPr>
        <w:pStyle w:val="BodyTextbeforebullet"/>
        <w:numPr>
          <w:ilvl w:val="0"/>
          <w:numId w:val="0"/>
        </w:numPr>
        <w:rPr>
          <w:rFonts w:ascii="Arial" w:hAnsi="Arial" w:cs="Arial"/>
        </w:rPr>
      </w:pPr>
      <w:r w:rsidRPr="00B13575">
        <w:rPr>
          <w:rFonts w:ascii="Arial" w:hAnsi="Arial" w:cs="Arial"/>
        </w:rPr>
        <w:t xml:space="preserve">Source: Iceni Projects based on OE and WSCC Data </w:t>
      </w:r>
    </w:p>
    <w:p w14:paraId="21CE7D76" w14:textId="629D2EA3" w:rsidR="00360825" w:rsidRPr="00021DB3"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equivalent figure for floorspace is for between 1</w:t>
      </w:r>
      <w:r>
        <w:rPr>
          <w:rFonts w:ascii="Arial" w:hAnsi="Arial" w:cs="Arial"/>
        </w:rPr>
        <w:t>12</w:t>
      </w:r>
      <w:r w:rsidRPr="00B13575">
        <w:rPr>
          <w:rFonts w:ascii="Arial" w:hAnsi="Arial" w:cs="Arial"/>
        </w:rPr>
        <w:t>,</w:t>
      </w:r>
      <w:r>
        <w:rPr>
          <w:rFonts w:ascii="Arial" w:hAnsi="Arial" w:cs="Arial"/>
        </w:rPr>
        <w:t>0</w:t>
      </w:r>
      <w:r w:rsidRPr="00B13575">
        <w:rPr>
          <w:rFonts w:ascii="Arial" w:hAnsi="Arial" w:cs="Arial"/>
        </w:rPr>
        <w:t>00 and 11</w:t>
      </w:r>
      <w:r>
        <w:rPr>
          <w:rFonts w:ascii="Arial" w:hAnsi="Arial" w:cs="Arial"/>
        </w:rPr>
        <w:t>9</w:t>
      </w:r>
      <w:r w:rsidRPr="00B13575">
        <w:rPr>
          <w:rFonts w:ascii="Arial" w:hAnsi="Arial" w:cs="Arial"/>
        </w:rPr>
        <w:t>,</w:t>
      </w:r>
      <w:r>
        <w:rPr>
          <w:rFonts w:ascii="Arial" w:hAnsi="Arial" w:cs="Arial"/>
        </w:rPr>
        <w:t>5</w:t>
      </w:r>
      <w:r w:rsidRPr="00021DB3">
        <w:rPr>
          <w:rFonts w:ascii="Arial" w:hAnsi="Arial" w:cs="Arial"/>
        </w:rPr>
        <w:t xml:space="preserve">00 sq. m the </w:t>
      </w:r>
      <w:r>
        <w:rPr>
          <w:rFonts w:ascii="Arial" w:hAnsi="Arial" w:cs="Arial"/>
        </w:rPr>
        <w:t xml:space="preserve">largest percentage </w:t>
      </w:r>
      <w:r w:rsidRPr="00021DB3">
        <w:rPr>
          <w:rFonts w:ascii="Arial" w:hAnsi="Arial" w:cs="Arial"/>
        </w:rPr>
        <w:t>of which is warehouse floorspace (59,</w:t>
      </w:r>
      <w:r>
        <w:rPr>
          <w:rFonts w:ascii="Arial" w:hAnsi="Arial" w:cs="Arial"/>
        </w:rPr>
        <w:t>0</w:t>
      </w:r>
      <w:r w:rsidRPr="00021DB3">
        <w:rPr>
          <w:rFonts w:ascii="Arial" w:hAnsi="Arial" w:cs="Arial"/>
        </w:rPr>
        <w:t xml:space="preserve">00 </w:t>
      </w:r>
      <w:proofErr w:type="spellStart"/>
      <w:r w:rsidRPr="00021DB3">
        <w:rPr>
          <w:rFonts w:ascii="Arial" w:hAnsi="Arial" w:cs="Arial"/>
        </w:rPr>
        <w:t>sq.m</w:t>
      </w:r>
      <w:proofErr w:type="spellEnd"/>
      <w:r w:rsidRPr="00021DB3">
        <w:rPr>
          <w:rFonts w:ascii="Arial" w:hAnsi="Arial" w:cs="Arial"/>
        </w:rPr>
        <w:t>). There is also a substantial need for office floorspace (</w:t>
      </w:r>
      <w:r>
        <w:rPr>
          <w:rFonts w:ascii="Arial" w:hAnsi="Arial" w:cs="Arial"/>
        </w:rPr>
        <w:t>39</w:t>
      </w:r>
      <w:r w:rsidRPr="00021DB3">
        <w:rPr>
          <w:rFonts w:ascii="Arial" w:hAnsi="Arial" w:cs="Arial"/>
        </w:rPr>
        <w:t>,500 to 4</w:t>
      </w:r>
      <w:r>
        <w:rPr>
          <w:rFonts w:ascii="Arial" w:hAnsi="Arial" w:cs="Arial"/>
        </w:rPr>
        <w:t>7</w:t>
      </w:r>
      <w:r w:rsidRPr="00021DB3">
        <w:rPr>
          <w:rFonts w:ascii="Arial" w:hAnsi="Arial" w:cs="Arial"/>
        </w:rPr>
        <w:t>,</w:t>
      </w:r>
      <w:r>
        <w:rPr>
          <w:rFonts w:ascii="Arial" w:hAnsi="Arial" w:cs="Arial"/>
        </w:rPr>
        <w:t>0</w:t>
      </w:r>
      <w:r w:rsidRPr="00021DB3">
        <w:rPr>
          <w:rFonts w:ascii="Arial" w:hAnsi="Arial" w:cs="Arial"/>
        </w:rPr>
        <w:t xml:space="preserve">00 </w:t>
      </w:r>
      <w:r w:rsidR="004C7B56" w:rsidRPr="00021DB3">
        <w:rPr>
          <w:rFonts w:ascii="Arial" w:hAnsi="Arial" w:cs="Arial"/>
        </w:rPr>
        <w:t>sq.</w:t>
      </w:r>
      <w:r w:rsidRPr="00021DB3">
        <w:rPr>
          <w:rFonts w:ascii="Arial" w:hAnsi="Arial" w:cs="Arial"/>
        </w:rPr>
        <w:t xml:space="preserve">, m) while Industrial requires </w:t>
      </w:r>
      <w:r>
        <w:rPr>
          <w:rFonts w:ascii="Arial" w:hAnsi="Arial" w:cs="Arial"/>
        </w:rPr>
        <w:t>1</w:t>
      </w:r>
      <w:r w:rsidRPr="00021DB3">
        <w:rPr>
          <w:rFonts w:ascii="Arial" w:hAnsi="Arial" w:cs="Arial"/>
        </w:rPr>
        <w:t>3,</w:t>
      </w:r>
      <w:r>
        <w:rPr>
          <w:rFonts w:ascii="Arial" w:hAnsi="Arial" w:cs="Arial"/>
        </w:rPr>
        <w:t>5</w:t>
      </w:r>
      <w:r w:rsidRPr="00021DB3">
        <w:rPr>
          <w:rFonts w:ascii="Arial" w:hAnsi="Arial" w:cs="Arial"/>
        </w:rPr>
        <w:t>00 sq. m.</w:t>
      </w:r>
    </w:p>
    <w:p w14:paraId="09AFDC94" w14:textId="77777777" w:rsidR="00360825" w:rsidRPr="00B13575" w:rsidRDefault="00360825" w:rsidP="00360825">
      <w:pPr>
        <w:pStyle w:val="Heading3"/>
        <w:rPr>
          <w:rFonts w:ascii="Arial" w:hAnsi="Arial" w:cs="Arial"/>
        </w:rPr>
      </w:pPr>
      <w:r w:rsidRPr="00B13575">
        <w:rPr>
          <w:rFonts w:ascii="Arial" w:hAnsi="Arial" w:cs="Arial"/>
        </w:rPr>
        <w:t>Plan Area</w:t>
      </w:r>
    </w:p>
    <w:p w14:paraId="3AADE2E5"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As per the previous HEDNA we are required to make an assumption as to the percentage of employment land that will be required in the Plan Area. To do this we have maintained the assumption that 15% of development will occur in the South Downs National Park and 85% in the rest of the district based on assessed employment activity between the two areas. </w:t>
      </w:r>
    </w:p>
    <w:p w14:paraId="3BE64FD2" w14:textId="77777777" w:rsidR="00360825" w:rsidRPr="00021DB3" w:rsidRDefault="00360825" w:rsidP="001A7584">
      <w:pPr>
        <w:pStyle w:val="BodyText"/>
        <w:numPr>
          <w:ilvl w:val="1"/>
          <w:numId w:val="6"/>
        </w:numPr>
        <w:tabs>
          <w:tab w:val="clear" w:pos="1134"/>
          <w:tab w:val="num" w:pos="0"/>
        </w:tabs>
        <w:ind w:left="0" w:hanging="709"/>
        <w:rPr>
          <w:rFonts w:ascii="Arial" w:hAnsi="Arial" w:cs="Arial"/>
        </w:rPr>
      </w:pPr>
      <w:r w:rsidRPr="00021DB3">
        <w:rPr>
          <w:rFonts w:ascii="Arial" w:hAnsi="Arial" w:cs="Arial"/>
        </w:rPr>
        <w:t xml:space="preserve">The reduction of 15% only applies to the requirement and </w:t>
      </w:r>
      <w:r>
        <w:rPr>
          <w:rFonts w:ascii="Arial" w:hAnsi="Arial" w:cs="Arial"/>
        </w:rPr>
        <w:t>C</w:t>
      </w:r>
      <w:r w:rsidRPr="00021DB3">
        <w:rPr>
          <w:rFonts w:ascii="Arial" w:hAnsi="Arial" w:cs="Arial"/>
        </w:rPr>
        <w:t xml:space="preserve">ovid adjustment as the flexible margin and replacement demand already reflects data for the plan area. The table below shows the need for the district alongside that for the Plan Area from the labour demand scenario. As shown the employment land need for the Plan Area is overall around 1 hectares lower than the district wide need. </w:t>
      </w:r>
    </w:p>
    <w:p w14:paraId="0D9102F5" w14:textId="77777777" w:rsidR="00360825" w:rsidRPr="00B13575" w:rsidRDefault="00360825" w:rsidP="001A7584">
      <w:pPr>
        <w:pStyle w:val="Heading4"/>
        <w:ind w:firstLine="0"/>
      </w:pPr>
      <w:r w:rsidRPr="00B13575">
        <w:t>Labour Demand  - Plan Area Need (2021-2039)</w:t>
      </w:r>
    </w:p>
    <w:tbl>
      <w:tblPr>
        <w:tblW w:w="8500" w:type="dxa"/>
        <w:tblLayout w:type="fixed"/>
        <w:tblLook w:val="04A0" w:firstRow="1" w:lastRow="0" w:firstColumn="1" w:lastColumn="0" w:noHBand="0" w:noVBand="1"/>
      </w:tblPr>
      <w:tblGrid>
        <w:gridCol w:w="1271"/>
        <w:gridCol w:w="1985"/>
        <w:gridCol w:w="1701"/>
        <w:gridCol w:w="1984"/>
        <w:gridCol w:w="1559"/>
      </w:tblGrid>
      <w:tr w:rsidR="00360825" w:rsidRPr="00B13575" w14:paraId="10243159" w14:textId="77777777" w:rsidTr="00C04569">
        <w:trPr>
          <w:trHeight w:val="742"/>
        </w:trPr>
        <w:tc>
          <w:tcPr>
            <w:tcW w:w="1271"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0F2B386A" w14:textId="77777777" w:rsidR="00360825" w:rsidRPr="00DE1AA1" w:rsidRDefault="00360825" w:rsidP="00C04569">
            <w:pPr>
              <w:spacing w:after="0" w:line="240" w:lineRule="auto"/>
              <w:jc w:val="left"/>
              <w:rPr>
                <w:rFonts w:ascii="Arial" w:hAnsi="Arial" w:cs="Arial"/>
                <w:b/>
                <w:bCs/>
                <w:color w:val="FFFFFF"/>
              </w:rPr>
            </w:pPr>
            <w:r w:rsidRPr="00DE1AA1">
              <w:rPr>
                <w:rFonts w:ascii="Arial" w:hAnsi="Arial" w:cs="Arial"/>
                <w:b/>
                <w:bCs/>
                <w:color w:val="FFFFFF"/>
              </w:rPr>
              <w:t> </w:t>
            </w:r>
          </w:p>
        </w:tc>
        <w:tc>
          <w:tcPr>
            <w:tcW w:w="1985" w:type="dxa"/>
            <w:tcBorders>
              <w:top w:val="single" w:sz="4" w:space="0" w:color="auto"/>
              <w:left w:val="nil"/>
              <w:bottom w:val="single" w:sz="4" w:space="0" w:color="auto"/>
              <w:right w:val="single" w:sz="4" w:space="0" w:color="auto"/>
            </w:tcBorders>
            <w:shd w:val="clear" w:color="000000" w:fill="002060"/>
            <w:vAlign w:val="bottom"/>
            <w:hideMark/>
          </w:tcPr>
          <w:p w14:paraId="081FF1F5"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 District (sq. m)</w:t>
            </w:r>
          </w:p>
        </w:tc>
        <w:tc>
          <w:tcPr>
            <w:tcW w:w="1701" w:type="dxa"/>
            <w:tcBorders>
              <w:top w:val="single" w:sz="4" w:space="0" w:color="auto"/>
              <w:left w:val="nil"/>
              <w:bottom w:val="single" w:sz="4" w:space="0" w:color="auto"/>
              <w:right w:val="single" w:sz="4" w:space="0" w:color="auto"/>
            </w:tcBorders>
            <w:shd w:val="clear" w:color="000000" w:fill="002060"/>
            <w:vAlign w:val="bottom"/>
            <w:hideMark/>
          </w:tcPr>
          <w:p w14:paraId="4C92075D"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 District (Ha)</w:t>
            </w:r>
          </w:p>
        </w:tc>
        <w:tc>
          <w:tcPr>
            <w:tcW w:w="1984" w:type="dxa"/>
            <w:tcBorders>
              <w:top w:val="single" w:sz="4" w:space="0" w:color="auto"/>
              <w:left w:val="nil"/>
              <w:bottom w:val="single" w:sz="4" w:space="0" w:color="auto"/>
              <w:right w:val="single" w:sz="4" w:space="0" w:color="auto"/>
            </w:tcBorders>
            <w:shd w:val="clear" w:color="000000" w:fill="002060"/>
            <w:vAlign w:val="bottom"/>
            <w:hideMark/>
          </w:tcPr>
          <w:p w14:paraId="19315FF1"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Revised Need - Plan Area </w:t>
            </w:r>
          </w:p>
          <w:p w14:paraId="163A5C46"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 m)</w:t>
            </w:r>
          </w:p>
        </w:tc>
        <w:tc>
          <w:tcPr>
            <w:tcW w:w="1559" w:type="dxa"/>
            <w:tcBorders>
              <w:top w:val="single" w:sz="4" w:space="0" w:color="auto"/>
              <w:left w:val="nil"/>
              <w:bottom w:val="single" w:sz="4" w:space="0" w:color="auto"/>
              <w:right w:val="single" w:sz="4" w:space="0" w:color="auto"/>
            </w:tcBorders>
            <w:shd w:val="clear" w:color="000000" w:fill="002060"/>
            <w:vAlign w:val="bottom"/>
            <w:hideMark/>
          </w:tcPr>
          <w:p w14:paraId="57F293FD"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 Plan Area(Ha)</w:t>
            </w:r>
          </w:p>
        </w:tc>
      </w:tr>
      <w:tr w:rsidR="00360825" w:rsidRPr="00B13575" w14:paraId="26F94297"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785CE0A"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1985" w:type="dxa"/>
            <w:tcBorders>
              <w:top w:val="nil"/>
              <w:left w:val="nil"/>
              <w:bottom w:val="single" w:sz="4" w:space="0" w:color="auto"/>
              <w:right w:val="single" w:sz="4" w:space="0" w:color="auto"/>
            </w:tcBorders>
            <w:shd w:val="clear" w:color="auto" w:fill="auto"/>
            <w:noWrap/>
            <w:vAlign w:val="bottom"/>
            <w:hideMark/>
          </w:tcPr>
          <w:p w14:paraId="433E4401"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39,453 – 46,953</w:t>
            </w:r>
          </w:p>
        </w:tc>
        <w:tc>
          <w:tcPr>
            <w:tcW w:w="1701" w:type="dxa"/>
            <w:tcBorders>
              <w:top w:val="nil"/>
              <w:left w:val="nil"/>
              <w:bottom w:val="single" w:sz="4" w:space="0" w:color="auto"/>
              <w:right w:val="single" w:sz="4" w:space="0" w:color="auto"/>
            </w:tcBorders>
            <w:shd w:val="clear" w:color="auto" w:fill="auto"/>
            <w:noWrap/>
            <w:vAlign w:val="bottom"/>
            <w:hideMark/>
          </w:tcPr>
          <w:p w14:paraId="46C3A33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5.3 - 6.3</w:t>
            </w:r>
          </w:p>
        </w:tc>
        <w:tc>
          <w:tcPr>
            <w:tcW w:w="1984" w:type="dxa"/>
            <w:tcBorders>
              <w:top w:val="nil"/>
              <w:left w:val="nil"/>
              <w:bottom w:val="single" w:sz="4" w:space="0" w:color="auto"/>
              <w:right w:val="single" w:sz="4" w:space="0" w:color="auto"/>
            </w:tcBorders>
            <w:shd w:val="clear" w:color="auto" w:fill="auto"/>
            <w:noWrap/>
            <w:vAlign w:val="bottom"/>
            <w:hideMark/>
          </w:tcPr>
          <w:p w14:paraId="5A587DE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36,488 – 42,863</w:t>
            </w:r>
          </w:p>
        </w:tc>
        <w:tc>
          <w:tcPr>
            <w:tcW w:w="1559" w:type="dxa"/>
            <w:tcBorders>
              <w:top w:val="nil"/>
              <w:left w:val="nil"/>
              <w:bottom w:val="single" w:sz="4" w:space="0" w:color="auto"/>
              <w:right w:val="single" w:sz="4" w:space="0" w:color="auto"/>
            </w:tcBorders>
            <w:shd w:val="clear" w:color="auto" w:fill="auto"/>
            <w:noWrap/>
            <w:vAlign w:val="bottom"/>
            <w:hideMark/>
          </w:tcPr>
          <w:p w14:paraId="0FE38886"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4.9 - 5.7</w:t>
            </w:r>
          </w:p>
        </w:tc>
      </w:tr>
      <w:tr w:rsidR="00360825" w:rsidRPr="00B13575" w14:paraId="1C01F93B"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37C6064"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1985" w:type="dxa"/>
            <w:tcBorders>
              <w:top w:val="nil"/>
              <w:left w:val="nil"/>
              <w:bottom w:val="single" w:sz="4" w:space="0" w:color="auto"/>
              <w:right w:val="single" w:sz="4" w:space="0" w:color="auto"/>
            </w:tcBorders>
            <w:shd w:val="clear" w:color="auto" w:fill="auto"/>
            <w:noWrap/>
            <w:vAlign w:val="bottom"/>
            <w:hideMark/>
          </w:tcPr>
          <w:p w14:paraId="158AA563"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13,518</w:t>
            </w:r>
          </w:p>
        </w:tc>
        <w:tc>
          <w:tcPr>
            <w:tcW w:w="1701" w:type="dxa"/>
            <w:tcBorders>
              <w:top w:val="nil"/>
              <w:left w:val="nil"/>
              <w:bottom w:val="single" w:sz="4" w:space="0" w:color="auto"/>
              <w:right w:val="single" w:sz="4" w:space="0" w:color="auto"/>
            </w:tcBorders>
            <w:shd w:val="clear" w:color="auto" w:fill="auto"/>
            <w:noWrap/>
            <w:vAlign w:val="bottom"/>
            <w:hideMark/>
          </w:tcPr>
          <w:p w14:paraId="02F77E44"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3.4</w:t>
            </w:r>
          </w:p>
        </w:tc>
        <w:tc>
          <w:tcPr>
            <w:tcW w:w="1984" w:type="dxa"/>
            <w:tcBorders>
              <w:top w:val="nil"/>
              <w:left w:val="nil"/>
              <w:bottom w:val="single" w:sz="4" w:space="0" w:color="auto"/>
              <w:right w:val="single" w:sz="4" w:space="0" w:color="auto"/>
            </w:tcBorders>
            <w:shd w:val="clear" w:color="auto" w:fill="auto"/>
            <w:noWrap/>
            <w:vAlign w:val="bottom"/>
            <w:hideMark/>
          </w:tcPr>
          <w:p w14:paraId="6BB3AC20"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15,013</w:t>
            </w:r>
          </w:p>
        </w:tc>
        <w:tc>
          <w:tcPr>
            <w:tcW w:w="1559" w:type="dxa"/>
            <w:tcBorders>
              <w:top w:val="nil"/>
              <w:left w:val="nil"/>
              <w:bottom w:val="single" w:sz="4" w:space="0" w:color="auto"/>
              <w:right w:val="single" w:sz="4" w:space="0" w:color="auto"/>
            </w:tcBorders>
            <w:shd w:val="clear" w:color="auto" w:fill="auto"/>
            <w:noWrap/>
            <w:vAlign w:val="bottom"/>
            <w:hideMark/>
          </w:tcPr>
          <w:p w14:paraId="66DF350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3.8</w:t>
            </w:r>
          </w:p>
        </w:tc>
      </w:tr>
      <w:tr w:rsidR="00360825" w:rsidRPr="00B13575" w14:paraId="0C0421AC"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2C2FBF1"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1985" w:type="dxa"/>
            <w:tcBorders>
              <w:top w:val="nil"/>
              <w:left w:val="nil"/>
              <w:bottom w:val="single" w:sz="4" w:space="0" w:color="auto"/>
              <w:right w:val="single" w:sz="4" w:space="0" w:color="auto"/>
            </w:tcBorders>
            <w:shd w:val="clear" w:color="auto" w:fill="auto"/>
            <w:noWrap/>
            <w:vAlign w:val="bottom"/>
            <w:hideMark/>
          </w:tcPr>
          <w:p w14:paraId="5D48062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59,038</w:t>
            </w:r>
          </w:p>
        </w:tc>
        <w:tc>
          <w:tcPr>
            <w:tcW w:w="1701" w:type="dxa"/>
            <w:tcBorders>
              <w:top w:val="nil"/>
              <w:left w:val="nil"/>
              <w:bottom w:val="single" w:sz="4" w:space="0" w:color="auto"/>
              <w:right w:val="single" w:sz="4" w:space="0" w:color="auto"/>
            </w:tcBorders>
            <w:shd w:val="clear" w:color="auto" w:fill="auto"/>
            <w:noWrap/>
            <w:vAlign w:val="bottom"/>
            <w:hideMark/>
          </w:tcPr>
          <w:p w14:paraId="2F21939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11.8</w:t>
            </w:r>
          </w:p>
        </w:tc>
        <w:tc>
          <w:tcPr>
            <w:tcW w:w="1984" w:type="dxa"/>
            <w:tcBorders>
              <w:top w:val="nil"/>
              <w:left w:val="nil"/>
              <w:bottom w:val="single" w:sz="4" w:space="0" w:color="auto"/>
              <w:right w:val="single" w:sz="4" w:space="0" w:color="auto"/>
            </w:tcBorders>
            <w:shd w:val="clear" w:color="auto" w:fill="auto"/>
            <w:noWrap/>
            <w:vAlign w:val="bottom"/>
            <w:hideMark/>
          </w:tcPr>
          <w:p w14:paraId="3628A86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55,220</w:t>
            </w:r>
          </w:p>
        </w:tc>
        <w:tc>
          <w:tcPr>
            <w:tcW w:w="1559" w:type="dxa"/>
            <w:tcBorders>
              <w:top w:val="nil"/>
              <w:left w:val="nil"/>
              <w:bottom w:val="single" w:sz="4" w:space="0" w:color="auto"/>
              <w:right w:val="single" w:sz="4" w:space="0" w:color="auto"/>
            </w:tcBorders>
            <w:shd w:val="clear" w:color="auto" w:fill="auto"/>
            <w:noWrap/>
            <w:vAlign w:val="bottom"/>
            <w:hideMark/>
          </w:tcPr>
          <w:p w14:paraId="50D1645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11.0</w:t>
            </w:r>
          </w:p>
        </w:tc>
      </w:tr>
      <w:tr w:rsidR="00360825" w:rsidRPr="00B13575" w14:paraId="0ACC7537"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58C8DD1"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1985" w:type="dxa"/>
            <w:tcBorders>
              <w:top w:val="nil"/>
              <w:left w:val="nil"/>
              <w:bottom w:val="single" w:sz="4" w:space="0" w:color="auto"/>
              <w:right w:val="single" w:sz="4" w:space="0" w:color="auto"/>
            </w:tcBorders>
            <w:shd w:val="clear" w:color="auto" w:fill="auto"/>
            <w:noWrap/>
            <w:vAlign w:val="bottom"/>
            <w:hideMark/>
          </w:tcPr>
          <w:p w14:paraId="4C29459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112,009 – 119,509</w:t>
            </w:r>
          </w:p>
        </w:tc>
        <w:tc>
          <w:tcPr>
            <w:tcW w:w="1701" w:type="dxa"/>
            <w:tcBorders>
              <w:top w:val="nil"/>
              <w:left w:val="nil"/>
              <w:bottom w:val="single" w:sz="4" w:space="0" w:color="auto"/>
              <w:right w:val="single" w:sz="4" w:space="0" w:color="auto"/>
            </w:tcBorders>
            <w:shd w:val="clear" w:color="auto" w:fill="auto"/>
            <w:noWrap/>
            <w:vAlign w:val="bottom"/>
            <w:hideMark/>
          </w:tcPr>
          <w:p w14:paraId="665FBAAC"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20.4 - 21.4</w:t>
            </w:r>
          </w:p>
        </w:tc>
        <w:tc>
          <w:tcPr>
            <w:tcW w:w="1984" w:type="dxa"/>
            <w:tcBorders>
              <w:top w:val="nil"/>
              <w:left w:val="nil"/>
              <w:bottom w:val="single" w:sz="4" w:space="0" w:color="auto"/>
              <w:right w:val="single" w:sz="4" w:space="0" w:color="auto"/>
            </w:tcBorders>
            <w:shd w:val="clear" w:color="auto" w:fill="auto"/>
            <w:noWrap/>
            <w:vAlign w:val="bottom"/>
            <w:hideMark/>
          </w:tcPr>
          <w:p w14:paraId="01894C41"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106,721 – 113,096</w:t>
            </w:r>
          </w:p>
        </w:tc>
        <w:tc>
          <w:tcPr>
            <w:tcW w:w="1559" w:type="dxa"/>
            <w:tcBorders>
              <w:top w:val="nil"/>
              <w:left w:val="nil"/>
              <w:bottom w:val="single" w:sz="4" w:space="0" w:color="auto"/>
              <w:right w:val="single" w:sz="4" w:space="0" w:color="auto"/>
            </w:tcBorders>
            <w:shd w:val="clear" w:color="auto" w:fill="auto"/>
            <w:noWrap/>
            <w:vAlign w:val="bottom"/>
            <w:hideMark/>
          </w:tcPr>
          <w:p w14:paraId="0B3EFF1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19.7 - 20.5</w:t>
            </w:r>
          </w:p>
        </w:tc>
      </w:tr>
    </w:tbl>
    <w:p w14:paraId="60B980E1"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based on OE and WSCC Data</w:t>
      </w:r>
    </w:p>
    <w:p w14:paraId="47921B48" w14:textId="77777777" w:rsidR="00360825" w:rsidRPr="00B13575" w:rsidRDefault="00360825" w:rsidP="00360825">
      <w:pPr>
        <w:pStyle w:val="Heading2"/>
        <w:rPr>
          <w:rFonts w:ascii="Arial" w:hAnsi="Arial" w:cs="Arial"/>
        </w:rPr>
      </w:pPr>
      <w:r w:rsidRPr="00B13575">
        <w:rPr>
          <w:rFonts w:ascii="Arial" w:hAnsi="Arial" w:cs="Arial"/>
        </w:rPr>
        <w:t>Labour Supply</w:t>
      </w:r>
    </w:p>
    <w:p w14:paraId="4B2D6BBA" w14:textId="79659AA5"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labour supply calculations are considered in much the same way as the labour demand calculations</w:t>
      </w:r>
      <w:r w:rsidR="002B1913" w:rsidRPr="00B13575">
        <w:rPr>
          <w:rFonts w:ascii="Arial" w:hAnsi="Arial" w:cs="Arial"/>
        </w:rPr>
        <w:t xml:space="preserve">. </w:t>
      </w:r>
      <w:r w:rsidRPr="00B13575">
        <w:rPr>
          <w:rFonts w:ascii="Arial" w:hAnsi="Arial" w:cs="Arial"/>
        </w:rPr>
        <w:t xml:space="preserve">The difference being that the economic forecasts are linked to the delivery of 763 dpa across the </w:t>
      </w:r>
      <w:r>
        <w:rPr>
          <w:rFonts w:ascii="Arial" w:hAnsi="Arial" w:cs="Arial"/>
        </w:rPr>
        <w:t>plan period</w:t>
      </w:r>
      <w:r w:rsidRPr="00B13575">
        <w:rPr>
          <w:rFonts w:ascii="Arial" w:hAnsi="Arial" w:cs="Arial"/>
        </w:rPr>
        <w:t xml:space="preserve"> which as set out earlier in the report would support 12,313 jobs.</w:t>
      </w:r>
    </w:p>
    <w:p w14:paraId="288A9EDB"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lastRenderedPageBreak/>
        <w:t xml:space="preserve">As set out earlier in the report we have assumed 20% of growth above the baseline will occur in nationally focused sectors and 80% of the growth above the baseline will occur in population driven sectors such as retail and wholesale, education and healthcare. </w:t>
      </w:r>
    </w:p>
    <w:p w14:paraId="68FCFAB1" w14:textId="305D1ACE"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It should also be noted that additional labour supply could also result in greater levels of out-commuting as the surplus labour supply seek work elsewhere</w:t>
      </w:r>
      <w:r w:rsidR="002B1913" w:rsidRPr="00B13575">
        <w:rPr>
          <w:rFonts w:ascii="Arial" w:hAnsi="Arial" w:cs="Arial"/>
        </w:rPr>
        <w:t xml:space="preserve">. </w:t>
      </w:r>
      <w:r w:rsidRPr="00B13575">
        <w:rPr>
          <w:rFonts w:ascii="Arial" w:hAnsi="Arial" w:cs="Arial"/>
        </w:rPr>
        <w:t>This could be used to support economic growth in neighbouring authorities who may not have sufficient labour supply</w:t>
      </w:r>
      <w:r w:rsidR="002B1913" w:rsidRPr="00B13575">
        <w:rPr>
          <w:rFonts w:ascii="Arial" w:hAnsi="Arial" w:cs="Arial"/>
        </w:rPr>
        <w:t xml:space="preserve">. </w:t>
      </w:r>
      <w:r w:rsidRPr="00B13575">
        <w:rPr>
          <w:rFonts w:ascii="Arial" w:hAnsi="Arial" w:cs="Arial"/>
        </w:rPr>
        <w:t>This is however a duty to cooperate issue.</w:t>
      </w:r>
    </w:p>
    <w:p w14:paraId="4C2A4EE9" w14:textId="107379BE" w:rsidR="00360825" w:rsidRPr="00B13575" w:rsidRDefault="00360825" w:rsidP="001A7584">
      <w:pPr>
        <w:numPr>
          <w:ilvl w:val="1"/>
          <w:numId w:val="5"/>
        </w:numPr>
        <w:tabs>
          <w:tab w:val="clear" w:pos="1134"/>
          <w:tab w:val="num" w:pos="0"/>
        </w:tabs>
        <w:ind w:left="0" w:hanging="709"/>
        <w:rPr>
          <w:rFonts w:ascii="Arial" w:hAnsi="Arial" w:cs="Arial"/>
        </w:rPr>
      </w:pPr>
      <w:r w:rsidRPr="00B13575">
        <w:rPr>
          <w:rFonts w:ascii="Arial" w:hAnsi="Arial" w:cs="Arial"/>
        </w:rPr>
        <w:t>As shown in the table below, applying the same steps and assumptions as set out above, the labour supply approach results in an overall need for between 1</w:t>
      </w:r>
      <w:r>
        <w:rPr>
          <w:rFonts w:ascii="Arial" w:hAnsi="Arial" w:cs="Arial"/>
        </w:rPr>
        <w:t>3</w:t>
      </w:r>
      <w:r w:rsidRPr="00B13575">
        <w:rPr>
          <w:rFonts w:ascii="Arial" w:hAnsi="Arial" w:cs="Arial"/>
        </w:rPr>
        <w:t>.</w:t>
      </w:r>
      <w:r>
        <w:rPr>
          <w:rFonts w:ascii="Arial" w:hAnsi="Arial" w:cs="Arial"/>
        </w:rPr>
        <w:t>2</w:t>
      </w:r>
      <w:r w:rsidRPr="00B13575">
        <w:rPr>
          <w:rFonts w:ascii="Arial" w:hAnsi="Arial" w:cs="Arial"/>
        </w:rPr>
        <w:t xml:space="preserve"> and 1</w:t>
      </w:r>
      <w:r>
        <w:rPr>
          <w:rFonts w:ascii="Arial" w:hAnsi="Arial" w:cs="Arial"/>
        </w:rPr>
        <w:t>4</w:t>
      </w:r>
      <w:r w:rsidRPr="00B13575">
        <w:rPr>
          <w:rFonts w:ascii="Arial" w:hAnsi="Arial" w:cs="Arial"/>
        </w:rPr>
        <w:t>.</w:t>
      </w:r>
      <w:r>
        <w:rPr>
          <w:rFonts w:ascii="Arial" w:hAnsi="Arial" w:cs="Arial"/>
        </w:rPr>
        <w:t>9</w:t>
      </w:r>
      <w:r w:rsidRPr="00B13575">
        <w:rPr>
          <w:rFonts w:ascii="Arial" w:hAnsi="Arial" w:cs="Arial"/>
        </w:rPr>
        <w:t xml:space="preserve"> Ha</w:t>
      </w:r>
      <w:r w:rsidR="002B1913" w:rsidRPr="00B13575">
        <w:rPr>
          <w:rFonts w:ascii="Arial" w:hAnsi="Arial" w:cs="Arial"/>
        </w:rPr>
        <w:t xml:space="preserve">. </w:t>
      </w:r>
      <w:r w:rsidRPr="00B13575">
        <w:rPr>
          <w:rFonts w:ascii="Arial" w:hAnsi="Arial" w:cs="Arial"/>
        </w:rPr>
        <w:t>This includes a substantial reduction in industrial floorspace linked the decline in manufacturing employment.</w:t>
      </w:r>
    </w:p>
    <w:p w14:paraId="0E222F18" w14:textId="77777777" w:rsidR="00360825" w:rsidRPr="00B13575" w:rsidRDefault="00360825" w:rsidP="001A7584">
      <w:pPr>
        <w:pStyle w:val="Heading4"/>
        <w:ind w:firstLine="0"/>
      </w:pPr>
      <w:r w:rsidRPr="00B13575">
        <w:t>- Labour Supply Employment Land Requirement – Chichester District – 2021-2039</w:t>
      </w:r>
    </w:p>
    <w:tbl>
      <w:tblPr>
        <w:tblW w:w="84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985"/>
        <w:gridCol w:w="1217"/>
        <w:gridCol w:w="1134"/>
        <w:gridCol w:w="1417"/>
        <w:gridCol w:w="1418"/>
      </w:tblGrid>
      <w:tr w:rsidR="00360825" w:rsidRPr="00B13575" w14:paraId="214C3337" w14:textId="77777777" w:rsidTr="00C04569">
        <w:trPr>
          <w:trHeight w:hRule="exact" w:val="817"/>
        </w:trPr>
        <w:tc>
          <w:tcPr>
            <w:tcW w:w="1276" w:type="dxa"/>
            <w:shd w:val="clear" w:color="000000" w:fill="002060"/>
            <w:vAlign w:val="bottom"/>
            <w:hideMark/>
          </w:tcPr>
          <w:p w14:paraId="50755527" w14:textId="77777777" w:rsidR="00360825" w:rsidRPr="00DE1AA1" w:rsidRDefault="00360825" w:rsidP="00C04569">
            <w:pPr>
              <w:rPr>
                <w:rFonts w:ascii="Arial" w:hAnsi="Arial" w:cs="Arial"/>
                <w:b/>
                <w:bCs/>
                <w:color w:val="FFFFFF"/>
              </w:rPr>
            </w:pPr>
            <w:r w:rsidRPr="00DE1AA1">
              <w:rPr>
                <w:rFonts w:ascii="Arial" w:hAnsi="Arial" w:cs="Arial"/>
                <w:b/>
                <w:bCs/>
                <w:color w:val="FFFFFF"/>
              </w:rPr>
              <w:t> </w:t>
            </w:r>
          </w:p>
        </w:tc>
        <w:tc>
          <w:tcPr>
            <w:tcW w:w="1985" w:type="dxa"/>
            <w:shd w:val="clear" w:color="000000" w:fill="002060"/>
            <w:vAlign w:val="bottom"/>
            <w:hideMark/>
          </w:tcPr>
          <w:p w14:paraId="4050A42A" w14:textId="77777777" w:rsidR="00360825" w:rsidRPr="00DE1AA1" w:rsidRDefault="00360825" w:rsidP="00C04569">
            <w:pPr>
              <w:jc w:val="center"/>
              <w:rPr>
                <w:rFonts w:ascii="Arial" w:hAnsi="Arial" w:cs="Arial"/>
                <w:color w:val="FFFFFF"/>
              </w:rPr>
            </w:pPr>
            <w:r w:rsidRPr="00DE1AA1">
              <w:rPr>
                <w:rFonts w:ascii="Arial" w:hAnsi="Arial" w:cs="Arial"/>
                <w:color w:val="FFFFFF"/>
              </w:rPr>
              <w:t>Employment Land Requirement (Ha)</w:t>
            </w:r>
          </w:p>
        </w:tc>
        <w:tc>
          <w:tcPr>
            <w:tcW w:w="1217" w:type="dxa"/>
            <w:shd w:val="clear" w:color="000000" w:fill="002060"/>
            <w:vAlign w:val="center"/>
          </w:tcPr>
          <w:p w14:paraId="70B6C7C8" w14:textId="77777777" w:rsidR="00360825" w:rsidRPr="00DE1AA1" w:rsidRDefault="00360825" w:rsidP="00C04569">
            <w:pPr>
              <w:jc w:val="center"/>
              <w:rPr>
                <w:rFonts w:ascii="Arial" w:hAnsi="Arial" w:cs="Arial"/>
                <w:color w:val="FFFFFF"/>
              </w:rPr>
            </w:pPr>
            <w:r w:rsidRPr="00DE1AA1">
              <w:rPr>
                <w:rFonts w:ascii="Arial" w:hAnsi="Arial" w:cs="Arial"/>
                <w:color w:val="FFFFFF"/>
              </w:rPr>
              <w:t>Covid Adjustment</w:t>
            </w:r>
          </w:p>
        </w:tc>
        <w:tc>
          <w:tcPr>
            <w:tcW w:w="1134" w:type="dxa"/>
            <w:shd w:val="clear" w:color="000000" w:fill="002060"/>
            <w:vAlign w:val="bottom"/>
            <w:hideMark/>
          </w:tcPr>
          <w:p w14:paraId="2F1B2C68" w14:textId="77777777" w:rsidR="00360825" w:rsidRPr="00DE1AA1" w:rsidRDefault="00360825" w:rsidP="00C04569">
            <w:pPr>
              <w:jc w:val="center"/>
              <w:rPr>
                <w:rFonts w:ascii="Arial" w:hAnsi="Arial" w:cs="Arial"/>
                <w:color w:val="FFFFFF"/>
              </w:rPr>
            </w:pPr>
            <w:r w:rsidRPr="00DE1AA1">
              <w:rPr>
                <w:rFonts w:ascii="Arial" w:hAnsi="Arial" w:cs="Arial"/>
                <w:color w:val="FFFFFF"/>
              </w:rPr>
              <w:t>Flexible Margin</w:t>
            </w:r>
          </w:p>
        </w:tc>
        <w:tc>
          <w:tcPr>
            <w:tcW w:w="1417" w:type="dxa"/>
            <w:shd w:val="clear" w:color="000000" w:fill="002060"/>
            <w:vAlign w:val="bottom"/>
            <w:hideMark/>
          </w:tcPr>
          <w:p w14:paraId="40836939" w14:textId="77777777" w:rsidR="00360825" w:rsidRPr="00DE1AA1" w:rsidRDefault="00360825" w:rsidP="00C04569">
            <w:pPr>
              <w:jc w:val="center"/>
              <w:rPr>
                <w:rFonts w:ascii="Arial" w:hAnsi="Arial" w:cs="Arial"/>
                <w:color w:val="FFFFFF"/>
              </w:rPr>
            </w:pPr>
            <w:r w:rsidRPr="00DE1AA1">
              <w:rPr>
                <w:rFonts w:ascii="Arial" w:hAnsi="Arial" w:cs="Arial"/>
                <w:color w:val="FFFFFF"/>
              </w:rPr>
              <w:t>Replacement Demand</w:t>
            </w:r>
          </w:p>
        </w:tc>
        <w:tc>
          <w:tcPr>
            <w:tcW w:w="1418" w:type="dxa"/>
            <w:shd w:val="clear" w:color="000000" w:fill="002060"/>
            <w:vAlign w:val="bottom"/>
            <w:hideMark/>
          </w:tcPr>
          <w:p w14:paraId="0C688893" w14:textId="77777777" w:rsidR="00360825" w:rsidRPr="00DE1AA1" w:rsidRDefault="00360825" w:rsidP="00C04569">
            <w:pPr>
              <w:jc w:val="center"/>
              <w:rPr>
                <w:rFonts w:ascii="Arial" w:hAnsi="Arial" w:cs="Arial"/>
                <w:color w:val="FFFFFF"/>
              </w:rPr>
            </w:pPr>
            <w:r w:rsidRPr="00DE1AA1">
              <w:rPr>
                <w:rFonts w:ascii="Arial" w:hAnsi="Arial" w:cs="Arial"/>
                <w:color w:val="FFFFFF"/>
              </w:rPr>
              <w:t>Revised Need</w:t>
            </w:r>
          </w:p>
        </w:tc>
      </w:tr>
      <w:tr w:rsidR="00360825" w:rsidRPr="00B13575" w14:paraId="373F9668" w14:textId="77777777" w:rsidTr="00C04569">
        <w:trPr>
          <w:trHeight w:hRule="exact" w:val="284"/>
        </w:trPr>
        <w:tc>
          <w:tcPr>
            <w:tcW w:w="1276" w:type="dxa"/>
            <w:shd w:val="clear" w:color="auto" w:fill="auto"/>
            <w:noWrap/>
            <w:vAlign w:val="bottom"/>
            <w:hideMark/>
          </w:tcPr>
          <w:p w14:paraId="03558739" w14:textId="77777777" w:rsidR="00360825" w:rsidRPr="00DE1AA1" w:rsidRDefault="00360825" w:rsidP="00C04569">
            <w:pPr>
              <w:rPr>
                <w:rFonts w:ascii="Arial" w:hAnsi="Arial" w:cs="Arial"/>
                <w:color w:val="000000"/>
              </w:rPr>
            </w:pPr>
            <w:r w:rsidRPr="00DE1AA1">
              <w:rPr>
                <w:rFonts w:ascii="Arial" w:hAnsi="Arial" w:cs="Arial"/>
                <w:color w:val="000000"/>
              </w:rPr>
              <w:t>Office</w:t>
            </w:r>
          </w:p>
        </w:tc>
        <w:tc>
          <w:tcPr>
            <w:tcW w:w="1985" w:type="dxa"/>
            <w:shd w:val="clear" w:color="auto" w:fill="auto"/>
            <w:noWrap/>
            <w:vAlign w:val="center"/>
          </w:tcPr>
          <w:p w14:paraId="033138B4" w14:textId="77777777" w:rsidR="00360825" w:rsidRPr="00DE1AA1" w:rsidRDefault="00360825" w:rsidP="00C04569">
            <w:pPr>
              <w:jc w:val="center"/>
              <w:rPr>
                <w:rFonts w:ascii="Arial" w:hAnsi="Arial" w:cs="Arial"/>
                <w:color w:val="000000"/>
              </w:rPr>
            </w:pPr>
            <w:r>
              <w:rPr>
                <w:rFonts w:ascii="Arial" w:hAnsi="Arial" w:cs="Arial"/>
                <w:color w:val="000000"/>
              </w:rPr>
              <w:t>4.4-6.1</w:t>
            </w:r>
          </w:p>
        </w:tc>
        <w:tc>
          <w:tcPr>
            <w:tcW w:w="1217" w:type="dxa"/>
            <w:vAlign w:val="center"/>
          </w:tcPr>
          <w:p w14:paraId="1258FE33" w14:textId="77777777" w:rsidR="00360825" w:rsidRPr="00DE1AA1" w:rsidRDefault="00360825" w:rsidP="00C04569">
            <w:pPr>
              <w:jc w:val="center"/>
              <w:rPr>
                <w:rFonts w:ascii="Arial" w:hAnsi="Arial" w:cs="Arial"/>
                <w:color w:val="000000"/>
              </w:rPr>
            </w:pPr>
            <w:r>
              <w:rPr>
                <w:rFonts w:ascii="Arial" w:hAnsi="Arial" w:cs="Arial"/>
                <w:color w:val="000000"/>
              </w:rPr>
              <w:t>0.1</w:t>
            </w:r>
          </w:p>
        </w:tc>
        <w:tc>
          <w:tcPr>
            <w:tcW w:w="1134" w:type="dxa"/>
            <w:shd w:val="clear" w:color="auto" w:fill="auto"/>
            <w:noWrap/>
            <w:vAlign w:val="center"/>
          </w:tcPr>
          <w:p w14:paraId="7B1CB5D4" w14:textId="77777777" w:rsidR="00360825" w:rsidRPr="00DE1AA1" w:rsidRDefault="00360825" w:rsidP="00C04569">
            <w:pPr>
              <w:jc w:val="center"/>
              <w:rPr>
                <w:rFonts w:ascii="Arial" w:hAnsi="Arial" w:cs="Arial"/>
                <w:color w:val="000000"/>
              </w:rPr>
            </w:pPr>
            <w:r>
              <w:rPr>
                <w:rFonts w:ascii="Arial" w:hAnsi="Arial" w:cs="Arial"/>
                <w:color w:val="000000"/>
              </w:rPr>
              <w:t>0.8</w:t>
            </w:r>
          </w:p>
        </w:tc>
        <w:tc>
          <w:tcPr>
            <w:tcW w:w="1417" w:type="dxa"/>
            <w:shd w:val="clear" w:color="auto" w:fill="auto"/>
            <w:noWrap/>
            <w:vAlign w:val="center"/>
          </w:tcPr>
          <w:p w14:paraId="17788BEA" w14:textId="77777777" w:rsidR="00360825" w:rsidRPr="00DE1AA1" w:rsidRDefault="00360825" w:rsidP="00C04569">
            <w:pPr>
              <w:jc w:val="center"/>
              <w:rPr>
                <w:rFonts w:ascii="Arial" w:hAnsi="Arial" w:cs="Arial"/>
                <w:color w:val="000000"/>
              </w:rPr>
            </w:pPr>
            <w:r>
              <w:rPr>
                <w:rFonts w:ascii="Arial" w:hAnsi="Arial" w:cs="Arial"/>
                <w:color w:val="000000"/>
              </w:rPr>
              <w:t>1.8</w:t>
            </w:r>
          </w:p>
        </w:tc>
        <w:tc>
          <w:tcPr>
            <w:tcW w:w="1418" w:type="dxa"/>
            <w:shd w:val="clear" w:color="auto" w:fill="auto"/>
            <w:noWrap/>
            <w:vAlign w:val="center"/>
          </w:tcPr>
          <w:p w14:paraId="069C5A44" w14:textId="77777777" w:rsidR="00360825" w:rsidRPr="00DE1AA1" w:rsidRDefault="00360825" w:rsidP="00C04569">
            <w:pPr>
              <w:jc w:val="center"/>
              <w:rPr>
                <w:rFonts w:ascii="Arial" w:hAnsi="Arial" w:cs="Arial"/>
                <w:color w:val="000000"/>
              </w:rPr>
            </w:pPr>
            <w:r>
              <w:rPr>
                <w:rFonts w:ascii="Arial" w:hAnsi="Arial" w:cs="Arial"/>
                <w:color w:val="000000"/>
              </w:rPr>
              <w:t>7.1 - 8.7</w:t>
            </w:r>
          </w:p>
        </w:tc>
      </w:tr>
      <w:tr w:rsidR="00360825" w:rsidRPr="00B13575" w14:paraId="57AEB7F3" w14:textId="77777777" w:rsidTr="00C04569">
        <w:trPr>
          <w:trHeight w:hRule="exact" w:val="284"/>
        </w:trPr>
        <w:tc>
          <w:tcPr>
            <w:tcW w:w="1276" w:type="dxa"/>
            <w:shd w:val="clear" w:color="auto" w:fill="auto"/>
            <w:noWrap/>
            <w:vAlign w:val="bottom"/>
            <w:hideMark/>
          </w:tcPr>
          <w:p w14:paraId="1D79D3FF" w14:textId="77777777" w:rsidR="00360825" w:rsidRPr="00DE1AA1" w:rsidRDefault="00360825" w:rsidP="00C04569">
            <w:pPr>
              <w:rPr>
                <w:rFonts w:ascii="Arial" w:hAnsi="Arial" w:cs="Arial"/>
                <w:color w:val="000000"/>
              </w:rPr>
            </w:pPr>
            <w:r w:rsidRPr="00DE1AA1">
              <w:rPr>
                <w:rFonts w:ascii="Arial" w:hAnsi="Arial" w:cs="Arial"/>
                <w:color w:val="000000"/>
              </w:rPr>
              <w:t>Factory</w:t>
            </w:r>
          </w:p>
        </w:tc>
        <w:tc>
          <w:tcPr>
            <w:tcW w:w="1985" w:type="dxa"/>
            <w:shd w:val="clear" w:color="auto" w:fill="auto"/>
            <w:noWrap/>
            <w:vAlign w:val="center"/>
          </w:tcPr>
          <w:p w14:paraId="65C6AAA9" w14:textId="77777777" w:rsidR="00360825" w:rsidRPr="00DE1AA1" w:rsidRDefault="00360825" w:rsidP="00C04569">
            <w:pPr>
              <w:jc w:val="center"/>
              <w:rPr>
                <w:rFonts w:ascii="Arial" w:hAnsi="Arial" w:cs="Arial"/>
                <w:color w:val="000000"/>
              </w:rPr>
            </w:pPr>
            <w:r>
              <w:rPr>
                <w:rFonts w:ascii="Arial" w:hAnsi="Arial" w:cs="Arial"/>
                <w:color w:val="000000"/>
              </w:rPr>
              <w:t>-17.3</w:t>
            </w:r>
          </w:p>
        </w:tc>
        <w:tc>
          <w:tcPr>
            <w:tcW w:w="1217" w:type="dxa"/>
            <w:vAlign w:val="center"/>
          </w:tcPr>
          <w:p w14:paraId="118E0B1C" w14:textId="77777777" w:rsidR="00360825" w:rsidRPr="00DE1AA1" w:rsidRDefault="00360825" w:rsidP="00C04569">
            <w:pPr>
              <w:jc w:val="center"/>
              <w:rPr>
                <w:rFonts w:ascii="Arial" w:hAnsi="Arial" w:cs="Arial"/>
                <w:color w:val="000000"/>
              </w:rPr>
            </w:pPr>
            <w:r>
              <w:rPr>
                <w:rFonts w:ascii="Arial" w:hAnsi="Arial" w:cs="Arial"/>
                <w:color w:val="000000"/>
              </w:rPr>
              <w:t>-4.6</w:t>
            </w:r>
          </w:p>
        </w:tc>
        <w:tc>
          <w:tcPr>
            <w:tcW w:w="1134" w:type="dxa"/>
            <w:shd w:val="clear" w:color="auto" w:fill="auto"/>
            <w:noWrap/>
            <w:vAlign w:val="center"/>
          </w:tcPr>
          <w:p w14:paraId="114CF25D" w14:textId="77777777" w:rsidR="00360825" w:rsidRPr="00DE1AA1" w:rsidRDefault="00360825" w:rsidP="00C04569">
            <w:pPr>
              <w:jc w:val="center"/>
              <w:rPr>
                <w:rFonts w:ascii="Arial" w:hAnsi="Arial" w:cs="Arial"/>
                <w:color w:val="000000"/>
              </w:rPr>
            </w:pPr>
            <w:r>
              <w:rPr>
                <w:rFonts w:ascii="Arial" w:hAnsi="Arial" w:cs="Arial"/>
                <w:color w:val="000000"/>
              </w:rPr>
              <w:t>2.7</w:t>
            </w:r>
          </w:p>
        </w:tc>
        <w:tc>
          <w:tcPr>
            <w:tcW w:w="1417" w:type="dxa"/>
            <w:shd w:val="clear" w:color="auto" w:fill="auto"/>
            <w:noWrap/>
            <w:vAlign w:val="center"/>
          </w:tcPr>
          <w:p w14:paraId="4FFA8E4F" w14:textId="77777777" w:rsidR="00360825" w:rsidRPr="00DE1AA1" w:rsidRDefault="00360825" w:rsidP="00C04569">
            <w:pPr>
              <w:jc w:val="center"/>
              <w:rPr>
                <w:rFonts w:ascii="Arial" w:hAnsi="Arial" w:cs="Arial"/>
                <w:color w:val="000000"/>
              </w:rPr>
            </w:pPr>
            <w:r>
              <w:rPr>
                <w:rFonts w:ascii="Arial" w:hAnsi="Arial" w:cs="Arial"/>
                <w:color w:val="000000"/>
              </w:rPr>
              <w:t>3.2</w:t>
            </w:r>
          </w:p>
        </w:tc>
        <w:tc>
          <w:tcPr>
            <w:tcW w:w="1418" w:type="dxa"/>
            <w:shd w:val="clear" w:color="auto" w:fill="auto"/>
            <w:noWrap/>
            <w:vAlign w:val="center"/>
          </w:tcPr>
          <w:p w14:paraId="5A325333" w14:textId="77777777" w:rsidR="00360825" w:rsidRPr="00DE1AA1" w:rsidRDefault="00360825" w:rsidP="00C04569">
            <w:pPr>
              <w:jc w:val="center"/>
              <w:rPr>
                <w:rFonts w:ascii="Arial" w:hAnsi="Arial" w:cs="Arial"/>
                <w:color w:val="000000"/>
              </w:rPr>
            </w:pPr>
            <w:r>
              <w:rPr>
                <w:rFonts w:ascii="Arial" w:hAnsi="Arial" w:cs="Arial"/>
                <w:color w:val="000000"/>
              </w:rPr>
              <w:t>-16.1</w:t>
            </w:r>
          </w:p>
        </w:tc>
      </w:tr>
      <w:tr w:rsidR="00360825" w:rsidRPr="00B13575" w14:paraId="647B450B" w14:textId="77777777" w:rsidTr="00C04569">
        <w:trPr>
          <w:trHeight w:hRule="exact" w:val="284"/>
        </w:trPr>
        <w:tc>
          <w:tcPr>
            <w:tcW w:w="1276" w:type="dxa"/>
            <w:shd w:val="clear" w:color="auto" w:fill="auto"/>
            <w:noWrap/>
            <w:vAlign w:val="bottom"/>
            <w:hideMark/>
          </w:tcPr>
          <w:p w14:paraId="64D3B8BF" w14:textId="77777777" w:rsidR="00360825" w:rsidRPr="00DE1AA1" w:rsidRDefault="00360825" w:rsidP="00C04569">
            <w:pPr>
              <w:rPr>
                <w:rFonts w:ascii="Arial" w:hAnsi="Arial" w:cs="Arial"/>
                <w:color w:val="000000"/>
              </w:rPr>
            </w:pPr>
            <w:r w:rsidRPr="00DE1AA1">
              <w:rPr>
                <w:rFonts w:ascii="Arial" w:hAnsi="Arial" w:cs="Arial"/>
                <w:color w:val="000000"/>
              </w:rPr>
              <w:t>Warehouse</w:t>
            </w:r>
          </w:p>
        </w:tc>
        <w:tc>
          <w:tcPr>
            <w:tcW w:w="1985" w:type="dxa"/>
            <w:shd w:val="clear" w:color="auto" w:fill="auto"/>
            <w:noWrap/>
            <w:vAlign w:val="center"/>
          </w:tcPr>
          <w:p w14:paraId="29635E91" w14:textId="77777777" w:rsidR="00360825" w:rsidRPr="00DE1AA1" w:rsidRDefault="00360825" w:rsidP="00C04569">
            <w:pPr>
              <w:jc w:val="center"/>
              <w:rPr>
                <w:rFonts w:ascii="Arial" w:hAnsi="Arial" w:cs="Arial"/>
                <w:color w:val="000000"/>
              </w:rPr>
            </w:pPr>
            <w:r>
              <w:rPr>
                <w:rFonts w:ascii="Arial" w:hAnsi="Arial" w:cs="Arial"/>
                <w:color w:val="000000"/>
              </w:rPr>
              <w:t>17.6</w:t>
            </w:r>
          </w:p>
        </w:tc>
        <w:tc>
          <w:tcPr>
            <w:tcW w:w="1217" w:type="dxa"/>
            <w:vAlign w:val="center"/>
          </w:tcPr>
          <w:p w14:paraId="642F98B8" w14:textId="77777777" w:rsidR="00360825" w:rsidRPr="00DE1AA1" w:rsidRDefault="00360825" w:rsidP="00C04569">
            <w:pPr>
              <w:jc w:val="center"/>
              <w:rPr>
                <w:rFonts w:ascii="Arial" w:hAnsi="Arial" w:cs="Arial"/>
                <w:color w:val="000000"/>
              </w:rPr>
            </w:pPr>
            <w:r>
              <w:rPr>
                <w:rFonts w:ascii="Arial" w:hAnsi="Arial" w:cs="Arial"/>
                <w:color w:val="000000"/>
              </w:rPr>
              <w:t>-2.1</w:t>
            </w:r>
          </w:p>
        </w:tc>
        <w:tc>
          <w:tcPr>
            <w:tcW w:w="1134" w:type="dxa"/>
            <w:shd w:val="clear" w:color="auto" w:fill="auto"/>
            <w:noWrap/>
            <w:vAlign w:val="center"/>
          </w:tcPr>
          <w:p w14:paraId="1102C5F4" w14:textId="77777777" w:rsidR="00360825" w:rsidRPr="00DE1AA1" w:rsidRDefault="00360825" w:rsidP="00C04569">
            <w:pPr>
              <w:jc w:val="center"/>
              <w:rPr>
                <w:rFonts w:ascii="Arial" w:hAnsi="Arial" w:cs="Arial"/>
                <w:color w:val="000000"/>
              </w:rPr>
            </w:pPr>
            <w:r>
              <w:rPr>
                <w:rFonts w:ascii="Arial" w:hAnsi="Arial" w:cs="Arial"/>
                <w:color w:val="000000"/>
              </w:rPr>
              <w:t>1.5</w:t>
            </w:r>
          </w:p>
        </w:tc>
        <w:tc>
          <w:tcPr>
            <w:tcW w:w="1417" w:type="dxa"/>
            <w:shd w:val="clear" w:color="auto" w:fill="auto"/>
            <w:noWrap/>
            <w:vAlign w:val="center"/>
          </w:tcPr>
          <w:p w14:paraId="3270E5D4" w14:textId="77777777" w:rsidR="00360825" w:rsidRPr="00DE1AA1" w:rsidRDefault="00360825" w:rsidP="00C04569">
            <w:pPr>
              <w:jc w:val="center"/>
              <w:rPr>
                <w:rFonts w:ascii="Arial" w:hAnsi="Arial" w:cs="Arial"/>
                <w:color w:val="000000"/>
              </w:rPr>
            </w:pPr>
            <w:r>
              <w:rPr>
                <w:rFonts w:ascii="Arial" w:hAnsi="Arial" w:cs="Arial"/>
                <w:color w:val="000000"/>
              </w:rPr>
              <w:t>5.2</w:t>
            </w:r>
          </w:p>
        </w:tc>
        <w:tc>
          <w:tcPr>
            <w:tcW w:w="1418" w:type="dxa"/>
            <w:shd w:val="clear" w:color="auto" w:fill="auto"/>
            <w:noWrap/>
            <w:vAlign w:val="center"/>
          </w:tcPr>
          <w:p w14:paraId="302DB4BB" w14:textId="77777777" w:rsidR="00360825" w:rsidRPr="00DE1AA1" w:rsidRDefault="00360825" w:rsidP="00C04569">
            <w:pPr>
              <w:jc w:val="center"/>
              <w:rPr>
                <w:rFonts w:ascii="Arial" w:hAnsi="Arial" w:cs="Arial"/>
                <w:color w:val="000000"/>
              </w:rPr>
            </w:pPr>
            <w:r>
              <w:rPr>
                <w:rFonts w:ascii="Arial" w:hAnsi="Arial" w:cs="Arial"/>
                <w:color w:val="000000"/>
              </w:rPr>
              <w:t>22.2</w:t>
            </w:r>
          </w:p>
        </w:tc>
      </w:tr>
      <w:tr w:rsidR="00360825" w:rsidRPr="00B13575" w14:paraId="28940C70" w14:textId="77777777" w:rsidTr="00C04569">
        <w:trPr>
          <w:trHeight w:hRule="exact" w:val="284"/>
        </w:trPr>
        <w:tc>
          <w:tcPr>
            <w:tcW w:w="1276" w:type="dxa"/>
            <w:shd w:val="clear" w:color="auto" w:fill="auto"/>
            <w:noWrap/>
            <w:vAlign w:val="bottom"/>
            <w:hideMark/>
          </w:tcPr>
          <w:p w14:paraId="6814B267" w14:textId="77777777" w:rsidR="00360825" w:rsidRPr="00DE1AA1" w:rsidRDefault="00360825" w:rsidP="00C04569">
            <w:pPr>
              <w:rPr>
                <w:rFonts w:ascii="Arial" w:hAnsi="Arial" w:cs="Arial"/>
                <w:color w:val="000000"/>
              </w:rPr>
            </w:pPr>
            <w:r w:rsidRPr="00DE1AA1">
              <w:rPr>
                <w:rFonts w:ascii="Arial" w:hAnsi="Arial" w:cs="Arial"/>
                <w:color w:val="000000"/>
              </w:rPr>
              <w:t>Total</w:t>
            </w:r>
          </w:p>
        </w:tc>
        <w:tc>
          <w:tcPr>
            <w:tcW w:w="1985" w:type="dxa"/>
            <w:shd w:val="clear" w:color="auto" w:fill="auto"/>
            <w:noWrap/>
            <w:vAlign w:val="center"/>
          </w:tcPr>
          <w:p w14:paraId="7D0CF979" w14:textId="77777777" w:rsidR="00360825" w:rsidRPr="00DE1AA1" w:rsidRDefault="00360825" w:rsidP="00C04569">
            <w:pPr>
              <w:jc w:val="center"/>
              <w:rPr>
                <w:rFonts w:ascii="Arial" w:hAnsi="Arial" w:cs="Arial"/>
                <w:color w:val="000000"/>
              </w:rPr>
            </w:pPr>
            <w:r>
              <w:rPr>
                <w:rFonts w:ascii="Arial" w:hAnsi="Arial" w:cs="Arial"/>
                <w:color w:val="000000"/>
              </w:rPr>
              <w:t>4.6-6.3</w:t>
            </w:r>
          </w:p>
        </w:tc>
        <w:tc>
          <w:tcPr>
            <w:tcW w:w="1217" w:type="dxa"/>
            <w:vAlign w:val="center"/>
          </w:tcPr>
          <w:p w14:paraId="75CB91E9" w14:textId="77777777" w:rsidR="00360825" w:rsidRPr="00DE1AA1" w:rsidRDefault="00360825" w:rsidP="00C04569">
            <w:pPr>
              <w:jc w:val="center"/>
              <w:rPr>
                <w:rFonts w:ascii="Arial" w:hAnsi="Arial" w:cs="Arial"/>
                <w:color w:val="000000"/>
              </w:rPr>
            </w:pPr>
            <w:r>
              <w:rPr>
                <w:rFonts w:ascii="Arial" w:hAnsi="Arial" w:cs="Arial"/>
                <w:color w:val="000000"/>
              </w:rPr>
              <w:t>-6.7</w:t>
            </w:r>
          </w:p>
        </w:tc>
        <w:tc>
          <w:tcPr>
            <w:tcW w:w="1134" w:type="dxa"/>
            <w:shd w:val="clear" w:color="auto" w:fill="auto"/>
            <w:noWrap/>
            <w:vAlign w:val="center"/>
          </w:tcPr>
          <w:p w14:paraId="1DA99AB2" w14:textId="77777777" w:rsidR="00360825" w:rsidRPr="00DE1AA1" w:rsidRDefault="00360825" w:rsidP="00C04569">
            <w:pPr>
              <w:jc w:val="center"/>
              <w:rPr>
                <w:rFonts w:ascii="Arial" w:hAnsi="Arial" w:cs="Arial"/>
                <w:color w:val="000000"/>
              </w:rPr>
            </w:pPr>
            <w:r>
              <w:rPr>
                <w:rFonts w:ascii="Arial" w:hAnsi="Arial" w:cs="Arial"/>
                <w:color w:val="000000"/>
              </w:rPr>
              <w:t>5.0</w:t>
            </w:r>
          </w:p>
        </w:tc>
        <w:tc>
          <w:tcPr>
            <w:tcW w:w="1417" w:type="dxa"/>
            <w:shd w:val="clear" w:color="auto" w:fill="auto"/>
            <w:noWrap/>
            <w:vAlign w:val="center"/>
          </w:tcPr>
          <w:p w14:paraId="0EA06CAB" w14:textId="77777777" w:rsidR="00360825" w:rsidRPr="00DE1AA1" w:rsidRDefault="00360825" w:rsidP="00C04569">
            <w:pPr>
              <w:jc w:val="center"/>
              <w:rPr>
                <w:rFonts w:ascii="Arial" w:hAnsi="Arial" w:cs="Arial"/>
                <w:color w:val="000000"/>
              </w:rPr>
            </w:pPr>
            <w:r>
              <w:rPr>
                <w:rFonts w:ascii="Arial" w:hAnsi="Arial" w:cs="Arial"/>
                <w:color w:val="000000"/>
              </w:rPr>
              <w:t>10.2</w:t>
            </w:r>
          </w:p>
        </w:tc>
        <w:tc>
          <w:tcPr>
            <w:tcW w:w="1418" w:type="dxa"/>
            <w:shd w:val="clear" w:color="auto" w:fill="auto"/>
            <w:noWrap/>
            <w:vAlign w:val="center"/>
          </w:tcPr>
          <w:p w14:paraId="3B7592F8" w14:textId="77777777" w:rsidR="00360825" w:rsidRPr="00DE1AA1" w:rsidRDefault="00360825" w:rsidP="00C04569">
            <w:pPr>
              <w:jc w:val="center"/>
              <w:rPr>
                <w:rFonts w:ascii="Arial" w:hAnsi="Arial" w:cs="Arial"/>
                <w:color w:val="000000"/>
              </w:rPr>
            </w:pPr>
            <w:r>
              <w:rPr>
                <w:rFonts w:ascii="Arial" w:hAnsi="Arial" w:cs="Arial"/>
                <w:color w:val="000000"/>
              </w:rPr>
              <w:t>13.2 - 14.9</w:t>
            </w:r>
          </w:p>
        </w:tc>
      </w:tr>
    </w:tbl>
    <w:p w14:paraId="52ADDE15" w14:textId="77777777" w:rsidR="00360825" w:rsidRPr="00B13575" w:rsidRDefault="00360825" w:rsidP="00360825">
      <w:pPr>
        <w:pStyle w:val="BodyTextbeforebullet"/>
        <w:numPr>
          <w:ilvl w:val="0"/>
          <w:numId w:val="0"/>
        </w:numPr>
        <w:rPr>
          <w:rFonts w:ascii="Arial" w:hAnsi="Arial" w:cs="Arial"/>
        </w:rPr>
      </w:pPr>
      <w:r w:rsidRPr="00B13575">
        <w:rPr>
          <w:rFonts w:ascii="Arial" w:hAnsi="Arial" w:cs="Arial"/>
        </w:rPr>
        <w:t xml:space="preserve">Source: Iceni Projects based on OE and WSCC Data </w:t>
      </w:r>
    </w:p>
    <w:p w14:paraId="732DAAB6" w14:textId="07400150"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We also need to make an assumption as to the percentage of employment land that will be required in the Plan Area. Again we have assumed that 85% of employment activity takes place in the Plan Area compared with the district. As shown in the table below</w:t>
      </w:r>
      <w:r>
        <w:rPr>
          <w:rFonts w:ascii="Arial" w:hAnsi="Arial" w:cs="Arial"/>
        </w:rPr>
        <w:t>,</w:t>
      </w:r>
      <w:r w:rsidRPr="00B13575">
        <w:rPr>
          <w:rFonts w:ascii="Arial" w:hAnsi="Arial" w:cs="Arial"/>
        </w:rPr>
        <w:t xml:space="preserve"> the employment land need for the Plan Area is overall for between </w:t>
      </w:r>
      <w:r>
        <w:rPr>
          <w:rFonts w:ascii="Arial" w:hAnsi="Arial" w:cs="Arial"/>
        </w:rPr>
        <w:t>12.5</w:t>
      </w:r>
      <w:r w:rsidRPr="00B13575">
        <w:rPr>
          <w:rFonts w:ascii="Arial" w:hAnsi="Arial" w:cs="Arial"/>
        </w:rPr>
        <w:t xml:space="preserve"> and 1</w:t>
      </w:r>
      <w:r>
        <w:rPr>
          <w:rFonts w:ascii="Arial" w:hAnsi="Arial" w:cs="Arial"/>
        </w:rPr>
        <w:t>3</w:t>
      </w:r>
      <w:r w:rsidRPr="00B13575">
        <w:rPr>
          <w:rFonts w:ascii="Arial" w:hAnsi="Arial" w:cs="Arial"/>
        </w:rPr>
        <w:t>.</w:t>
      </w:r>
      <w:r>
        <w:rPr>
          <w:rFonts w:ascii="Arial" w:hAnsi="Arial" w:cs="Arial"/>
        </w:rPr>
        <w:t>9</w:t>
      </w:r>
      <w:r w:rsidRPr="00B13575">
        <w:rPr>
          <w:rFonts w:ascii="Arial" w:hAnsi="Arial" w:cs="Arial"/>
        </w:rPr>
        <w:t xml:space="preserve"> hectares</w:t>
      </w:r>
      <w:r w:rsidR="002B1913" w:rsidRPr="00B13575">
        <w:rPr>
          <w:rFonts w:ascii="Arial" w:hAnsi="Arial" w:cs="Arial"/>
        </w:rPr>
        <w:t xml:space="preserve">. </w:t>
      </w:r>
    </w:p>
    <w:p w14:paraId="39FAF537" w14:textId="77777777" w:rsidR="00360825" w:rsidRPr="00B13575" w:rsidRDefault="00360825" w:rsidP="001A7584">
      <w:pPr>
        <w:pStyle w:val="Heading4"/>
        <w:ind w:firstLine="0"/>
      </w:pPr>
      <w:r w:rsidRPr="00B13575">
        <w:t>Labour Supply Employment Land Need - Plan Area (2021-2039)</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985"/>
        <w:gridCol w:w="1701"/>
        <w:gridCol w:w="1984"/>
        <w:gridCol w:w="1843"/>
      </w:tblGrid>
      <w:tr w:rsidR="00360825" w:rsidRPr="00B13575" w14:paraId="287565B2" w14:textId="77777777" w:rsidTr="00C04569">
        <w:trPr>
          <w:trHeight w:val="742"/>
        </w:trPr>
        <w:tc>
          <w:tcPr>
            <w:tcW w:w="1271" w:type="dxa"/>
            <w:shd w:val="clear" w:color="000000" w:fill="002060"/>
            <w:vAlign w:val="bottom"/>
            <w:hideMark/>
          </w:tcPr>
          <w:p w14:paraId="6B9E0470" w14:textId="77777777" w:rsidR="00360825" w:rsidRPr="00DE1AA1" w:rsidRDefault="00360825" w:rsidP="00C04569">
            <w:pPr>
              <w:spacing w:after="0" w:line="240" w:lineRule="auto"/>
              <w:jc w:val="left"/>
              <w:rPr>
                <w:rFonts w:ascii="Arial" w:hAnsi="Arial" w:cs="Arial"/>
                <w:b/>
                <w:bCs/>
                <w:color w:val="FFFFFF"/>
              </w:rPr>
            </w:pPr>
            <w:r w:rsidRPr="00DE1AA1">
              <w:rPr>
                <w:rFonts w:ascii="Arial" w:hAnsi="Arial" w:cs="Arial"/>
                <w:b/>
                <w:bCs/>
                <w:color w:val="FFFFFF"/>
              </w:rPr>
              <w:t> </w:t>
            </w:r>
          </w:p>
        </w:tc>
        <w:tc>
          <w:tcPr>
            <w:tcW w:w="1985" w:type="dxa"/>
            <w:shd w:val="clear" w:color="000000" w:fill="002060"/>
            <w:vAlign w:val="bottom"/>
            <w:hideMark/>
          </w:tcPr>
          <w:p w14:paraId="281D2524"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Labour Supply- District (sq. m)</w:t>
            </w:r>
          </w:p>
        </w:tc>
        <w:tc>
          <w:tcPr>
            <w:tcW w:w="1701" w:type="dxa"/>
            <w:shd w:val="clear" w:color="000000" w:fill="002060"/>
            <w:vAlign w:val="bottom"/>
            <w:hideMark/>
          </w:tcPr>
          <w:p w14:paraId="012691A6"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Labour Supply - District (Ha)</w:t>
            </w:r>
          </w:p>
        </w:tc>
        <w:tc>
          <w:tcPr>
            <w:tcW w:w="1984" w:type="dxa"/>
            <w:shd w:val="clear" w:color="000000" w:fill="002060"/>
            <w:vAlign w:val="bottom"/>
            <w:hideMark/>
          </w:tcPr>
          <w:p w14:paraId="3FAE504A"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Revised Need Labour Supply - Plan Area </w:t>
            </w:r>
          </w:p>
          <w:p w14:paraId="1D4B0F90"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 m)</w:t>
            </w:r>
          </w:p>
        </w:tc>
        <w:tc>
          <w:tcPr>
            <w:tcW w:w="1843" w:type="dxa"/>
            <w:shd w:val="clear" w:color="000000" w:fill="002060"/>
            <w:vAlign w:val="bottom"/>
            <w:hideMark/>
          </w:tcPr>
          <w:p w14:paraId="63A0BCBC"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Labour Supply - Plan Area(Ha)</w:t>
            </w:r>
          </w:p>
        </w:tc>
      </w:tr>
      <w:tr w:rsidR="00360825" w:rsidRPr="00B13575" w14:paraId="7E5B65F9" w14:textId="77777777" w:rsidTr="00C04569">
        <w:trPr>
          <w:trHeight w:val="290"/>
        </w:trPr>
        <w:tc>
          <w:tcPr>
            <w:tcW w:w="1271" w:type="dxa"/>
            <w:shd w:val="clear" w:color="auto" w:fill="auto"/>
            <w:noWrap/>
            <w:vAlign w:val="bottom"/>
            <w:hideMark/>
          </w:tcPr>
          <w:p w14:paraId="3ACB18A2"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1985" w:type="dxa"/>
            <w:shd w:val="clear" w:color="auto" w:fill="auto"/>
            <w:noWrap/>
            <w:vAlign w:val="bottom"/>
          </w:tcPr>
          <w:p w14:paraId="1C7CD6D2"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50,783 – 65,557</w:t>
            </w:r>
          </w:p>
        </w:tc>
        <w:tc>
          <w:tcPr>
            <w:tcW w:w="1701" w:type="dxa"/>
            <w:shd w:val="clear" w:color="auto" w:fill="auto"/>
            <w:noWrap/>
            <w:vAlign w:val="bottom"/>
          </w:tcPr>
          <w:p w14:paraId="7C49F334"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7.1 - 8.7</w:t>
            </w:r>
          </w:p>
        </w:tc>
        <w:tc>
          <w:tcPr>
            <w:tcW w:w="1984" w:type="dxa"/>
            <w:shd w:val="clear" w:color="auto" w:fill="auto"/>
            <w:noWrap/>
            <w:vAlign w:val="bottom"/>
          </w:tcPr>
          <w:p w14:paraId="3C040595"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49,044 – 59,974</w:t>
            </w:r>
          </w:p>
        </w:tc>
        <w:tc>
          <w:tcPr>
            <w:tcW w:w="1843" w:type="dxa"/>
            <w:shd w:val="clear" w:color="auto" w:fill="auto"/>
            <w:noWrap/>
            <w:vAlign w:val="bottom"/>
          </w:tcPr>
          <w:p w14:paraId="0156E9FE"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6.4 - 7.8</w:t>
            </w:r>
          </w:p>
        </w:tc>
      </w:tr>
      <w:tr w:rsidR="00360825" w:rsidRPr="00B13575" w14:paraId="498BB742" w14:textId="77777777" w:rsidTr="00C04569">
        <w:trPr>
          <w:trHeight w:val="290"/>
        </w:trPr>
        <w:tc>
          <w:tcPr>
            <w:tcW w:w="1271" w:type="dxa"/>
            <w:shd w:val="clear" w:color="auto" w:fill="auto"/>
            <w:noWrap/>
            <w:vAlign w:val="bottom"/>
            <w:hideMark/>
          </w:tcPr>
          <w:p w14:paraId="13640436" w14:textId="77777777" w:rsidR="00360825" w:rsidRPr="00DE1AA1" w:rsidRDefault="00360825" w:rsidP="00C04569">
            <w:pPr>
              <w:spacing w:after="0" w:line="240" w:lineRule="auto"/>
              <w:jc w:val="left"/>
              <w:rPr>
                <w:rFonts w:ascii="Arial" w:hAnsi="Arial" w:cs="Arial"/>
                <w:color w:val="000000"/>
              </w:rPr>
            </w:pPr>
            <w:r w:rsidRPr="00B13575">
              <w:rPr>
                <w:rFonts w:ascii="Arial" w:hAnsi="Arial" w:cs="Arial"/>
                <w:color w:val="000000"/>
              </w:rPr>
              <w:t>Factory</w:t>
            </w:r>
          </w:p>
        </w:tc>
        <w:tc>
          <w:tcPr>
            <w:tcW w:w="1985" w:type="dxa"/>
            <w:shd w:val="clear" w:color="auto" w:fill="auto"/>
            <w:noWrap/>
            <w:vAlign w:val="bottom"/>
          </w:tcPr>
          <w:p w14:paraId="7F024948"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-64,221</w:t>
            </w:r>
          </w:p>
        </w:tc>
        <w:tc>
          <w:tcPr>
            <w:tcW w:w="1701" w:type="dxa"/>
            <w:shd w:val="clear" w:color="auto" w:fill="auto"/>
            <w:noWrap/>
            <w:vAlign w:val="bottom"/>
          </w:tcPr>
          <w:p w14:paraId="15C23BCE"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-16.1</w:t>
            </w:r>
          </w:p>
        </w:tc>
        <w:tc>
          <w:tcPr>
            <w:tcW w:w="1984" w:type="dxa"/>
            <w:shd w:val="clear" w:color="auto" w:fill="auto"/>
            <w:noWrap/>
            <w:vAlign w:val="bottom"/>
          </w:tcPr>
          <w:p w14:paraId="577D0FFF"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-62,544</w:t>
            </w:r>
          </w:p>
        </w:tc>
        <w:tc>
          <w:tcPr>
            <w:tcW w:w="1843" w:type="dxa"/>
            <w:shd w:val="clear" w:color="auto" w:fill="auto"/>
            <w:noWrap/>
            <w:vAlign w:val="bottom"/>
          </w:tcPr>
          <w:p w14:paraId="73DB9262"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-13.5</w:t>
            </w:r>
          </w:p>
        </w:tc>
      </w:tr>
      <w:tr w:rsidR="00360825" w:rsidRPr="00B13575" w14:paraId="011A4B19" w14:textId="77777777" w:rsidTr="00C04569">
        <w:trPr>
          <w:trHeight w:val="290"/>
        </w:trPr>
        <w:tc>
          <w:tcPr>
            <w:tcW w:w="1271" w:type="dxa"/>
            <w:shd w:val="clear" w:color="auto" w:fill="auto"/>
            <w:noWrap/>
            <w:vAlign w:val="bottom"/>
            <w:hideMark/>
          </w:tcPr>
          <w:p w14:paraId="100229FC"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1985" w:type="dxa"/>
            <w:shd w:val="clear" w:color="auto" w:fill="auto"/>
            <w:noWrap/>
            <w:vAlign w:val="bottom"/>
          </w:tcPr>
          <w:p w14:paraId="3E115534"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110,826</w:t>
            </w:r>
          </w:p>
        </w:tc>
        <w:tc>
          <w:tcPr>
            <w:tcW w:w="1701" w:type="dxa"/>
            <w:shd w:val="clear" w:color="auto" w:fill="auto"/>
            <w:noWrap/>
            <w:vAlign w:val="bottom"/>
          </w:tcPr>
          <w:p w14:paraId="39FE8F9F"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22.2</w:t>
            </w:r>
          </w:p>
        </w:tc>
        <w:tc>
          <w:tcPr>
            <w:tcW w:w="1984" w:type="dxa"/>
            <w:shd w:val="clear" w:color="auto" w:fill="auto"/>
            <w:noWrap/>
            <w:vAlign w:val="bottom"/>
          </w:tcPr>
          <w:p w14:paraId="75D89788"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104,530</w:t>
            </w:r>
          </w:p>
        </w:tc>
        <w:tc>
          <w:tcPr>
            <w:tcW w:w="1843" w:type="dxa"/>
            <w:shd w:val="clear" w:color="auto" w:fill="auto"/>
            <w:noWrap/>
            <w:vAlign w:val="bottom"/>
          </w:tcPr>
          <w:p w14:paraId="113A3545"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19.5</w:t>
            </w:r>
          </w:p>
        </w:tc>
      </w:tr>
      <w:tr w:rsidR="00360825" w:rsidRPr="00B13575" w14:paraId="3E1BC6EB" w14:textId="77777777" w:rsidTr="00C04569">
        <w:trPr>
          <w:trHeight w:val="290"/>
        </w:trPr>
        <w:tc>
          <w:tcPr>
            <w:tcW w:w="1271" w:type="dxa"/>
            <w:shd w:val="clear" w:color="auto" w:fill="auto"/>
            <w:noWrap/>
            <w:vAlign w:val="bottom"/>
            <w:hideMark/>
          </w:tcPr>
          <w:p w14:paraId="68BFA5F1"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1985" w:type="dxa"/>
            <w:shd w:val="clear" w:color="auto" w:fill="auto"/>
            <w:noWrap/>
            <w:vAlign w:val="bottom"/>
          </w:tcPr>
          <w:p w14:paraId="1B4E00AC"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102,667 – 112,162</w:t>
            </w:r>
          </w:p>
        </w:tc>
        <w:tc>
          <w:tcPr>
            <w:tcW w:w="1701" w:type="dxa"/>
            <w:shd w:val="clear" w:color="auto" w:fill="auto"/>
            <w:noWrap/>
            <w:vAlign w:val="bottom"/>
          </w:tcPr>
          <w:p w14:paraId="1A7C7791"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13.2 - 14.9</w:t>
            </w:r>
          </w:p>
        </w:tc>
        <w:tc>
          <w:tcPr>
            <w:tcW w:w="1984" w:type="dxa"/>
            <w:shd w:val="clear" w:color="auto" w:fill="auto"/>
            <w:noWrap/>
            <w:vAlign w:val="bottom"/>
          </w:tcPr>
          <w:p w14:paraId="3403A82E"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91,827 – 101,960</w:t>
            </w:r>
          </w:p>
        </w:tc>
        <w:tc>
          <w:tcPr>
            <w:tcW w:w="1843" w:type="dxa"/>
            <w:shd w:val="clear" w:color="auto" w:fill="auto"/>
            <w:noWrap/>
            <w:vAlign w:val="bottom"/>
          </w:tcPr>
          <w:p w14:paraId="0B57B086"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12.5 - 13.9</w:t>
            </w:r>
          </w:p>
        </w:tc>
      </w:tr>
    </w:tbl>
    <w:p w14:paraId="4AAAEEBA"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based on OE and WSCC Data</w:t>
      </w:r>
    </w:p>
    <w:p w14:paraId="1A9528BE"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Much of this growth is concentrated in warehouse demand,  This can be linked to the profile of growth within the labour supply scenario. i.e. more retail and wholesale employment</w:t>
      </w:r>
      <w:r>
        <w:rPr>
          <w:rFonts w:ascii="Arial" w:hAnsi="Arial" w:cs="Arial"/>
        </w:rPr>
        <w:t xml:space="preserve"> as the local population grows</w:t>
      </w:r>
      <w:r w:rsidRPr="00B13575">
        <w:rPr>
          <w:rFonts w:ascii="Arial" w:hAnsi="Arial" w:cs="Arial"/>
        </w:rPr>
        <w:t>.</w:t>
      </w:r>
    </w:p>
    <w:p w14:paraId="6748CC53" w14:textId="77777777" w:rsidR="00360825" w:rsidRPr="00B13575" w:rsidRDefault="00360825" w:rsidP="00360825">
      <w:pPr>
        <w:pStyle w:val="Heading2"/>
        <w:rPr>
          <w:rFonts w:ascii="Arial" w:hAnsi="Arial" w:cs="Arial"/>
        </w:rPr>
      </w:pPr>
      <w:r w:rsidRPr="00B13575">
        <w:rPr>
          <w:rFonts w:ascii="Arial" w:hAnsi="Arial" w:cs="Arial"/>
        </w:rPr>
        <w:lastRenderedPageBreak/>
        <w:t>Past Completions</w:t>
      </w:r>
    </w:p>
    <w:p w14:paraId="6ED37B0B" w14:textId="0BD622CB"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We have examined gross completions over the period from </w:t>
      </w:r>
      <w:r>
        <w:rPr>
          <w:rFonts w:ascii="Arial" w:hAnsi="Arial" w:cs="Arial"/>
        </w:rPr>
        <w:t>2001</w:t>
      </w:r>
      <w:r w:rsidR="002B1913">
        <w:rPr>
          <w:rFonts w:ascii="Arial" w:hAnsi="Arial" w:cs="Arial"/>
        </w:rPr>
        <w:t xml:space="preserve">. </w:t>
      </w:r>
      <w:r>
        <w:rPr>
          <w:rFonts w:ascii="Arial" w:hAnsi="Arial" w:cs="Arial"/>
        </w:rPr>
        <w:t>Net completions is based on a hybrid of losses to other commercial uses back to 2001 and losses to residential since 2018</w:t>
      </w:r>
      <w:r w:rsidR="002B1913">
        <w:rPr>
          <w:rFonts w:ascii="Arial" w:hAnsi="Arial" w:cs="Arial"/>
        </w:rPr>
        <w:t xml:space="preserve">. </w:t>
      </w:r>
      <w:r>
        <w:rPr>
          <w:rFonts w:ascii="Arial" w:hAnsi="Arial" w:cs="Arial"/>
        </w:rPr>
        <w:t>This is due to restriction on the availability of data</w:t>
      </w:r>
      <w:r w:rsidR="002B1913" w:rsidRPr="00B13575">
        <w:rPr>
          <w:rFonts w:ascii="Arial" w:hAnsi="Arial" w:cs="Arial"/>
        </w:rPr>
        <w:t xml:space="preserve">. </w:t>
      </w:r>
      <w:r w:rsidRPr="00B13575">
        <w:rPr>
          <w:rFonts w:ascii="Arial" w:hAnsi="Arial" w:cs="Arial"/>
        </w:rPr>
        <w:t>The data</w:t>
      </w:r>
      <w:r w:rsidR="00C04569">
        <w:rPr>
          <w:rFonts w:ascii="Arial" w:hAnsi="Arial" w:cs="Arial"/>
        </w:rPr>
        <w:t xml:space="preserve"> has been provided by the Council and</w:t>
      </w:r>
      <w:r w:rsidRPr="00B13575">
        <w:rPr>
          <w:rFonts w:ascii="Arial" w:hAnsi="Arial" w:cs="Arial"/>
        </w:rPr>
        <w:t xml:space="preserve"> includes revisions to previous years</w:t>
      </w:r>
      <w:r w:rsidR="00C04569">
        <w:rPr>
          <w:rFonts w:ascii="Arial" w:hAnsi="Arial" w:cs="Arial"/>
        </w:rPr>
        <w:t xml:space="preserve"> so</w:t>
      </w:r>
      <w:r w:rsidRPr="00B13575">
        <w:rPr>
          <w:rFonts w:ascii="Arial" w:hAnsi="Arial" w:cs="Arial"/>
        </w:rPr>
        <w:t xml:space="preserve"> is  arguably more accurate than the previous assessment.</w:t>
      </w:r>
    </w:p>
    <w:p w14:paraId="42244E9B" w14:textId="387D6B79" w:rsidR="00360825" w:rsidRPr="007078E6"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figure below illustrates gross and net completions</w:t>
      </w:r>
      <w:r>
        <w:rPr>
          <w:rFonts w:ascii="Arial" w:hAnsi="Arial" w:cs="Arial"/>
        </w:rPr>
        <w:t xml:space="preserve"> excluding exceptional development for Rolls Royce</w:t>
      </w:r>
      <w:r w:rsidRPr="00B13575">
        <w:rPr>
          <w:rFonts w:ascii="Arial" w:hAnsi="Arial" w:cs="Arial"/>
        </w:rPr>
        <w:t xml:space="preserve">. On average, gross completions </w:t>
      </w:r>
      <w:r>
        <w:rPr>
          <w:rFonts w:ascii="Arial" w:hAnsi="Arial" w:cs="Arial"/>
        </w:rPr>
        <w:t>was around 12,150 sqm per annum</w:t>
      </w:r>
      <w:r w:rsidR="002B1913" w:rsidRPr="00B13575">
        <w:rPr>
          <w:rFonts w:ascii="Arial" w:hAnsi="Arial" w:cs="Arial"/>
        </w:rPr>
        <w:t xml:space="preserve">. </w:t>
      </w:r>
      <w:r>
        <w:rPr>
          <w:rFonts w:ascii="Arial" w:hAnsi="Arial" w:cs="Arial"/>
        </w:rPr>
        <w:t>This falls to 2,171 sqm per annum when average</w:t>
      </w:r>
      <w:r w:rsidR="00C04569">
        <w:rPr>
          <w:rFonts w:ascii="Arial" w:hAnsi="Arial" w:cs="Arial"/>
        </w:rPr>
        <w:t xml:space="preserve"> losses are taken into account</w:t>
      </w:r>
      <w:r>
        <w:rPr>
          <w:rFonts w:ascii="Arial" w:hAnsi="Arial" w:cs="Arial"/>
        </w:rPr>
        <w:t>.</w:t>
      </w:r>
    </w:p>
    <w:tbl>
      <w:tblPr>
        <w:tblpPr w:leftFromText="180" w:rightFromText="180" w:vertAnchor="text" w:horzAnchor="margin" w:tblpY="627"/>
        <w:tblW w:w="9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0"/>
        <w:gridCol w:w="1340"/>
        <w:gridCol w:w="1340"/>
        <w:gridCol w:w="1340"/>
        <w:gridCol w:w="1340"/>
      </w:tblGrid>
      <w:tr w:rsidR="00360825" w:rsidRPr="0095128D" w14:paraId="075BFF8C" w14:textId="77777777" w:rsidTr="00C04569">
        <w:trPr>
          <w:trHeight w:val="290"/>
        </w:trPr>
        <w:tc>
          <w:tcPr>
            <w:tcW w:w="4100" w:type="dxa"/>
            <w:shd w:val="clear" w:color="auto" w:fill="002060"/>
            <w:noWrap/>
            <w:vAlign w:val="bottom"/>
            <w:hideMark/>
          </w:tcPr>
          <w:p w14:paraId="05E862A9" w14:textId="77777777" w:rsidR="00360825" w:rsidRPr="0095128D" w:rsidRDefault="00360825" w:rsidP="00C04569">
            <w:pPr>
              <w:spacing w:after="0" w:line="240" w:lineRule="auto"/>
              <w:jc w:val="left"/>
              <w:rPr>
                <w:rFonts w:ascii="Arial" w:hAnsi="Arial" w:cs="Arial"/>
                <w:color w:val="FFFFFF" w:themeColor="background1"/>
              </w:rPr>
            </w:pPr>
            <w:r w:rsidRPr="0095128D">
              <w:rPr>
                <w:rFonts w:ascii="Arial" w:hAnsi="Arial" w:cs="Arial"/>
                <w:color w:val="FFFFFF" w:themeColor="background1"/>
              </w:rPr>
              <w:t>Gains</w:t>
            </w:r>
          </w:p>
        </w:tc>
        <w:tc>
          <w:tcPr>
            <w:tcW w:w="1340" w:type="dxa"/>
            <w:shd w:val="clear" w:color="auto" w:fill="002060"/>
            <w:noWrap/>
            <w:vAlign w:val="bottom"/>
            <w:hideMark/>
          </w:tcPr>
          <w:p w14:paraId="3F1D9269" w14:textId="77777777" w:rsidR="00360825" w:rsidRPr="0095128D" w:rsidRDefault="00360825" w:rsidP="00C04569">
            <w:pPr>
              <w:spacing w:after="0" w:line="240" w:lineRule="auto"/>
              <w:jc w:val="center"/>
              <w:rPr>
                <w:rFonts w:ascii="Arial" w:hAnsi="Arial" w:cs="Arial"/>
                <w:color w:val="FFFFFF" w:themeColor="background1"/>
              </w:rPr>
            </w:pPr>
            <w:r w:rsidRPr="0095128D">
              <w:rPr>
                <w:rFonts w:ascii="Arial" w:hAnsi="Arial" w:cs="Arial"/>
                <w:color w:val="FFFFFF" w:themeColor="background1"/>
              </w:rPr>
              <w:t>Office</w:t>
            </w:r>
          </w:p>
        </w:tc>
        <w:tc>
          <w:tcPr>
            <w:tcW w:w="1340" w:type="dxa"/>
            <w:shd w:val="clear" w:color="auto" w:fill="002060"/>
            <w:noWrap/>
            <w:vAlign w:val="bottom"/>
            <w:hideMark/>
          </w:tcPr>
          <w:p w14:paraId="6C8695A4" w14:textId="77777777" w:rsidR="00360825" w:rsidRPr="0095128D" w:rsidRDefault="00360825" w:rsidP="00C04569">
            <w:pPr>
              <w:spacing w:after="0" w:line="240" w:lineRule="auto"/>
              <w:jc w:val="center"/>
              <w:rPr>
                <w:rFonts w:ascii="Arial" w:hAnsi="Arial" w:cs="Arial"/>
                <w:color w:val="FFFFFF" w:themeColor="background1"/>
              </w:rPr>
            </w:pPr>
            <w:r w:rsidRPr="0095128D">
              <w:rPr>
                <w:rFonts w:ascii="Arial" w:hAnsi="Arial" w:cs="Arial"/>
                <w:color w:val="FFFFFF" w:themeColor="background1"/>
              </w:rPr>
              <w:t>Industrial</w:t>
            </w:r>
          </w:p>
        </w:tc>
        <w:tc>
          <w:tcPr>
            <w:tcW w:w="1340" w:type="dxa"/>
            <w:shd w:val="clear" w:color="auto" w:fill="002060"/>
            <w:noWrap/>
            <w:vAlign w:val="bottom"/>
            <w:hideMark/>
          </w:tcPr>
          <w:p w14:paraId="0227AA12" w14:textId="77777777" w:rsidR="00360825" w:rsidRPr="0095128D" w:rsidRDefault="00360825" w:rsidP="00C04569">
            <w:pPr>
              <w:spacing w:after="0" w:line="240" w:lineRule="auto"/>
              <w:jc w:val="center"/>
              <w:rPr>
                <w:rFonts w:ascii="Arial" w:hAnsi="Arial" w:cs="Arial"/>
                <w:color w:val="FFFFFF" w:themeColor="background1"/>
              </w:rPr>
            </w:pPr>
            <w:r w:rsidRPr="0095128D">
              <w:rPr>
                <w:rFonts w:ascii="Arial" w:hAnsi="Arial" w:cs="Arial"/>
                <w:color w:val="FFFFFF" w:themeColor="background1"/>
              </w:rPr>
              <w:t>Distribution</w:t>
            </w:r>
          </w:p>
        </w:tc>
        <w:tc>
          <w:tcPr>
            <w:tcW w:w="1340" w:type="dxa"/>
            <w:shd w:val="clear" w:color="auto" w:fill="002060"/>
            <w:noWrap/>
            <w:vAlign w:val="bottom"/>
            <w:hideMark/>
          </w:tcPr>
          <w:p w14:paraId="46B420D2" w14:textId="77777777" w:rsidR="00360825" w:rsidRPr="0095128D" w:rsidRDefault="00360825" w:rsidP="00C04569">
            <w:pPr>
              <w:spacing w:after="0" w:line="240" w:lineRule="auto"/>
              <w:jc w:val="center"/>
              <w:rPr>
                <w:rFonts w:ascii="Arial" w:hAnsi="Arial" w:cs="Arial"/>
                <w:color w:val="FFFFFF" w:themeColor="background1"/>
              </w:rPr>
            </w:pPr>
            <w:r w:rsidRPr="0095128D">
              <w:rPr>
                <w:rFonts w:ascii="Arial" w:hAnsi="Arial" w:cs="Arial"/>
                <w:color w:val="FFFFFF" w:themeColor="background1"/>
              </w:rPr>
              <w:t>Total</w:t>
            </w:r>
          </w:p>
        </w:tc>
      </w:tr>
      <w:tr w:rsidR="00360825" w:rsidRPr="0095128D" w14:paraId="26B93CEB" w14:textId="77777777" w:rsidTr="00C04569">
        <w:trPr>
          <w:trHeight w:val="290"/>
        </w:trPr>
        <w:tc>
          <w:tcPr>
            <w:tcW w:w="4100" w:type="dxa"/>
            <w:shd w:val="clear" w:color="auto" w:fill="auto"/>
            <w:noWrap/>
            <w:vAlign w:val="bottom"/>
            <w:hideMark/>
          </w:tcPr>
          <w:p w14:paraId="6F674D83" w14:textId="77777777" w:rsidR="00360825" w:rsidRDefault="00360825" w:rsidP="00C04569">
            <w:pPr>
              <w:spacing w:after="0" w:line="240" w:lineRule="auto"/>
              <w:jc w:val="left"/>
              <w:rPr>
                <w:rFonts w:ascii="Arial" w:hAnsi="Arial" w:cs="Arial"/>
                <w:color w:val="000000"/>
              </w:rPr>
            </w:pPr>
            <w:r w:rsidRPr="0095128D">
              <w:rPr>
                <w:rFonts w:ascii="Arial" w:hAnsi="Arial" w:cs="Arial"/>
                <w:color w:val="000000"/>
              </w:rPr>
              <w:t>Total</w:t>
            </w:r>
            <w:r>
              <w:rPr>
                <w:rFonts w:ascii="Arial" w:hAnsi="Arial" w:cs="Arial"/>
                <w:color w:val="000000"/>
              </w:rPr>
              <w:t xml:space="preserve"> Gains</w:t>
            </w:r>
            <w:r w:rsidRPr="0095128D">
              <w:rPr>
                <w:rFonts w:ascii="Arial" w:hAnsi="Arial" w:cs="Arial"/>
                <w:color w:val="000000"/>
              </w:rPr>
              <w:t xml:space="preserve"> 2001-2021</w:t>
            </w:r>
          </w:p>
          <w:p w14:paraId="69158882" w14:textId="77777777" w:rsidR="00360825" w:rsidRPr="0095128D" w:rsidRDefault="00360825" w:rsidP="00C04569">
            <w:pPr>
              <w:spacing w:after="0" w:line="240" w:lineRule="auto"/>
              <w:jc w:val="left"/>
              <w:rPr>
                <w:rFonts w:ascii="Arial" w:hAnsi="Arial" w:cs="Arial"/>
                <w:color w:val="000000"/>
              </w:rPr>
            </w:pPr>
            <w:r>
              <w:rPr>
                <w:rFonts w:ascii="Arial" w:hAnsi="Arial" w:cs="Arial"/>
                <w:color w:val="000000"/>
              </w:rPr>
              <w:t>(Gross Completions)</w:t>
            </w:r>
          </w:p>
        </w:tc>
        <w:tc>
          <w:tcPr>
            <w:tcW w:w="1340" w:type="dxa"/>
            <w:shd w:val="clear" w:color="auto" w:fill="auto"/>
            <w:noWrap/>
            <w:vAlign w:val="bottom"/>
            <w:hideMark/>
          </w:tcPr>
          <w:p w14:paraId="7A22CF0C"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58</w:t>
            </w:r>
            <w:r>
              <w:rPr>
                <w:rFonts w:ascii="Arial" w:hAnsi="Arial" w:cs="Arial"/>
                <w:color w:val="000000"/>
              </w:rPr>
              <w:t>,</w:t>
            </w:r>
            <w:r w:rsidRPr="007078E6">
              <w:rPr>
                <w:rFonts w:ascii="Arial" w:hAnsi="Arial" w:cs="Arial"/>
                <w:color w:val="000000"/>
              </w:rPr>
              <w:t>500</w:t>
            </w:r>
          </w:p>
        </w:tc>
        <w:tc>
          <w:tcPr>
            <w:tcW w:w="1340" w:type="dxa"/>
            <w:shd w:val="clear" w:color="auto" w:fill="auto"/>
            <w:noWrap/>
            <w:vAlign w:val="bottom"/>
            <w:hideMark/>
          </w:tcPr>
          <w:p w14:paraId="246DE7D0"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107</w:t>
            </w:r>
            <w:r>
              <w:rPr>
                <w:rFonts w:ascii="Arial" w:hAnsi="Arial" w:cs="Arial"/>
                <w:color w:val="000000"/>
              </w:rPr>
              <w:t>,</w:t>
            </w:r>
            <w:r w:rsidRPr="007078E6">
              <w:rPr>
                <w:rFonts w:ascii="Arial" w:hAnsi="Arial" w:cs="Arial"/>
                <w:color w:val="000000"/>
              </w:rPr>
              <w:t>611</w:t>
            </w:r>
          </w:p>
        </w:tc>
        <w:tc>
          <w:tcPr>
            <w:tcW w:w="1340" w:type="dxa"/>
            <w:shd w:val="clear" w:color="auto" w:fill="auto"/>
            <w:noWrap/>
            <w:vAlign w:val="bottom"/>
            <w:hideMark/>
          </w:tcPr>
          <w:p w14:paraId="2762D222"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76</w:t>
            </w:r>
            <w:r>
              <w:rPr>
                <w:rFonts w:ascii="Arial" w:hAnsi="Arial" w:cs="Arial"/>
                <w:color w:val="000000"/>
              </w:rPr>
              <w:t>,</w:t>
            </w:r>
            <w:r w:rsidRPr="007078E6">
              <w:rPr>
                <w:rFonts w:ascii="Arial" w:hAnsi="Arial" w:cs="Arial"/>
                <w:color w:val="000000"/>
              </w:rPr>
              <w:t>885</w:t>
            </w:r>
          </w:p>
        </w:tc>
        <w:tc>
          <w:tcPr>
            <w:tcW w:w="1340" w:type="dxa"/>
            <w:shd w:val="clear" w:color="auto" w:fill="auto"/>
            <w:noWrap/>
            <w:vAlign w:val="bottom"/>
            <w:hideMark/>
          </w:tcPr>
          <w:p w14:paraId="15242557"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242</w:t>
            </w:r>
            <w:r>
              <w:rPr>
                <w:rFonts w:ascii="Arial" w:hAnsi="Arial" w:cs="Arial"/>
                <w:color w:val="000000"/>
              </w:rPr>
              <w:t>,</w:t>
            </w:r>
            <w:r w:rsidRPr="007078E6">
              <w:rPr>
                <w:rFonts w:ascii="Arial" w:hAnsi="Arial" w:cs="Arial"/>
                <w:color w:val="000000"/>
              </w:rPr>
              <w:t>996</w:t>
            </w:r>
          </w:p>
        </w:tc>
      </w:tr>
      <w:tr w:rsidR="00360825" w:rsidRPr="0095128D" w14:paraId="21F92EE8" w14:textId="77777777" w:rsidTr="00C04569">
        <w:trPr>
          <w:trHeight w:val="290"/>
        </w:trPr>
        <w:tc>
          <w:tcPr>
            <w:tcW w:w="4100" w:type="dxa"/>
            <w:shd w:val="clear" w:color="auto" w:fill="auto"/>
            <w:noWrap/>
            <w:vAlign w:val="bottom"/>
            <w:hideMark/>
          </w:tcPr>
          <w:p w14:paraId="2B62D3B2" w14:textId="77777777" w:rsidR="00360825" w:rsidRDefault="00360825" w:rsidP="00C04569">
            <w:pPr>
              <w:spacing w:after="0" w:line="240" w:lineRule="auto"/>
              <w:jc w:val="left"/>
              <w:rPr>
                <w:rFonts w:ascii="Arial" w:hAnsi="Arial" w:cs="Arial"/>
                <w:b/>
                <w:bCs/>
                <w:color w:val="000000"/>
              </w:rPr>
            </w:pPr>
            <w:r w:rsidRPr="0095128D">
              <w:rPr>
                <w:rFonts w:ascii="Arial" w:hAnsi="Arial" w:cs="Arial"/>
                <w:b/>
                <w:bCs/>
                <w:color w:val="000000"/>
              </w:rPr>
              <w:t>Average</w:t>
            </w:r>
            <w:r w:rsidRPr="00A13938">
              <w:rPr>
                <w:rFonts w:ascii="Arial" w:hAnsi="Arial" w:cs="Arial"/>
                <w:b/>
                <w:bCs/>
                <w:color w:val="000000"/>
              </w:rPr>
              <w:t xml:space="preserve"> Gains</w:t>
            </w:r>
            <w:r w:rsidRPr="0095128D">
              <w:rPr>
                <w:rFonts w:ascii="Arial" w:hAnsi="Arial" w:cs="Arial"/>
                <w:b/>
                <w:bCs/>
                <w:color w:val="000000"/>
              </w:rPr>
              <w:t xml:space="preserve"> 2001-2021</w:t>
            </w:r>
          </w:p>
          <w:p w14:paraId="096022B8" w14:textId="77777777" w:rsidR="00360825" w:rsidRPr="0095128D" w:rsidRDefault="00360825" w:rsidP="00C04569">
            <w:pPr>
              <w:spacing w:after="0" w:line="240" w:lineRule="auto"/>
              <w:jc w:val="left"/>
              <w:rPr>
                <w:rFonts w:ascii="Arial" w:hAnsi="Arial" w:cs="Arial"/>
                <w:b/>
                <w:bCs/>
                <w:color w:val="000000"/>
              </w:rPr>
            </w:pPr>
            <w:r>
              <w:rPr>
                <w:rFonts w:ascii="Arial" w:hAnsi="Arial" w:cs="Arial"/>
                <w:b/>
                <w:bCs/>
                <w:color w:val="000000"/>
              </w:rPr>
              <w:t>(Gross Completions)</w:t>
            </w:r>
          </w:p>
        </w:tc>
        <w:tc>
          <w:tcPr>
            <w:tcW w:w="1340" w:type="dxa"/>
            <w:shd w:val="clear" w:color="auto" w:fill="auto"/>
            <w:noWrap/>
            <w:vAlign w:val="bottom"/>
            <w:hideMark/>
          </w:tcPr>
          <w:p w14:paraId="48209228"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2</w:t>
            </w:r>
            <w:r>
              <w:rPr>
                <w:rFonts w:ascii="Arial" w:hAnsi="Arial" w:cs="Arial"/>
                <w:color w:val="000000"/>
              </w:rPr>
              <w:t>,</w:t>
            </w:r>
            <w:r w:rsidRPr="007078E6">
              <w:rPr>
                <w:rFonts w:ascii="Arial" w:hAnsi="Arial" w:cs="Arial"/>
                <w:color w:val="000000"/>
              </w:rPr>
              <w:t>925</w:t>
            </w:r>
          </w:p>
        </w:tc>
        <w:tc>
          <w:tcPr>
            <w:tcW w:w="1340" w:type="dxa"/>
            <w:shd w:val="clear" w:color="auto" w:fill="auto"/>
            <w:noWrap/>
            <w:vAlign w:val="bottom"/>
            <w:hideMark/>
          </w:tcPr>
          <w:p w14:paraId="2493F3E8"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5</w:t>
            </w:r>
            <w:r>
              <w:rPr>
                <w:rFonts w:ascii="Arial" w:hAnsi="Arial" w:cs="Arial"/>
                <w:color w:val="000000"/>
              </w:rPr>
              <w:t>,</w:t>
            </w:r>
            <w:r w:rsidRPr="007078E6">
              <w:rPr>
                <w:rFonts w:ascii="Arial" w:hAnsi="Arial" w:cs="Arial"/>
                <w:color w:val="000000"/>
              </w:rPr>
              <w:t>381</w:t>
            </w:r>
          </w:p>
        </w:tc>
        <w:tc>
          <w:tcPr>
            <w:tcW w:w="1340" w:type="dxa"/>
            <w:shd w:val="clear" w:color="auto" w:fill="auto"/>
            <w:noWrap/>
            <w:vAlign w:val="bottom"/>
            <w:hideMark/>
          </w:tcPr>
          <w:p w14:paraId="5B00C9EC"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3</w:t>
            </w:r>
            <w:r>
              <w:rPr>
                <w:rFonts w:ascii="Arial" w:hAnsi="Arial" w:cs="Arial"/>
                <w:color w:val="000000"/>
              </w:rPr>
              <w:t>,</w:t>
            </w:r>
            <w:r w:rsidRPr="007078E6">
              <w:rPr>
                <w:rFonts w:ascii="Arial" w:hAnsi="Arial" w:cs="Arial"/>
                <w:color w:val="000000"/>
              </w:rPr>
              <w:t>844</w:t>
            </w:r>
          </w:p>
        </w:tc>
        <w:tc>
          <w:tcPr>
            <w:tcW w:w="1340" w:type="dxa"/>
            <w:shd w:val="clear" w:color="auto" w:fill="auto"/>
            <w:noWrap/>
            <w:vAlign w:val="bottom"/>
            <w:hideMark/>
          </w:tcPr>
          <w:p w14:paraId="484F36E1"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12</w:t>
            </w:r>
            <w:r>
              <w:rPr>
                <w:rFonts w:ascii="Arial" w:hAnsi="Arial" w:cs="Arial"/>
                <w:color w:val="000000"/>
              </w:rPr>
              <w:t>,</w:t>
            </w:r>
            <w:r w:rsidRPr="007078E6">
              <w:rPr>
                <w:rFonts w:ascii="Arial" w:hAnsi="Arial" w:cs="Arial"/>
                <w:color w:val="000000"/>
              </w:rPr>
              <w:t>150</w:t>
            </w:r>
          </w:p>
        </w:tc>
      </w:tr>
      <w:tr w:rsidR="00360825" w:rsidRPr="0095128D" w14:paraId="3640965A" w14:textId="77777777" w:rsidTr="00C04569">
        <w:trPr>
          <w:trHeight w:val="290"/>
        </w:trPr>
        <w:tc>
          <w:tcPr>
            <w:tcW w:w="4100" w:type="dxa"/>
            <w:shd w:val="clear" w:color="auto" w:fill="auto"/>
            <w:noWrap/>
            <w:vAlign w:val="bottom"/>
            <w:hideMark/>
          </w:tcPr>
          <w:p w14:paraId="6F893399" w14:textId="77777777" w:rsidR="00360825" w:rsidRPr="0095128D" w:rsidRDefault="00360825" w:rsidP="00C04569">
            <w:pPr>
              <w:spacing w:after="0" w:line="240" w:lineRule="auto"/>
              <w:jc w:val="left"/>
              <w:rPr>
                <w:rFonts w:ascii="Arial" w:hAnsi="Arial" w:cs="Arial"/>
                <w:color w:val="000000"/>
              </w:rPr>
            </w:pPr>
            <w:r>
              <w:rPr>
                <w:rFonts w:ascii="Arial" w:hAnsi="Arial" w:cs="Arial"/>
                <w:color w:val="000000"/>
              </w:rPr>
              <w:t xml:space="preserve">Total Losses </w:t>
            </w:r>
            <w:r w:rsidRPr="0095128D">
              <w:rPr>
                <w:rFonts w:ascii="Arial" w:hAnsi="Arial" w:cs="Arial"/>
                <w:color w:val="000000"/>
              </w:rPr>
              <w:t>to Commercial 2001-2021</w:t>
            </w:r>
          </w:p>
        </w:tc>
        <w:tc>
          <w:tcPr>
            <w:tcW w:w="1340" w:type="dxa"/>
            <w:shd w:val="clear" w:color="auto" w:fill="auto"/>
            <w:noWrap/>
            <w:vAlign w:val="bottom"/>
            <w:hideMark/>
          </w:tcPr>
          <w:p w14:paraId="7D8D730F"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5</w:t>
            </w:r>
            <w:r>
              <w:rPr>
                <w:rFonts w:ascii="Arial" w:hAnsi="Arial" w:cs="Arial"/>
                <w:color w:val="000000"/>
              </w:rPr>
              <w:t>,</w:t>
            </w:r>
            <w:r w:rsidRPr="007078E6">
              <w:rPr>
                <w:rFonts w:ascii="Arial" w:hAnsi="Arial" w:cs="Arial"/>
                <w:color w:val="000000"/>
              </w:rPr>
              <w:t>892</w:t>
            </w:r>
          </w:p>
        </w:tc>
        <w:tc>
          <w:tcPr>
            <w:tcW w:w="1340" w:type="dxa"/>
            <w:shd w:val="clear" w:color="auto" w:fill="auto"/>
            <w:noWrap/>
            <w:vAlign w:val="bottom"/>
            <w:hideMark/>
          </w:tcPr>
          <w:p w14:paraId="3683F7AB"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71</w:t>
            </w:r>
            <w:r>
              <w:rPr>
                <w:rFonts w:ascii="Arial" w:hAnsi="Arial" w:cs="Arial"/>
                <w:color w:val="000000"/>
              </w:rPr>
              <w:t>,</w:t>
            </w:r>
            <w:r w:rsidRPr="007078E6">
              <w:rPr>
                <w:rFonts w:ascii="Arial" w:hAnsi="Arial" w:cs="Arial"/>
                <w:color w:val="000000"/>
              </w:rPr>
              <w:t>317</w:t>
            </w:r>
          </w:p>
        </w:tc>
        <w:tc>
          <w:tcPr>
            <w:tcW w:w="1340" w:type="dxa"/>
            <w:shd w:val="clear" w:color="auto" w:fill="auto"/>
            <w:noWrap/>
            <w:vAlign w:val="bottom"/>
            <w:hideMark/>
          </w:tcPr>
          <w:p w14:paraId="7FC12047"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38</w:t>
            </w:r>
            <w:r>
              <w:rPr>
                <w:rFonts w:ascii="Arial" w:hAnsi="Arial" w:cs="Arial"/>
                <w:color w:val="000000"/>
              </w:rPr>
              <w:t>,</w:t>
            </w:r>
            <w:r w:rsidRPr="007078E6">
              <w:rPr>
                <w:rFonts w:ascii="Arial" w:hAnsi="Arial" w:cs="Arial"/>
                <w:color w:val="000000"/>
              </w:rPr>
              <w:t>230</w:t>
            </w:r>
          </w:p>
        </w:tc>
        <w:tc>
          <w:tcPr>
            <w:tcW w:w="1340" w:type="dxa"/>
            <w:shd w:val="clear" w:color="auto" w:fill="auto"/>
            <w:noWrap/>
            <w:vAlign w:val="bottom"/>
            <w:hideMark/>
          </w:tcPr>
          <w:p w14:paraId="2F0036BC"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115</w:t>
            </w:r>
            <w:r>
              <w:rPr>
                <w:rFonts w:ascii="Arial" w:hAnsi="Arial" w:cs="Arial"/>
                <w:color w:val="000000"/>
              </w:rPr>
              <w:t>,</w:t>
            </w:r>
            <w:r w:rsidRPr="007078E6">
              <w:rPr>
                <w:rFonts w:ascii="Arial" w:hAnsi="Arial" w:cs="Arial"/>
                <w:color w:val="000000"/>
              </w:rPr>
              <w:t>439</w:t>
            </w:r>
          </w:p>
        </w:tc>
      </w:tr>
      <w:tr w:rsidR="00360825" w:rsidRPr="0095128D" w14:paraId="30C7431E" w14:textId="77777777" w:rsidTr="00C04569">
        <w:trPr>
          <w:trHeight w:val="290"/>
        </w:trPr>
        <w:tc>
          <w:tcPr>
            <w:tcW w:w="4100" w:type="dxa"/>
            <w:shd w:val="clear" w:color="auto" w:fill="auto"/>
            <w:noWrap/>
            <w:vAlign w:val="bottom"/>
            <w:hideMark/>
          </w:tcPr>
          <w:p w14:paraId="66D4BC2E" w14:textId="77777777" w:rsidR="00360825" w:rsidRPr="0095128D" w:rsidRDefault="00360825" w:rsidP="00C04569">
            <w:pPr>
              <w:spacing w:after="0" w:line="240" w:lineRule="auto"/>
              <w:jc w:val="left"/>
              <w:rPr>
                <w:rFonts w:ascii="Arial" w:hAnsi="Arial" w:cs="Arial"/>
                <w:color w:val="000000"/>
              </w:rPr>
            </w:pPr>
            <w:r w:rsidRPr="0095128D">
              <w:rPr>
                <w:rFonts w:ascii="Arial" w:hAnsi="Arial" w:cs="Arial"/>
                <w:color w:val="000000"/>
              </w:rPr>
              <w:t>Average Losses to Commercial 2001-21</w:t>
            </w:r>
          </w:p>
        </w:tc>
        <w:tc>
          <w:tcPr>
            <w:tcW w:w="1340" w:type="dxa"/>
            <w:shd w:val="clear" w:color="auto" w:fill="auto"/>
            <w:noWrap/>
            <w:vAlign w:val="bottom"/>
            <w:hideMark/>
          </w:tcPr>
          <w:p w14:paraId="0A44277A"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295</w:t>
            </w:r>
          </w:p>
        </w:tc>
        <w:tc>
          <w:tcPr>
            <w:tcW w:w="1340" w:type="dxa"/>
            <w:shd w:val="clear" w:color="auto" w:fill="auto"/>
            <w:noWrap/>
            <w:vAlign w:val="bottom"/>
            <w:hideMark/>
          </w:tcPr>
          <w:p w14:paraId="73AB22F9"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3</w:t>
            </w:r>
            <w:r>
              <w:rPr>
                <w:rFonts w:ascii="Arial" w:hAnsi="Arial" w:cs="Arial"/>
                <w:color w:val="000000"/>
              </w:rPr>
              <w:t>,</w:t>
            </w:r>
            <w:r w:rsidRPr="007078E6">
              <w:rPr>
                <w:rFonts w:ascii="Arial" w:hAnsi="Arial" w:cs="Arial"/>
                <w:color w:val="000000"/>
              </w:rPr>
              <w:t>566</w:t>
            </w:r>
          </w:p>
        </w:tc>
        <w:tc>
          <w:tcPr>
            <w:tcW w:w="1340" w:type="dxa"/>
            <w:shd w:val="clear" w:color="auto" w:fill="auto"/>
            <w:noWrap/>
            <w:vAlign w:val="bottom"/>
            <w:hideMark/>
          </w:tcPr>
          <w:p w14:paraId="07699861"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w:t>
            </w:r>
            <w:r>
              <w:rPr>
                <w:rFonts w:ascii="Arial" w:hAnsi="Arial" w:cs="Arial"/>
                <w:color w:val="000000"/>
              </w:rPr>
              <w:t>,</w:t>
            </w:r>
            <w:r w:rsidRPr="007078E6">
              <w:rPr>
                <w:rFonts w:ascii="Arial" w:hAnsi="Arial" w:cs="Arial"/>
                <w:color w:val="000000"/>
              </w:rPr>
              <w:t>912</w:t>
            </w:r>
          </w:p>
        </w:tc>
        <w:tc>
          <w:tcPr>
            <w:tcW w:w="1340" w:type="dxa"/>
            <w:shd w:val="clear" w:color="auto" w:fill="auto"/>
            <w:noWrap/>
            <w:vAlign w:val="bottom"/>
            <w:hideMark/>
          </w:tcPr>
          <w:p w14:paraId="790786B2"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5</w:t>
            </w:r>
            <w:r>
              <w:rPr>
                <w:rFonts w:ascii="Arial" w:hAnsi="Arial" w:cs="Arial"/>
                <w:color w:val="000000"/>
              </w:rPr>
              <w:t>,</w:t>
            </w:r>
            <w:r w:rsidRPr="007078E6">
              <w:rPr>
                <w:rFonts w:ascii="Arial" w:hAnsi="Arial" w:cs="Arial"/>
                <w:color w:val="000000"/>
              </w:rPr>
              <w:t>772</w:t>
            </w:r>
          </w:p>
        </w:tc>
      </w:tr>
      <w:tr w:rsidR="00360825" w:rsidRPr="0095128D" w14:paraId="2E8FDCC7" w14:textId="77777777" w:rsidTr="00C04569">
        <w:trPr>
          <w:trHeight w:val="290"/>
        </w:trPr>
        <w:tc>
          <w:tcPr>
            <w:tcW w:w="4100" w:type="dxa"/>
            <w:shd w:val="clear" w:color="auto" w:fill="auto"/>
            <w:noWrap/>
            <w:vAlign w:val="bottom"/>
            <w:hideMark/>
          </w:tcPr>
          <w:p w14:paraId="67669177" w14:textId="77777777" w:rsidR="00360825" w:rsidRPr="0095128D" w:rsidRDefault="00360825" w:rsidP="00C04569">
            <w:pPr>
              <w:spacing w:after="0" w:line="240" w:lineRule="auto"/>
              <w:jc w:val="left"/>
              <w:rPr>
                <w:rFonts w:ascii="Arial" w:hAnsi="Arial" w:cs="Arial"/>
                <w:color w:val="000000"/>
              </w:rPr>
            </w:pPr>
            <w:r w:rsidRPr="0095128D">
              <w:rPr>
                <w:rFonts w:ascii="Arial" w:hAnsi="Arial" w:cs="Arial"/>
                <w:color w:val="000000"/>
              </w:rPr>
              <w:t>Average Losses to Resi</w:t>
            </w:r>
            <w:r>
              <w:rPr>
                <w:rFonts w:ascii="Arial" w:hAnsi="Arial" w:cs="Arial"/>
                <w:color w:val="000000"/>
              </w:rPr>
              <w:t>dential</w:t>
            </w:r>
            <w:r w:rsidRPr="0095128D">
              <w:rPr>
                <w:rFonts w:ascii="Arial" w:hAnsi="Arial" w:cs="Arial"/>
                <w:color w:val="000000"/>
              </w:rPr>
              <w:t xml:space="preserve"> 2018-21</w:t>
            </w:r>
          </w:p>
        </w:tc>
        <w:tc>
          <w:tcPr>
            <w:tcW w:w="1340" w:type="dxa"/>
            <w:shd w:val="clear" w:color="auto" w:fill="auto"/>
            <w:noWrap/>
            <w:vAlign w:val="bottom"/>
            <w:hideMark/>
          </w:tcPr>
          <w:p w14:paraId="64E76B94"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w:t>
            </w:r>
            <w:r>
              <w:rPr>
                <w:rFonts w:ascii="Arial" w:hAnsi="Arial" w:cs="Arial"/>
                <w:color w:val="000000"/>
              </w:rPr>
              <w:t>,</w:t>
            </w:r>
            <w:r w:rsidRPr="007078E6">
              <w:rPr>
                <w:rFonts w:ascii="Arial" w:hAnsi="Arial" w:cs="Arial"/>
                <w:color w:val="000000"/>
              </w:rPr>
              <w:t>277</w:t>
            </w:r>
          </w:p>
        </w:tc>
        <w:tc>
          <w:tcPr>
            <w:tcW w:w="1340" w:type="dxa"/>
            <w:shd w:val="clear" w:color="auto" w:fill="auto"/>
            <w:noWrap/>
            <w:vAlign w:val="bottom"/>
            <w:hideMark/>
          </w:tcPr>
          <w:p w14:paraId="1D16F571"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314</w:t>
            </w:r>
          </w:p>
        </w:tc>
        <w:tc>
          <w:tcPr>
            <w:tcW w:w="1340" w:type="dxa"/>
            <w:shd w:val="clear" w:color="auto" w:fill="auto"/>
            <w:noWrap/>
            <w:vAlign w:val="bottom"/>
            <w:hideMark/>
          </w:tcPr>
          <w:p w14:paraId="14D2C060"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2</w:t>
            </w:r>
            <w:r>
              <w:rPr>
                <w:rFonts w:ascii="Arial" w:hAnsi="Arial" w:cs="Arial"/>
                <w:color w:val="000000"/>
              </w:rPr>
              <w:t>,</w:t>
            </w:r>
            <w:r w:rsidRPr="007078E6">
              <w:rPr>
                <w:rFonts w:ascii="Arial" w:hAnsi="Arial" w:cs="Arial"/>
                <w:color w:val="000000"/>
              </w:rPr>
              <w:t>616</w:t>
            </w:r>
          </w:p>
        </w:tc>
        <w:tc>
          <w:tcPr>
            <w:tcW w:w="1340" w:type="dxa"/>
            <w:shd w:val="clear" w:color="auto" w:fill="auto"/>
            <w:noWrap/>
            <w:vAlign w:val="bottom"/>
            <w:hideMark/>
          </w:tcPr>
          <w:p w14:paraId="742AF1EC"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4</w:t>
            </w:r>
            <w:r>
              <w:rPr>
                <w:rFonts w:ascii="Arial" w:hAnsi="Arial" w:cs="Arial"/>
                <w:color w:val="000000"/>
              </w:rPr>
              <w:t>,</w:t>
            </w:r>
            <w:r w:rsidRPr="007078E6">
              <w:rPr>
                <w:rFonts w:ascii="Arial" w:hAnsi="Arial" w:cs="Arial"/>
                <w:color w:val="000000"/>
              </w:rPr>
              <w:t>207</w:t>
            </w:r>
          </w:p>
        </w:tc>
      </w:tr>
      <w:tr w:rsidR="00360825" w:rsidRPr="0095128D" w14:paraId="08D56FF1" w14:textId="77777777" w:rsidTr="00C04569">
        <w:trPr>
          <w:trHeight w:val="290"/>
        </w:trPr>
        <w:tc>
          <w:tcPr>
            <w:tcW w:w="4100" w:type="dxa"/>
            <w:shd w:val="clear" w:color="auto" w:fill="auto"/>
            <w:noWrap/>
            <w:vAlign w:val="bottom"/>
            <w:hideMark/>
          </w:tcPr>
          <w:p w14:paraId="60158373" w14:textId="77777777" w:rsidR="00360825" w:rsidRPr="00A13938" w:rsidRDefault="00360825" w:rsidP="00C04569">
            <w:pPr>
              <w:spacing w:after="0" w:line="240" w:lineRule="auto"/>
              <w:jc w:val="left"/>
              <w:rPr>
                <w:rFonts w:ascii="Arial" w:hAnsi="Arial" w:cs="Arial"/>
                <w:b/>
                <w:bCs/>
                <w:color w:val="000000"/>
              </w:rPr>
            </w:pPr>
            <w:r w:rsidRPr="0095128D">
              <w:rPr>
                <w:rFonts w:ascii="Arial" w:hAnsi="Arial" w:cs="Arial"/>
                <w:b/>
                <w:bCs/>
                <w:color w:val="000000"/>
              </w:rPr>
              <w:t xml:space="preserve">Revised Average losses </w:t>
            </w:r>
          </w:p>
          <w:p w14:paraId="3460C5B8" w14:textId="77777777" w:rsidR="00360825" w:rsidRPr="0095128D" w:rsidRDefault="00360825" w:rsidP="00C04569">
            <w:pPr>
              <w:spacing w:after="0" w:line="240" w:lineRule="auto"/>
              <w:jc w:val="left"/>
              <w:rPr>
                <w:rFonts w:ascii="Arial" w:hAnsi="Arial" w:cs="Arial"/>
                <w:b/>
                <w:bCs/>
                <w:color w:val="000000"/>
              </w:rPr>
            </w:pPr>
            <w:r w:rsidRPr="0095128D">
              <w:rPr>
                <w:rFonts w:ascii="Arial" w:hAnsi="Arial" w:cs="Arial"/>
                <w:b/>
                <w:bCs/>
                <w:color w:val="000000"/>
              </w:rPr>
              <w:t>(mixed timeframes)</w:t>
            </w:r>
          </w:p>
        </w:tc>
        <w:tc>
          <w:tcPr>
            <w:tcW w:w="1340" w:type="dxa"/>
            <w:shd w:val="clear" w:color="auto" w:fill="auto"/>
            <w:noWrap/>
            <w:vAlign w:val="bottom"/>
            <w:hideMark/>
          </w:tcPr>
          <w:p w14:paraId="7F8DEFBE"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1</w:t>
            </w:r>
            <w:r>
              <w:rPr>
                <w:rFonts w:ascii="Arial" w:hAnsi="Arial" w:cs="Arial"/>
                <w:color w:val="000000"/>
              </w:rPr>
              <w:t>,</w:t>
            </w:r>
            <w:r w:rsidRPr="007078E6">
              <w:rPr>
                <w:rFonts w:ascii="Arial" w:hAnsi="Arial" w:cs="Arial"/>
                <w:color w:val="000000"/>
              </w:rPr>
              <w:t>572</w:t>
            </w:r>
          </w:p>
        </w:tc>
        <w:tc>
          <w:tcPr>
            <w:tcW w:w="1340" w:type="dxa"/>
            <w:shd w:val="clear" w:color="auto" w:fill="auto"/>
            <w:noWrap/>
            <w:vAlign w:val="bottom"/>
            <w:hideMark/>
          </w:tcPr>
          <w:p w14:paraId="03334C4E"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3</w:t>
            </w:r>
            <w:r>
              <w:rPr>
                <w:rFonts w:ascii="Arial" w:hAnsi="Arial" w:cs="Arial"/>
                <w:color w:val="000000"/>
              </w:rPr>
              <w:t>,</w:t>
            </w:r>
            <w:r w:rsidRPr="007078E6">
              <w:rPr>
                <w:rFonts w:ascii="Arial" w:hAnsi="Arial" w:cs="Arial"/>
                <w:color w:val="000000"/>
              </w:rPr>
              <w:t>880</w:t>
            </w:r>
          </w:p>
        </w:tc>
        <w:tc>
          <w:tcPr>
            <w:tcW w:w="1340" w:type="dxa"/>
            <w:shd w:val="clear" w:color="auto" w:fill="auto"/>
            <w:noWrap/>
            <w:vAlign w:val="bottom"/>
            <w:hideMark/>
          </w:tcPr>
          <w:p w14:paraId="6202FE9C"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4</w:t>
            </w:r>
            <w:r>
              <w:rPr>
                <w:rFonts w:ascii="Arial" w:hAnsi="Arial" w:cs="Arial"/>
                <w:color w:val="000000"/>
              </w:rPr>
              <w:t>,</w:t>
            </w:r>
            <w:r w:rsidRPr="007078E6">
              <w:rPr>
                <w:rFonts w:ascii="Arial" w:hAnsi="Arial" w:cs="Arial"/>
                <w:color w:val="000000"/>
              </w:rPr>
              <w:t>528</w:t>
            </w:r>
          </w:p>
        </w:tc>
        <w:tc>
          <w:tcPr>
            <w:tcW w:w="1340" w:type="dxa"/>
            <w:shd w:val="clear" w:color="auto" w:fill="auto"/>
            <w:noWrap/>
            <w:vAlign w:val="bottom"/>
            <w:hideMark/>
          </w:tcPr>
          <w:p w14:paraId="27EEA24F"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9</w:t>
            </w:r>
            <w:r>
              <w:rPr>
                <w:rFonts w:ascii="Arial" w:hAnsi="Arial" w:cs="Arial"/>
                <w:color w:val="000000"/>
              </w:rPr>
              <w:t>,</w:t>
            </w:r>
            <w:r w:rsidRPr="007078E6">
              <w:rPr>
                <w:rFonts w:ascii="Arial" w:hAnsi="Arial" w:cs="Arial"/>
                <w:color w:val="000000"/>
              </w:rPr>
              <w:t>979</w:t>
            </w:r>
          </w:p>
        </w:tc>
      </w:tr>
      <w:tr w:rsidR="00360825" w:rsidRPr="0095128D" w14:paraId="2B46D78C" w14:textId="77777777" w:rsidTr="00C04569">
        <w:trPr>
          <w:trHeight w:val="290"/>
        </w:trPr>
        <w:tc>
          <w:tcPr>
            <w:tcW w:w="4100" w:type="dxa"/>
            <w:shd w:val="clear" w:color="auto" w:fill="auto"/>
            <w:noWrap/>
            <w:vAlign w:val="bottom"/>
            <w:hideMark/>
          </w:tcPr>
          <w:p w14:paraId="7F342FB6" w14:textId="77777777" w:rsidR="00360825" w:rsidRDefault="00360825" w:rsidP="00C04569">
            <w:pPr>
              <w:spacing w:after="0" w:line="240" w:lineRule="auto"/>
              <w:jc w:val="left"/>
              <w:rPr>
                <w:rFonts w:ascii="Arial" w:hAnsi="Arial" w:cs="Arial"/>
                <w:color w:val="000000"/>
              </w:rPr>
            </w:pPr>
            <w:r w:rsidRPr="0095128D">
              <w:rPr>
                <w:rFonts w:ascii="Arial" w:hAnsi="Arial" w:cs="Arial"/>
                <w:color w:val="000000"/>
              </w:rPr>
              <w:t>Average</w:t>
            </w:r>
            <w:r>
              <w:rPr>
                <w:rFonts w:ascii="Arial" w:hAnsi="Arial" w:cs="Arial"/>
                <w:color w:val="000000"/>
              </w:rPr>
              <w:t xml:space="preserve"> Net Annual Change </w:t>
            </w:r>
          </w:p>
          <w:p w14:paraId="10175E0B" w14:textId="77777777" w:rsidR="00360825" w:rsidRPr="0095128D" w:rsidRDefault="00360825" w:rsidP="00C04569">
            <w:pPr>
              <w:spacing w:after="0" w:line="240" w:lineRule="auto"/>
              <w:jc w:val="left"/>
              <w:rPr>
                <w:rFonts w:ascii="Arial" w:hAnsi="Arial" w:cs="Arial"/>
                <w:color w:val="000000"/>
              </w:rPr>
            </w:pPr>
            <w:r>
              <w:rPr>
                <w:rFonts w:ascii="Arial" w:hAnsi="Arial" w:cs="Arial"/>
                <w:color w:val="000000"/>
              </w:rPr>
              <w:t>(Net Completions)</w:t>
            </w:r>
          </w:p>
        </w:tc>
        <w:tc>
          <w:tcPr>
            <w:tcW w:w="1340" w:type="dxa"/>
            <w:shd w:val="clear" w:color="auto" w:fill="auto"/>
            <w:noWrap/>
            <w:vAlign w:val="bottom"/>
            <w:hideMark/>
          </w:tcPr>
          <w:p w14:paraId="6B7F8876"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w:t>
            </w:r>
            <w:r>
              <w:rPr>
                <w:rFonts w:ascii="Arial" w:hAnsi="Arial" w:cs="Arial"/>
                <w:color w:val="000000"/>
              </w:rPr>
              <w:t>,</w:t>
            </w:r>
            <w:r w:rsidRPr="007078E6">
              <w:rPr>
                <w:rFonts w:ascii="Arial" w:hAnsi="Arial" w:cs="Arial"/>
                <w:color w:val="000000"/>
              </w:rPr>
              <w:t>353</w:t>
            </w:r>
          </w:p>
        </w:tc>
        <w:tc>
          <w:tcPr>
            <w:tcW w:w="1340" w:type="dxa"/>
            <w:shd w:val="clear" w:color="auto" w:fill="auto"/>
            <w:noWrap/>
            <w:vAlign w:val="bottom"/>
            <w:hideMark/>
          </w:tcPr>
          <w:p w14:paraId="16A3071D"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w:t>
            </w:r>
            <w:r>
              <w:rPr>
                <w:rFonts w:ascii="Arial" w:hAnsi="Arial" w:cs="Arial"/>
                <w:color w:val="000000"/>
              </w:rPr>
              <w:t>,</w:t>
            </w:r>
            <w:r w:rsidRPr="007078E6">
              <w:rPr>
                <w:rFonts w:ascii="Arial" w:hAnsi="Arial" w:cs="Arial"/>
                <w:color w:val="000000"/>
              </w:rPr>
              <w:t>501</w:t>
            </w:r>
          </w:p>
        </w:tc>
        <w:tc>
          <w:tcPr>
            <w:tcW w:w="1340" w:type="dxa"/>
            <w:shd w:val="clear" w:color="auto" w:fill="auto"/>
            <w:noWrap/>
            <w:vAlign w:val="bottom"/>
            <w:hideMark/>
          </w:tcPr>
          <w:p w14:paraId="07549AE9"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-683</w:t>
            </w:r>
          </w:p>
        </w:tc>
        <w:tc>
          <w:tcPr>
            <w:tcW w:w="1340" w:type="dxa"/>
            <w:shd w:val="clear" w:color="auto" w:fill="auto"/>
            <w:noWrap/>
            <w:vAlign w:val="bottom"/>
            <w:hideMark/>
          </w:tcPr>
          <w:p w14:paraId="53C79909"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2</w:t>
            </w:r>
            <w:r>
              <w:rPr>
                <w:rFonts w:ascii="Arial" w:hAnsi="Arial" w:cs="Arial"/>
                <w:color w:val="000000"/>
              </w:rPr>
              <w:t>,</w:t>
            </w:r>
            <w:r w:rsidRPr="007078E6">
              <w:rPr>
                <w:rFonts w:ascii="Arial" w:hAnsi="Arial" w:cs="Arial"/>
                <w:color w:val="000000"/>
              </w:rPr>
              <w:t>171</w:t>
            </w:r>
          </w:p>
        </w:tc>
      </w:tr>
    </w:tbl>
    <w:p w14:paraId="57C7D134" w14:textId="00988532" w:rsidR="00360825" w:rsidRPr="00D556DB" w:rsidRDefault="009273C8" w:rsidP="001A7584">
      <w:pPr>
        <w:pStyle w:val="Heading4"/>
        <w:ind w:firstLine="0"/>
      </w:pPr>
      <w:r>
        <w:t xml:space="preserve">- </w:t>
      </w:r>
      <w:r w:rsidR="00360825" w:rsidRPr="00B13575">
        <w:t>Gross and Net Completions – Chichester Local Plan Area – 2012/13 – 2020/21</w:t>
      </w:r>
    </w:p>
    <w:p w14:paraId="27B18C56" w14:textId="12422AC5" w:rsidR="00360825" w:rsidRDefault="00360825" w:rsidP="009273C8">
      <w:pPr>
        <w:rPr>
          <w:rFonts w:ascii="Arial" w:hAnsi="Arial" w:cs="Arial"/>
        </w:rPr>
      </w:pPr>
      <w:r w:rsidRPr="009273C8">
        <w:rPr>
          <w:rFonts w:ascii="Arial" w:hAnsi="Arial" w:cs="Arial"/>
        </w:rPr>
        <w:t>Source: Iceni Projects based on OE and WSCC Data</w:t>
      </w:r>
    </w:p>
    <w:p w14:paraId="0F6F73EE" w14:textId="77777777" w:rsidR="009273C8" w:rsidRPr="009273C8" w:rsidRDefault="009273C8" w:rsidP="009273C8">
      <w:pPr>
        <w:rPr>
          <w:rFonts w:ascii="Arial" w:hAnsi="Arial" w:cs="Arial"/>
        </w:rPr>
      </w:pPr>
    </w:p>
    <w:p w14:paraId="61618DEA" w14:textId="74C9BE48"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lower net data reflects losses to</w:t>
      </w:r>
      <w:r>
        <w:rPr>
          <w:rFonts w:ascii="Arial" w:hAnsi="Arial" w:cs="Arial"/>
        </w:rPr>
        <w:t xml:space="preserve"> all</w:t>
      </w:r>
      <w:r w:rsidRPr="00B13575">
        <w:rPr>
          <w:rFonts w:ascii="Arial" w:hAnsi="Arial" w:cs="Arial"/>
        </w:rPr>
        <w:t xml:space="preserve"> other uses but particularly due to the high demand for residential uses in the area</w:t>
      </w:r>
      <w:r w:rsidR="002B1913" w:rsidRPr="00B13575">
        <w:rPr>
          <w:rFonts w:ascii="Arial" w:hAnsi="Arial" w:cs="Arial"/>
        </w:rPr>
        <w:t xml:space="preserve">. </w:t>
      </w:r>
      <w:r w:rsidRPr="00B13575">
        <w:rPr>
          <w:rFonts w:ascii="Arial" w:hAnsi="Arial" w:cs="Arial"/>
        </w:rPr>
        <w:t>This is supported by the relative land values associated with residential compared to employment uses. Although this gap is closing as lack of available space supported increases to commercial land values</w:t>
      </w:r>
      <w:r w:rsidR="002B1913" w:rsidRPr="00B13575">
        <w:rPr>
          <w:rFonts w:ascii="Arial" w:hAnsi="Arial" w:cs="Arial"/>
        </w:rPr>
        <w:t xml:space="preserve">. </w:t>
      </w:r>
      <w:r w:rsidRPr="00B13575">
        <w:rPr>
          <w:rFonts w:ascii="Arial" w:hAnsi="Arial" w:cs="Arial"/>
        </w:rPr>
        <w:t>This also means that these trends may not continue.</w:t>
      </w:r>
    </w:p>
    <w:p w14:paraId="768E3F91"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That said, losses of industrial to residential may represent land that no longer required by industry as well as in some instances land that may still have had potential commercial use but where redevelopment for employment is not viable. Losses from office use include a mix of permitted development and changes of use from vacant or redundant offices.</w:t>
      </w:r>
    </w:p>
    <w:p w14:paraId="4A299DA7"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table below extrapolates past trends in net and gross floorspace. The table also applies the same plot ratio assumptions as elsewhere in this report to convert the floorspace to a land area.</w:t>
      </w:r>
    </w:p>
    <w:p w14:paraId="3991F2CC" w14:textId="77777777" w:rsidR="00360825" w:rsidRPr="00B13575" w:rsidRDefault="00360825" w:rsidP="001A7584">
      <w:pPr>
        <w:pStyle w:val="BodyText"/>
        <w:numPr>
          <w:ilvl w:val="1"/>
          <w:numId w:val="6"/>
        </w:numPr>
        <w:tabs>
          <w:tab w:val="num" w:pos="0"/>
        </w:tabs>
        <w:spacing w:after="120"/>
        <w:ind w:left="0" w:hanging="709"/>
        <w:rPr>
          <w:rFonts w:ascii="Arial" w:hAnsi="Arial" w:cs="Arial"/>
        </w:rPr>
      </w:pPr>
      <w:r w:rsidRPr="00B13575">
        <w:rPr>
          <w:rFonts w:ascii="Arial" w:hAnsi="Arial" w:cs="Arial"/>
        </w:rPr>
        <w:lastRenderedPageBreak/>
        <w:t xml:space="preserve">As shown, the net completions </w:t>
      </w:r>
      <w:r>
        <w:rPr>
          <w:rFonts w:ascii="Arial" w:hAnsi="Arial" w:cs="Arial"/>
        </w:rPr>
        <w:t>result in a need for 7.5Ha</w:t>
      </w:r>
      <w:r w:rsidRPr="00B13575">
        <w:rPr>
          <w:rFonts w:ascii="Arial" w:hAnsi="Arial" w:cs="Arial"/>
        </w:rPr>
        <w:t xml:space="preserve"> while gross completions result in a significantly higher need of </w:t>
      </w:r>
      <w:r>
        <w:rPr>
          <w:rFonts w:ascii="Arial" w:hAnsi="Arial" w:cs="Arial"/>
        </w:rPr>
        <w:t>45.1</w:t>
      </w:r>
      <w:r w:rsidRPr="00B13575">
        <w:rPr>
          <w:rFonts w:ascii="Arial" w:hAnsi="Arial" w:cs="Arial"/>
        </w:rPr>
        <w:t xml:space="preserve"> Ha. This is more than </w:t>
      </w:r>
      <w:r>
        <w:rPr>
          <w:rFonts w:ascii="Arial" w:hAnsi="Arial" w:cs="Arial"/>
        </w:rPr>
        <w:t>three and a half times</w:t>
      </w:r>
      <w:r w:rsidRPr="00B13575">
        <w:rPr>
          <w:rFonts w:ascii="Arial" w:hAnsi="Arial" w:cs="Arial"/>
        </w:rPr>
        <w:t xml:space="preserve"> the labour</w:t>
      </w:r>
      <w:r>
        <w:rPr>
          <w:rFonts w:ascii="Arial" w:hAnsi="Arial" w:cs="Arial"/>
        </w:rPr>
        <w:t xml:space="preserve"> </w:t>
      </w:r>
      <w:r w:rsidRPr="00B13575">
        <w:rPr>
          <w:rFonts w:ascii="Arial" w:hAnsi="Arial" w:cs="Arial"/>
        </w:rPr>
        <w:t>demand</w:t>
      </w:r>
      <w:r>
        <w:rPr>
          <w:rFonts w:ascii="Arial" w:hAnsi="Arial" w:cs="Arial"/>
        </w:rPr>
        <w:t xml:space="preserve"> growth</w:t>
      </w:r>
      <w:r w:rsidRPr="00B13575">
        <w:rPr>
          <w:rFonts w:ascii="Arial" w:hAnsi="Arial" w:cs="Arial"/>
        </w:rPr>
        <w:t xml:space="preserve"> scenario for the plan area of </w:t>
      </w:r>
      <w:r>
        <w:rPr>
          <w:rFonts w:ascii="Arial" w:hAnsi="Arial" w:cs="Arial"/>
          <w:color w:val="000000"/>
        </w:rPr>
        <w:t xml:space="preserve">up to 12.9 </w:t>
      </w:r>
      <w:r w:rsidRPr="00DE1AA1">
        <w:rPr>
          <w:rFonts w:ascii="Arial" w:hAnsi="Arial" w:cs="Arial"/>
          <w:color w:val="000000"/>
        </w:rPr>
        <w:t>Ha</w:t>
      </w:r>
      <w:r w:rsidRPr="00B13575">
        <w:rPr>
          <w:rFonts w:ascii="Arial" w:hAnsi="Arial" w:cs="Arial"/>
        </w:rPr>
        <w:t>.</w:t>
      </w:r>
    </w:p>
    <w:p w14:paraId="2F1C61DD" w14:textId="77777777" w:rsidR="00360825" w:rsidRPr="00B13575" w:rsidRDefault="00360825" w:rsidP="001A7584">
      <w:pPr>
        <w:pStyle w:val="Heading4"/>
        <w:ind w:firstLine="0"/>
      </w:pPr>
      <w:r w:rsidRPr="00B13575">
        <w:t xml:space="preserve">- Completions Trend Scenarios Future Requirement, 2021-39 – Plan Area </w:t>
      </w:r>
    </w:p>
    <w:tbl>
      <w:tblPr>
        <w:tblW w:w="8899" w:type="dxa"/>
        <w:tblLayout w:type="fixed"/>
        <w:tblLook w:val="04A0" w:firstRow="1" w:lastRow="0" w:firstColumn="1" w:lastColumn="0" w:noHBand="0" w:noVBand="1"/>
      </w:tblPr>
      <w:tblGrid>
        <w:gridCol w:w="2263"/>
        <w:gridCol w:w="1659"/>
        <w:gridCol w:w="1659"/>
        <w:gridCol w:w="1659"/>
        <w:gridCol w:w="1659"/>
      </w:tblGrid>
      <w:tr w:rsidR="00360825" w:rsidRPr="00BE735B" w14:paraId="088F358A" w14:textId="77777777" w:rsidTr="00C04569">
        <w:trPr>
          <w:trHeight w:val="290"/>
        </w:trPr>
        <w:tc>
          <w:tcPr>
            <w:tcW w:w="2263"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EE32862" w14:textId="77777777" w:rsidR="00360825" w:rsidRPr="00BE735B" w:rsidRDefault="00360825" w:rsidP="00C04569">
            <w:pPr>
              <w:spacing w:after="0" w:line="240" w:lineRule="auto"/>
              <w:jc w:val="left"/>
              <w:rPr>
                <w:rFonts w:ascii="Arial" w:hAnsi="Arial" w:cs="Arial"/>
                <w:b/>
                <w:bCs/>
                <w:color w:val="FFFFFF"/>
              </w:rPr>
            </w:pPr>
            <w:r w:rsidRPr="00BE735B">
              <w:rPr>
                <w:rFonts w:ascii="Arial" w:hAnsi="Arial" w:cs="Arial"/>
                <w:b/>
                <w:bCs/>
                <w:color w:val="FFFFFF"/>
              </w:rPr>
              <w:t>Need (based on Gross Completions)</w:t>
            </w:r>
          </w:p>
        </w:tc>
        <w:tc>
          <w:tcPr>
            <w:tcW w:w="1659" w:type="dxa"/>
            <w:tcBorders>
              <w:top w:val="single" w:sz="4" w:space="0" w:color="auto"/>
              <w:left w:val="nil"/>
              <w:bottom w:val="single" w:sz="4" w:space="0" w:color="auto"/>
              <w:right w:val="single" w:sz="4" w:space="0" w:color="auto"/>
            </w:tcBorders>
            <w:shd w:val="clear" w:color="000000" w:fill="002060"/>
            <w:noWrap/>
            <w:vAlign w:val="bottom"/>
            <w:hideMark/>
          </w:tcPr>
          <w:p w14:paraId="1B913449"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Office</w:t>
            </w:r>
          </w:p>
        </w:tc>
        <w:tc>
          <w:tcPr>
            <w:tcW w:w="1659" w:type="dxa"/>
            <w:tcBorders>
              <w:top w:val="single" w:sz="4" w:space="0" w:color="auto"/>
              <w:left w:val="nil"/>
              <w:bottom w:val="single" w:sz="4" w:space="0" w:color="auto"/>
              <w:right w:val="single" w:sz="4" w:space="0" w:color="auto"/>
            </w:tcBorders>
            <w:shd w:val="clear" w:color="000000" w:fill="002060"/>
            <w:noWrap/>
            <w:vAlign w:val="bottom"/>
            <w:hideMark/>
          </w:tcPr>
          <w:p w14:paraId="2C8F9196"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Industrial</w:t>
            </w:r>
          </w:p>
        </w:tc>
        <w:tc>
          <w:tcPr>
            <w:tcW w:w="1659" w:type="dxa"/>
            <w:tcBorders>
              <w:top w:val="single" w:sz="4" w:space="0" w:color="auto"/>
              <w:left w:val="nil"/>
              <w:bottom w:val="single" w:sz="4" w:space="0" w:color="auto"/>
              <w:right w:val="single" w:sz="4" w:space="0" w:color="auto"/>
            </w:tcBorders>
            <w:shd w:val="clear" w:color="000000" w:fill="002060"/>
            <w:noWrap/>
            <w:vAlign w:val="bottom"/>
            <w:hideMark/>
          </w:tcPr>
          <w:p w14:paraId="1AD102C2"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Distribution</w:t>
            </w:r>
          </w:p>
        </w:tc>
        <w:tc>
          <w:tcPr>
            <w:tcW w:w="1659" w:type="dxa"/>
            <w:tcBorders>
              <w:top w:val="single" w:sz="4" w:space="0" w:color="auto"/>
              <w:left w:val="nil"/>
              <w:bottom w:val="single" w:sz="4" w:space="0" w:color="auto"/>
              <w:right w:val="single" w:sz="4" w:space="0" w:color="auto"/>
            </w:tcBorders>
            <w:shd w:val="clear" w:color="000000" w:fill="002060"/>
            <w:noWrap/>
            <w:vAlign w:val="bottom"/>
            <w:hideMark/>
          </w:tcPr>
          <w:p w14:paraId="5F638918"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Total</w:t>
            </w:r>
          </w:p>
        </w:tc>
      </w:tr>
      <w:tr w:rsidR="00360825" w:rsidRPr="00BE735B" w14:paraId="3BA70172"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9059E1C" w14:textId="77777777" w:rsidR="00360825" w:rsidRPr="00BE735B" w:rsidRDefault="00360825" w:rsidP="00C04569">
            <w:pPr>
              <w:spacing w:after="0" w:line="240" w:lineRule="auto"/>
              <w:jc w:val="left"/>
              <w:rPr>
                <w:rFonts w:ascii="Arial" w:hAnsi="Arial" w:cs="Arial"/>
                <w:color w:val="000000"/>
              </w:rPr>
            </w:pPr>
            <w:r w:rsidRPr="00BE735B">
              <w:rPr>
                <w:rFonts w:ascii="Arial" w:hAnsi="Arial" w:cs="Arial"/>
                <w:color w:val="000000"/>
              </w:rPr>
              <w:t>Need sqm</w:t>
            </w:r>
          </w:p>
        </w:tc>
        <w:tc>
          <w:tcPr>
            <w:tcW w:w="1659" w:type="dxa"/>
            <w:tcBorders>
              <w:top w:val="nil"/>
              <w:left w:val="nil"/>
              <w:bottom w:val="single" w:sz="4" w:space="0" w:color="auto"/>
              <w:right w:val="single" w:sz="4" w:space="0" w:color="auto"/>
            </w:tcBorders>
            <w:shd w:val="clear" w:color="auto" w:fill="auto"/>
            <w:noWrap/>
            <w:vAlign w:val="bottom"/>
            <w:hideMark/>
          </w:tcPr>
          <w:p w14:paraId="678F941A"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52,650</w:t>
            </w:r>
          </w:p>
        </w:tc>
        <w:tc>
          <w:tcPr>
            <w:tcW w:w="1659" w:type="dxa"/>
            <w:tcBorders>
              <w:top w:val="nil"/>
              <w:left w:val="nil"/>
              <w:bottom w:val="single" w:sz="4" w:space="0" w:color="auto"/>
              <w:right w:val="single" w:sz="4" w:space="0" w:color="auto"/>
            </w:tcBorders>
            <w:shd w:val="clear" w:color="auto" w:fill="auto"/>
            <w:noWrap/>
            <w:vAlign w:val="bottom"/>
            <w:hideMark/>
          </w:tcPr>
          <w:p w14:paraId="0A319412"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96,850</w:t>
            </w:r>
          </w:p>
        </w:tc>
        <w:tc>
          <w:tcPr>
            <w:tcW w:w="1659" w:type="dxa"/>
            <w:tcBorders>
              <w:top w:val="nil"/>
              <w:left w:val="nil"/>
              <w:bottom w:val="single" w:sz="4" w:space="0" w:color="auto"/>
              <w:right w:val="single" w:sz="4" w:space="0" w:color="auto"/>
            </w:tcBorders>
            <w:shd w:val="clear" w:color="auto" w:fill="auto"/>
            <w:noWrap/>
            <w:vAlign w:val="bottom"/>
            <w:hideMark/>
          </w:tcPr>
          <w:p w14:paraId="2B0A3C39"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69,197</w:t>
            </w:r>
          </w:p>
        </w:tc>
        <w:tc>
          <w:tcPr>
            <w:tcW w:w="1659" w:type="dxa"/>
            <w:tcBorders>
              <w:top w:val="nil"/>
              <w:left w:val="nil"/>
              <w:bottom w:val="single" w:sz="4" w:space="0" w:color="auto"/>
              <w:right w:val="single" w:sz="4" w:space="0" w:color="auto"/>
            </w:tcBorders>
            <w:shd w:val="clear" w:color="auto" w:fill="auto"/>
            <w:noWrap/>
            <w:vAlign w:val="bottom"/>
            <w:hideMark/>
          </w:tcPr>
          <w:p w14:paraId="42B52DB3"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218,697</w:t>
            </w:r>
          </w:p>
        </w:tc>
      </w:tr>
      <w:tr w:rsidR="00360825" w:rsidRPr="00BE735B" w14:paraId="4A74B1E3"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0EF4EF4" w14:textId="77777777" w:rsidR="00360825" w:rsidRPr="00BE735B" w:rsidRDefault="00360825" w:rsidP="00C04569">
            <w:pPr>
              <w:spacing w:after="0" w:line="240" w:lineRule="auto"/>
              <w:jc w:val="left"/>
              <w:rPr>
                <w:rFonts w:ascii="Arial" w:hAnsi="Arial" w:cs="Arial"/>
                <w:color w:val="000000"/>
              </w:rPr>
            </w:pPr>
            <w:r w:rsidRPr="00BE735B">
              <w:rPr>
                <w:rFonts w:ascii="Arial" w:hAnsi="Arial" w:cs="Arial"/>
                <w:color w:val="000000"/>
              </w:rPr>
              <w:t>Need Ha</w:t>
            </w:r>
          </w:p>
        </w:tc>
        <w:tc>
          <w:tcPr>
            <w:tcW w:w="1659" w:type="dxa"/>
            <w:tcBorders>
              <w:top w:val="nil"/>
              <w:left w:val="nil"/>
              <w:bottom w:val="single" w:sz="4" w:space="0" w:color="auto"/>
              <w:right w:val="single" w:sz="4" w:space="0" w:color="auto"/>
            </w:tcBorders>
            <w:shd w:val="clear" w:color="auto" w:fill="auto"/>
            <w:noWrap/>
            <w:vAlign w:val="bottom"/>
            <w:hideMark/>
          </w:tcPr>
          <w:p w14:paraId="47B4A6A1"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7.0</w:t>
            </w:r>
          </w:p>
        </w:tc>
        <w:tc>
          <w:tcPr>
            <w:tcW w:w="1659" w:type="dxa"/>
            <w:tcBorders>
              <w:top w:val="nil"/>
              <w:left w:val="nil"/>
              <w:bottom w:val="single" w:sz="4" w:space="0" w:color="auto"/>
              <w:right w:val="single" w:sz="4" w:space="0" w:color="auto"/>
            </w:tcBorders>
            <w:shd w:val="clear" w:color="auto" w:fill="auto"/>
            <w:noWrap/>
            <w:vAlign w:val="bottom"/>
            <w:hideMark/>
          </w:tcPr>
          <w:p w14:paraId="78694CF8"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24.2</w:t>
            </w:r>
          </w:p>
        </w:tc>
        <w:tc>
          <w:tcPr>
            <w:tcW w:w="1659" w:type="dxa"/>
            <w:tcBorders>
              <w:top w:val="nil"/>
              <w:left w:val="nil"/>
              <w:bottom w:val="single" w:sz="4" w:space="0" w:color="auto"/>
              <w:right w:val="single" w:sz="4" w:space="0" w:color="auto"/>
            </w:tcBorders>
            <w:shd w:val="clear" w:color="auto" w:fill="auto"/>
            <w:noWrap/>
            <w:vAlign w:val="bottom"/>
            <w:hideMark/>
          </w:tcPr>
          <w:p w14:paraId="7ABAC82A"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13.8</w:t>
            </w:r>
          </w:p>
        </w:tc>
        <w:tc>
          <w:tcPr>
            <w:tcW w:w="1659" w:type="dxa"/>
            <w:tcBorders>
              <w:top w:val="nil"/>
              <w:left w:val="nil"/>
              <w:bottom w:val="single" w:sz="4" w:space="0" w:color="auto"/>
              <w:right w:val="single" w:sz="4" w:space="0" w:color="auto"/>
            </w:tcBorders>
            <w:shd w:val="clear" w:color="auto" w:fill="auto"/>
            <w:noWrap/>
            <w:vAlign w:val="bottom"/>
            <w:hideMark/>
          </w:tcPr>
          <w:p w14:paraId="6A9E000C"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45.1</w:t>
            </w:r>
          </w:p>
        </w:tc>
      </w:tr>
      <w:tr w:rsidR="00360825" w:rsidRPr="00BE735B" w14:paraId="38B11B86" w14:textId="77777777" w:rsidTr="00C04569">
        <w:trPr>
          <w:trHeight w:val="290"/>
        </w:trPr>
        <w:tc>
          <w:tcPr>
            <w:tcW w:w="2263" w:type="dxa"/>
            <w:tcBorders>
              <w:top w:val="nil"/>
              <w:left w:val="single" w:sz="4" w:space="0" w:color="auto"/>
              <w:bottom w:val="single" w:sz="4" w:space="0" w:color="auto"/>
              <w:right w:val="single" w:sz="4" w:space="0" w:color="auto"/>
            </w:tcBorders>
            <w:shd w:val="clear" w:color="000000" w:fill="002060"/>
            <w:noWrap/>
            <w:vAlign w:val="bottom"/>
            <w:hideMark/>
          </w:tcPr>
          <w:p w14:paraId="79D93005" w14:textId="77777777" w:rsidR="00360825" w:rsidRPr="00BE735B" w:rsidRDefault="00360825" w:rsidP="00C04569">
            <w:pPr>
              <w:spacing w:after="0" w:line="240" w:lineRule="auto"/>
              <w:jc w:val="left"/>
              <w:rPr>
                <w:rFonts w:ascii="Arial" w:hAnsi="Arial" w:cs="Arial"/>
                <w:b/>
                <w:bCs/>
                <w:color w:val="FFFFFF"/>
              </w:rPr>
            </w:pPr>
            <w:r w:rsidRPr="00BE735B">
              <w:rPr>
                <w:rFonts w:ascii="Arial" w:hAnsi="Arial" w:cs="Arial"/>
                <w:b/>
                <w:bCs/>
                <w:color w:val="FFFFFF"/>
              </w:rPr>
              <w:t>Need (based on Net Completions)</w:t>
            </w:r>
          </w:p>
        </w:tc>
        <w:tc>
          <w:tcPr>
            <w:tcW w:w="1659" w:type="dxa"/>
            <w:tcBorders>
              <w:top w:val="nil"/>
              <w:left w:val="nil"/>
              <w:bottom w:val="single" w:sz="4" w:space="0" w:color="auto"/>
              <w:right w:val="single" w:sz="4" w:space="0" w:color="auto"/>
            </w:tcBorders>
            <w:shd w:val="clear" w:color="000000" w:fill="002060"/>
            <w:noWrap/>
            <w:vAlign w:val="bottom"/>
            <w:hideMark/>
          </w:tcPr>
          <w:p w14:paraId="1C1438DD"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Office</w:t>
            </w:r>
          </w:p>
        </w:tc>
        <w:tc>
          <w:tcPr>
            <w:tcW w:w="1659" w:type="dxa"/>
            <w:tcBorders>
              <w:top w:val="nil"/>
              <w:left w:val="nil"/>
              <w:bottom w:val="single" w:sz="4" w:space="0" w:color="auto"/>
              <w:right w:val="single" w:sz="4" w:space="0" w:color="auto"/>
            </w:tcBorders>
            <w:shd w:val="clear" w:color="000000" w:fill="002060"/>
            <w:noWrap/>
            <w:vAlign w:val="bottom"/>
            <w:hideMark/>
          </w:tcPr>
          <w:p w14:paraId="4ED6324D"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Industrial</w:t>
            </w:r>
          </w:p>
        </w:tc>
        <w:tc>
          <w:tcPr>
            <w:tcW w:w="1659" w:type="dxa"/>
            <w:tcBorders>
              <w:top w:val="nil"/>
              <w:left w:val="nil"/>
              <w:bottom w:val="single" w:sz="4" w:space="0" w:color="auto"/>
              <w:right w:val="single" w:sz="4" w:space="0" w:color="auto"/>
            </w:tcBorders>
            <w:shd w:val="clear" w:color="000000" w:fill="002060"/>
            <w:noWrap/>
            <w:vAlign w:val="bottom"/>
            <w:hideMark/>
          </w:tcPr>
          <w:p w14:paraId="0A54A0C6"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Distribution</w:t>
            </w:r>
          </w:p>
        </w:tc>
        <w:tc>
          <w:tcPr>
            <w:tcW w:w="1659" w:type="dxa"/>
            <w:tcBorders>
              <w:top w:val="nil"/>
              <w:left w:val="nil"/>
              <w:bottom w:val="single" w:sz="4" w:space="0" w:color="auto"/>
              <w:right w:val="single" w:sz="4" w:space="0" w:color="auto"/>
            </w:tcBorders>
            <w:shd w:val="clear" w:color="000000" w:fill="002060"/>
            <w:noWrap/>
            <w:vAlign w:val="bottom"/>
            <w:hideMark/>
          </w:tcPr>
          <w:p w14:paraId="6BA87583"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Total</w:t>
            </w:r>
          </w:p>
        </w:tc>
      </w:tr>
      <w:tr w:rsidR="00360825" w:rsidRPr="00BE735B" w14:paraId="6D63B561"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D79C41C" w14:textId="77777777" w:rsidR="00360825" w:rsidRPr="00BE735B" w:rsidRDefault="00360825" w:rsidP="00C04569">
            <w:pPr>
              <w:spacing w:after="0" w:line="240" w:lineRule="auto"/>
              <w:jc w:val="left"/>
              <w:rPr>
                <w:rFonts w:ascii="Arial" w:hAnsi="Arial" w:cs="Arial"/>
                <w:color w:val="000000"/>
              </w:rPr>
            </w:pPr>
            <w:r w:rsidRPr="00BE735B">
              <w:rPr>
                <w:rFonts w:ascii="Arial" w:hAnsi="Arial" w:cs="Arial"/>
                <w:color w:val="000000"/>
              </w:rPr>
              <w:t>Need sqm</w:t>
            </w:r>
          </w:p>
        </w:tc>
        <w:tc>
          <w:tcPr>
            <w:tcW w:w="1659" w:type="dxa"/>
            <w:tcBorders>
              <w:top w:val="nil"/>
              <w:left w:val="nil"/>
              <w:bottom w:val="single" w:sz="4" w:space="0" w:color="auto"/>
              <w:right w:val="single" w:sz="4" w:space="0" w:color="auto"/>
            </w:tcBorders>
            <w:shd w:val="clear" w:color="auto" w:fill="auto"/>
            <w:noWrap/>
            <w:vAlign w:val="bottom"/>
            <w:hideMark/>
          </w:tcPr>
          <w:p w14:paraId="43655D9C"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24,362</w:t>
            </w:r>
          </w:p>
        </w:tc>
        <w:tc>
          <w:tcPr>
            <w:tcW w:w="1659" w:type="dxa"/>
            <w:tcBorders>
              <w:top w:val="nil"/>
              <w:left w:val="nil"/>
              <w:bottom w:val="single" w:sz="4" w:space="0" w:color="auto"/>
              <w:right w:val="single" w:sz="4" w:space="0" w:color="auto"/>
            </w:tcBorders>
            <w:shd w:val="clear" w:color="auto" w:fill="auto"/>
            <w:noWrap/>
            <w:vAlign w:val="bottom"/>
            <w:hideMark/>
          </w:tcPr>
          <w:p w14:paraId="22C4F1D4"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27,012</w:t>
            </w:r>
          </w:p>
        </w:tc>
        <w:tc>
          <w:tcPr>
            <w:tcW w:w="1659" w:type="dxa"/>
            <w:tcBorders>
              <w:top w:val="nil"/>
              <w:left w:val="nil"/>
              <w:bottom w:val="single" w:sz="4" w:space="0" w:color="auto"/>
              <w:right w:val="single" w:sz="4" w:space="0" w:color="auto"/>
            </w:tcBorders>
            <w:shd w:val="clear" w:color="auto" w:fill="auto"/>
            <w:noWrap/>
            <w:vAlign w:val="bottom"/>
            <w:hideMark/>
          </w:tcPr>
          <w:p w14:paraId="787E28C8"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-12,298</w:t>
            </w:r>
          </w:p>
        </w:tc>
        <w:tc>
          <w:tcPr>
            <w:tcW w:w="1659" w:type="dxa"/>
            <w:tcBorders>
              <w:top w:val="nil"/>
              <w:left w:val="nil"/>
              <w:bottom w:val="single" w:sz="4" w:space="0" w:color="auto"/>
              <w:right w:val="single" w:sz="4" w:space="0" w:color="auto"/>
            </w:tcBorders>
            <w:shd w:val="clear" w:color="auto" w:fill="auto"/>
            <w:noWrap/>
            <w:vAlign w:val="bottom"/>
            <w:hideMark/>
          </w:tcPr>
          <w:p w14:paraId="1AEF6789"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39,076</w:t>
            </w:r>
          </w:p>
        </w:tc>
      </w:tr>
      <w:tr w:rsidR="00360825" w:rsidRPr="00BE735B" w14:paraId="02BC139A"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5323670" w14:textId="77777777" w:rsidR="00360825" w:rsidRPr="00BE735B" w:rsidRDefault="00360825" w:rsidP="00C04569">
            <w:pPr>
              <w:spacing w:after="0" w:line="240" w:lineRule="auto"/>
              <w:jc w:val="left"/>
              <w:rPr>
                <w:rFonts w:ascii="Arial" w:hAnsi="Arial" w:cs="Arial"/>
                <w:color w:val="000000"/>
              </w:rPr>
            </w:pPr>
            <w:r w:rsidRPr="00BE735B">
              <w:rPr>
                <w:rFonts w:ascii="Arial" w:hAnsi="Arial" w:cs="Arial"/>
                <w:color w:val="000000"/>
              </w:rPr>
              <w:t>Need Ha</w:t>
            </w:r>
          </w:p>
        </w:tc>
        <w:tc>
          <w:tcPr>
            <w:tcW w:w="1659" w:type="dxa"/>
            <w:tcBorders>
              <w:top w:val="nil"/>
              <w:left w:val="nil"/>
              <w:bottom w:val="single" w:sz="4" w:space="0" w:color="auto"/>
              <w:right w:val="single" w:sz="4" w:space="0" w:color="auto"/>
            </w:tcBorders>
            <w:shd w:val="clear" w:color="auto" w:fill="auto"/>
            <w:noWrap/>
            <w:vAlign w:val="bottom"/>
            <w:hideMark/>
          </w:tcPr>
          <w:p w14:paraId="125F2541"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3.2</w:t>
            </w:r>
          </w:p>
        </w:tc>
        <w:tc>
          <w:tcPr>
            <w:tcW w:w="1659" w:type="dxa"/>
            <w:tcBorders>
              <w:top w:val="nil"/>
              <w:left w:val="nil"/>
              <w:bottom w:val="single" w:sz="4" w:space="0" w:color="auto"/>
              <w:right w:val="single" w:sz="4" w:space="0" w:color="auto"/>
            </w:tcBorders>
            <w:shd w:val="clear" w:color="auto" w:fill="auto"/>
            <w:noWrap/>
            <w:vAlign w:val="bottom"/>
            <w:hideMark/>
          </w:tcPr>
          <w:p w14:paraId="6724FBCA"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6.8</w:t>
            </w:r>
          </w:p>
        </w:tc>
        <w:tc>
          <w:tcPr>
            <w:tcW w:w="1659" w:type="dxa"/>
            <w:tcBorders>
              <w:top w:val="nil"/>
              <w:left w:val="nil"/>
              <w:bottom w:val="single" w:sz="4" w:space="0" w:color="auto"/>
              <w:right w:val="single" w:sz="4" w:space="0" w:color="auto"/>
            </w:tcBorders>
            <w:shd w:val="clear" w:color="auto" w:fill="auto"/>
            <w:noWrap/>
            <w:vAlign w:val="bottom"/>
            <w:hideMark/>
          </w:tcPr>
          <w:p w14:paraId="10DC51AC"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-2.5</w:t>
            </w:r>
          </w:p>
        </w:tc>
        <w:tc>
          <w:tcPr>
            <w:tcW w:w="1659" w:type="dxa"/>
            <w:tcBorders>
              <w:top w:val="nil"/>
              <w:left w:val="nil"/>
              <w:bottom w:val="single" w:sz="4" w:space="0" w:color="auto"/>
              <w:right w:val="single" w:sz="4" w:space="0" w:color="auto"/>
            </w:tcBorders>
            <w:shd w:val="clear" w:color="auto" w:fill="auto"/>
            <w:noWrap/>
            <w:vAlign w:val="bottom"/>
            <w:hideMark/>
          </w:tcPr>
          <w:p w14:paraId="6F35EC6D"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7.5</w:t>
            </w:r>
          </w:p>
        </w:tc>
      </w:tr>
    </w:tbl>
    <w:p w14:paraId="0448B41F" w14:textId="77777777" w:rsidR="00360825" w:rsidRPr="00DE1AA1" w:rsidRDefault="00360825" w:rsidP="00360825">
      <w:pPr>
        <w:pStyle w:val="11Bodytext"/>
        <w:tabs>
          <w:tab w:val="clear" w:pos="794"/>
        </w:tabs>
        <w:spacing w:before="0" w:after="0" w:line="240" w:lineRule="auto"/>
        <w:ind w:left="0" w:firstLine="0"/>
        <w:jc w:val="left"/>
      </w:pPr>
    </w:p>
    <w:p w14:paraId="7432AD14" w14:textId="77777777" w:rsidR="00360825" w:rsidRPr="00924D6D" w:rsidRDefault="00360825" w:rsidP="00360825">
      <w:pPr>
        <w:pStyle w:val="11Bodytext"/>
        <w:tabs>
          <w:tab w:val="clear" w:pos="794"/>
        </w:tabs>
        <w:spacing w:before="0" w:after="0" w:line="240" w:lineRule="auto"/>
        <w:ind w:left="0" w:firstLine="0"/>
        <w:jc w:val="left"/>
        <w:rPr>
          <w:i/>
          <w:iCs/>
        </w:rPr>
      </w:pPr>
      <w:r w:rsidRPr="00924D6D">
        <w:rPr>
          <w:i/>
          <w:iCs/>
        </w:rPr>
        <w:t>Source: Iceni Projects based on Chichester District Council data</w:t>
      </w:r>
    </w:p>
    <w:p w14:paraId="5726C25B" w14:textId="77777777" w:rsidR="00360825" w:rsidRPr="00DE1AA1" w:rsidRDefault="00360825" w:rsidP="00360825">
      <w:pPr>
        <w:pStyle w:val="11Bodytext"/>
        <w:tabs>
          <w:tab w:val="clear" w:pos="794"/>
        </w:tabs>
        <w:spacing w:before="0" w:after="0" w:line="240" w:lineRule="auto"/>
        <w:ind w:left="0" w:firstLine="0"/>
        <w:jc w:val="left"/>
      </w:pPr>
    </w:p>
    <w:p w14:paraId="04FAEF8F" w14:textId="5E7E812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Gross trends represent all completions without accounting for recycling of sites</w:t>
      </w:r>
      <w:r w:rsidR="002B1913" w:rsidRPr="00B13575">
        <w:rPr>
          <w:rFonts w:ascii="Arial" w:hAnsi="Arial" w:cs="Arial"/>
        </w:rPr>
        <w:t xml:space="preserve">. </w:t>
      </w:r>
      <w:r w:rsidRPr="00B13575">
        <w:rPr>
          <w:rFonts w:ascii="Arial" w:hAnsi="Arial" w:cs="Arial"/>
        </w:rPr>
        <w:t>This is not the case with net trends which are therefore more useful in predicting growth</w:t>
      </w:r>
      <w:r>
        <w:rPr>
          <w:rFonts w:ascii="Arial" w:hAnsi="Arial" w:cs="Arial"/>
        </w:rPr>
        <w:t xml:space="preserve"> and </w:t>
      </w:r>
      <w:r w:rsidRPr="00B13575">
        <w:rPr>
          <w:rFonts w:ascii="Arial" w:hAnsi="Arial" w:cs="Arial"/>
        </w:rPr>
        <w:t xml:space="preserve">should be viewed as the preferred completions scenario. </w:t>
      </w:r>
    </w:p>
    <w:p w14:paraId="29C4F3E7" w14:textId="77777777" w:rsidR="00360825" w:rsidRPr="00A54C9A" w:rsidRDefault="00360825" w:rsidP="001A7584">
      <w:pPr>
        <w:pStyle w:val="BodyText"/>
        <w:numPr>
          <w:ilvl w:val="1"/>
          <w:numId w:val="6"/>
        </w:numPr>
        <w:tabs>
          <w:tab w:val="clear" w:pos="1134"/>
          <w:tab w:val="num" w:pos="0"/>
        </w:tabs>
        <w:ind w:left="0" w:hanging="709"/>
        <w:rPr>
          <w:rFonts w:ascii="Arial" w:hAnsi="Arial" w:cs="Arial"/>
        </w:rPr>
      </w:pPr>
      <w:r w:rsidRPr="00B13575">
        <w:rPr>
          <w:rFonts w:ascii="Arial" w:hAnsi="Arial" w:cs="Arial"/>
        </w:rPr>
        <w:t xml:space="preserve">As with the labour demand approach completion trends should also include a margin for flexibility and replacement demand. As shown in the table below including these adjustments to preferred completions scenario results in an overall need for </w:t>
      </w:r>
      <w:r>
        <w:rPr>
          <w:rFonts w:ascii="Arial" w:hAnsi="Arial" w:cs="Arial"/>
        </w:rPr>
        <w:t>22.8</w:t>
      </w:r>
      <w:r w:rsidRPr="00B13575">
        <w:rPr>
          <w:rFonts w:ascii="Arial" w:hAnsi="Arial" w:cs="Arial"/>
        </w:rPr>
        <w:t xml:space="preserve"> Ha, the majority of which is for industrial employment land.</w:t>
      </w:r>
    </w:p>
    <w:p w14:paraId="03CDAC2E" w14:textId="77777777" w:rsidR="00360825" w:rsidRPr="00B13575" w:rsidRDefault="00360825" w:rsidP="001A7584">
      <w:pPr>
        <w:pStyle w:val="Heading4"/>
        <w:ind w:firstLine="0"/>
      </w:pPr>
      <w:r w:rsidRPr="00B13575">
        <w:t>Completion Trends - Overall Employment Land Need – Plan Area (2021 – 203</w:t>
      </w:r>
      <w:r>
        <w:t>9</w:t>
      </w:r>
      <w:r w:rsidRPr="00B13575">
        <w:t>)</w:t>
      </w:r>
    </w:p>
    <w:tbl>
      <w:tblPr>
        <w:tblW w:w="8784" w:type="dxa"/>
        <w:tblLayout w:type="fixed"/>
        <w:tblLook w:val="04A0" w:firstRow="1" w:lastRow="0" w:firstColumn="1" w:lastColumn="0" w:noHBand="0" w:noVBand="1"/>
      </w:tblPr>
      <w:tblGrid>
        <w:gridCol w:w="1696"/>
        <w:gridCol w:w="1871"/>
        <w:gridCol w:w="1106"/>
        <w:gridCol w:w="1502"/>
        <w:gridCol w:w="1304"/>
        <w:gridCol w:w="1305"/>
      </w:tblGrid>
      <w:tr w:rsidR="00360825" w:rsidRPr="00B13575" w14:paraId="1B2A89CF" w14:textId="77777777" w:rsidTr="00C04569">
        <w:trPr>
          <w:trHeight w:val="520"/>
        </w:trPr>
        <w:tc>
          <w:tcPr>
            <w:tcW w:w="169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4530A3A" w14:textId="77777777" w:rsidR="00360825" w:rsidRPr="00DE1AA1" w:rsidRDefault="00360825" w:rsidP="00C04569">
            <w:pPr>
              <w:spacing w:after="0" w:line="240" w:lineRule="auto"/>
              <w:jc w:val="left"/>
              <w:rPr>
                <w:rFonts w:ascii="Arial" w:hAnsi="Arial" w:cs="Arial"/>
                <w:color w:val="FFFFFF"/>
              </w:rPr>
            </w:pPr>
            <w:r w:rsidRPr="00DE1AA1">
              <w:rPr>
                <w:rFonts w:ascii="Arial" w:hAnsi="Arial" w:cs="Arial"/>
                <w:color w:val="FFFFFF"/>
              </w:rPr>
              <w:t> Type</w:t>
            </w:r>
          </w:p>
        </w:tc>
        <w:tc>
          <w:tcPr>
            <w:tcW w:w="1871" w:type="dxa"/>
            <w:tcBorders>
              <w:top w:val="single" w:sz="4" w:space="0" w:color="auto"/>
              <w:left w:val="nil"/>
              <w:bottom w:val="single" w:sz="4" w:space="0" w:color="auto"/>
              <w:right w:val="single" w:sz="4" w:space="0" w:color="auto"/>
            </w:tcBorders>
            <w:shd w:val="clear" w:color="000000" w:fill="002060"/>
            <w:vAlign w:val="center"/>
            <w:hideMark/>
          </w:tcPr>
          <w:p w14:paraId="00BBF850"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Net </w:t>
            </w:r>
          </w:p>
          <w:p w14:paraId="4631D31A"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Completion Trend</w:t>
            </w:r>
          </w:p>
        </w:tc>
        <w:tc>
          <w:tcPr>
            <w:tcW w:w="1106" w:type="dxa"/>
            <w:tcBorders>
              <w:top w:val="single" w:sz="4" w:space="0" w:color="auto"/>
              <w:left w:val="nil"/>
              <w:bottom w:val="single" w:sz="4" w:space="0" w:color="auto"/>
              <w:right w:val="single" w:sz="4" w:space="0" w:color="auto"/>
            </w:tcBorders>
            <w:shd w:val="clear" w:color="000000" w:fill="002060"/>
            <w:vAlign w:val="center"/>
            <w:hideMark/>
          </w:tcPr>
          <w:p w14:paraId="007C7593"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Flexible Margin</w:t>
            </w:r>
          </w:p>
        </w:tc>
        <w:tc>
          <w:tcPr>
            <w:tcW w:w="1502" w:type="dxa"/>
            <w:tcBorders>
              <w:top w:val="single" w:sz="4" w:space="0" w:color="auto"/>
              <w:left w:val="nil"/>
              <w:bottom w:val="single" w:sz="4" w:space="0" w:color="auto"/>
              <w:right w:val="single" w:sz="4" w:space="0" w:color="auto"/>
            </w:tcBorders>
            <w:shd w:val="clear" w:color="000000" w:fill="002060"/>
            <w:vAlign w:val="center"/>
            <w:hideMark/>
          </w:tcPr>
          <w:p w14:paraId="41B74146"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Replacement Demand</w:t>
            </w:r>
          </w:p>
        </w:tc>
        <w:tc>
          <w:tcPr>
            <w:tcW w:w="1304" w:type="dxa"/>
            <w:tcBorders>
              <w:top w:val="single" w:sz="4" w:space="0" w:color="auto"/>
              <w:left w:val="nil"/>
              <w:bottom w:val="single" w:sz="4" w:space="0" w:color="auto"/>
              <w:right w:val="single" w:sz="4" w:space="0" w:color="auto"/>
            </w:tcBorders>
            <w:shd w:val="clear" w:color="000000" w:fill="002060"/>
            <w:vAlign w:val="center"/>
            <w:hideMark/>
          </w:tcPr>
          <w:p w14:paraId="2E4FEF1A" w14:textId="5FBC232B"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Total Need </w:t>
            </w:r>
            <w:r w:rsidR="002B1913" w:rsidRPr="00DE1AA1">
              <w:rPr>
                <w:rFonts w:ascii="Arial" w:hAnsi="Arial" w:cs="Arial"/>
                <w:color w:val="FFFFFF"/>
              </w:rPr>
              <w:t xml:space="preserve">Sq. </w:t>
            </w:r>
            <w:r w:rsidRPr="00DE1AA1">
              <w:rPr>
                <w:rFonts w:ascii="Arial" w:hAnsi="Arial" w:cs="Arial"/>
                <w:color w:val="FFFFFF"/>
              </w:rPr>
              <w:t>M</w:t>
            </w:r>
          </w:p>
        </w:tc>
        <w:tc>
          <w:tcPr>
            <w:tcW w:w="1305" w:type="dxa"/>
            <w:tcBorders>
              <w:top w:val="single" w:sz="4" w:space="0" w:color="auto"/>
              <w:left w:val="nil"/>
              <w:bottom w:val="single" w:sz="4" w:space="0" w:color="auto"/>
              <w:right w:val="single" w:sz="4" w:space="0" w:color="auto"/>
            </w:tcBorders>
            <w:shd w:val="clear" w:color="000000" w:fill="002060"/>
            <w:vAlign w:val="center"/>
            <w:hideMark/>
          </w:tcPr>
          <w:p w14:paraId="4B948120"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Ha</w:t>
            </w:r>
          </w:p>
        </w:tc>
      </w:tr>
      <w:tr w:rsidR="00360825" w:rsidRPr="00B13575" w14:paraId="2E0ED6EE" w14:textId="77777777" w:rsidTr="00C04569">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9F5943A"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1871" w:type="dxa"/>
            <w:tcBorders>
              <w:top w:val="nil"/>
              <w:left w:val="nil"/>
              <w:bottom w:val="single" w:sz="4" w:space="0" w:color="auto"/>
              <w:right w:val="single" w:sz="4" w:space="0" w:color="auto"/>
            </w:tcBorders>
            <w:shd w:val="clear" w:color="auto" w:fill="auto"/>
            <w:noWrap/>
            <w:vAlign w:val="center"/>
            <w:hideMark/>
          </w:tcPr>
          <w:p w14:paraId="6D446097"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24,362</w:t>
            </w:r>
          </w:p>
        </w:tc>
        <w:tc>
          <w:tcPr>
            <w:tcW w:w="1106" w:type="dxa"/>
            <w:tcBorders>
              <w:top w:val="nil"/>
              <w:left w:val="nil"/>
              <w:bottom w:val="single" w:sz="4" w:space="0" w:color="auto"/>
              <w:right w:val="single" w:sz="4" w:space="0" w:color="auto"/>
            </w:tcBorders>
            <w:shd w:val="clear" w:color="auto" w:fill="auto"/>
            <w:noWrap/>
            <w:vAlign w:val="center"/>
            <w:hideMark/>
          </w:tcPr>
          <w:p w14:paraId="733A73C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5,850</w:t>
            </w:r>
          </w:p>
        </w:tc>
        <w:tc>
          <w:tcPr>
            <w:tcW w:w="1502" w:type="dxa"/>
            <w:tcBorders>
              <w:top w:val="nil"/>
              <w:left w:val="nil"/>
              <w:bottom w:val="single" w:sz="4" w:space="0" w:color="auto"/>
              <w:right w:val="single" w:sz="4" w:space="0" w:color="auto"/>
            </w:tcBorders>
            <w:shd w:val="clear" w:color="auto" w:fill="auto"/>
            <w:noWrap/>
            <w:vAlign w:val="center"/>
            <w:hideMark/>
          </w:tcPr>
          <w:p w14:paraId="2479252A"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13,835</w:t>
            </w:r>
          </w:p>
        </w:tc>
        <w:tc>
          <w:tcPr>
            <w:tcW w:w="1304" w:type="dxa"/>
            <w:tcBorders>
              <w:top w:val="nil"/>
              <w:left w:val="nil"/>
              <w:bottom w:val="single" w:sz="4" w:space="0" w:color="auto"/>
              <w:right w:val="single" w:sz="4" w:space="0" w:color="auto"/>
            </w:tcBorders>
            <w:shd w:val="clear" w:color="auto" w:fill="auto"/>
            <w:noWrap/>
            <w:vAlign w:val="center"/>
            <w:hideMark/>
          </w:tcPr>
          <w:p w14:paraId="56937DD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44,047</w:t>
            </w:r>
          </w:p>
        </w:tc>
        <w:tc>
          <w:tcPr>
            <w:tcW w:w="1305" w:type="dxa"/>
            <w:tcBorders>
              <w:top w:val="nil"/>
              <w:left w:val="nil"/>
              <w:bottom w:val="single" w:sz="4" w:space="0" w:color="auto"/>
              <w:right w:val="single" w:sz="4" w:space="0" w:color="auto"/>
            </w:tcBorders>
            <w:shd w:val="clear" w:color="auto" w:fill="auto"/>
            <w:noWrap/>
            <w:vAlign w:val="center"/>
            <w:hideMark/>
          </w:tcPr>
          <w:p w14:paraId="734EB8A7"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5.9</w:t>
            </w:r>
          </w:p>
        </w:tc>
      </w:tr>
      <w:tr w:rsidR="00360825" w:rsidRPr="00B13575" w14:paraId="4852BD35" w14:textId="77777777" w:rsidTr="00C04569">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A583078"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1871" w:type="dxa"/>
            <w:tcBorders>
              <w:top w:val="nil"/>
              <w:left w:val="nil"/>
              <w:bottom w:val="single" w:sz="4" w:space="0" w:color="auto"/>
              <w:right w:val="single" w:sz="4" w:space="0" w:color="auto"/>
            </w:tcBorders>
            <w:shd w:val="clear" w:color="auto" w:fill="auto"/>
            <w:noWrap/>
            <w:vAlign w:val="center"/>
            <w:hideMark/>
          </w:tcPr>
          <w:p w14:paraId="7448346C"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27,012</w:t>
            </w:r>
          </w:p>
        </w:tc>
        <w:tc>
          <w:tcPr>
            <w:tcW w:w="1106" w:type="dxa"/>
            <w:tcBorders>
              <w:top w:val="nil"/>
              <w:left w:val="nil"/>
              <w:bottom w:val="single" w:sz="4" w:space="0" w:color="auto"/>
              <w:right w:val="single" w:sz="4" w:space="0" w:color="auto"/>
            </w:tcBorders>
            <w:shd w:val="clear" w:color="auto" w:fill="auto"/>
            <w:noWrap/>
            <w:vAlign w:val="center"/>
            <w:hideMark/>
          </w:tcPr>
          <w:p w14:paraId="1110025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10,761</w:t>
            </w:r>
          </w:p>
        </w:tc>
        <w:tc>
          <w:tcPr>
            <w:tcW w:w="1502" w:type="dxa"/>
            <w:tcBorders>
              <w:top w:val="nil"/>
              <w:left w:val="nil"/>
              <w:bottom w:val="single" w:sz="4" w:space="0" w:color="auto"/>
              <w:right w:val="single" w:sz="4" w:space="0" w:color="auto"/>
            </w:tcBorders>
            <w:shd w:val="clear" w:color="auto" w:fill="auto"/>
            <w:noWrap/>
            <w:vAlign w:val="center"/>
            <w:hideMark/>
          </w:tcPr>
          <w:p w14:paraId="2E371EEC"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12,724</w:t>
            </w:r>
          </w:p>
        </w:tc>
        <w:tc>
          <w:tcPr>
            <w:tcW w:w="1304" w:type="dxa"/>
            <w:tcBorders>
              <w:top w:val="nil"/>
              <w:left w:val="nil"/>
              <w:bottom w:val="single" w:sz="4" w:space="0" w:color="auto"/>
              <w:right w:val="single" w:sz="4" w:space="0" w:color="auto"/>
            </w:tcBorders>
            <w:shd w:val="clear" w:color="auto" w:fill="auto"/>
            <w:noWrap/>
            <w:vAlign w:val="center"/>
            <w:hideMark/>
          </w:tcPr>
          <w:p w14:paraId="13AA109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50,497</w:t>
            </w:r>
          </w:p>
        </w:tc>
        <w:tc>
          <w:tcPr>
            <w:tcW w:w="1305" w:type="dxa"/>
            <w:tcBorders>
              <w:top w:val="nil"/>
              <w:left w:val="nil"/>
              <w:bottom w:val="single" w:sz="4" w:space="0" w:color="auto"/>
              <w:right w:val="single" w:sz="4" w:space="0" w:color="auto"/>
            </w:tcBorders>
            <w:shd w:val="clear" w:color="auto" w:fill="auto"/>
            <w:noWrap/>
            <w:vAlign w:val="center"/>
            <w:hideMark/>
          </w:tcPr>
          <w:p w14:paraId="7E4C187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12.6</w:t>
            </w:r>
          </w:p>
        </w:tc>
      </w:tr>
      <w:tr w:rsidR="00360825" w:rsidRPr="00B13575" w14:paraId="3CC5DF35" w14:textId="77777777" w:rsidTr="00C04569">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9317465"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1871" w:type="dxa"/>
            <w:tcBorders>
              <w:top w:val="nil"/>
              <w:left w:val="nil"/>
              <w:bottom w:val="single" w:sz="4" w:space="0" w:color="auto"/>
              <w:right w:val="single" w:sz="4" w:space="0" w:color="auto"/>
            </w:tcBorders>
            <w:shd w:val="clear" w:color="auto" w:fill="auto"/>
            <w:noWrap/>
            <w:vAlign w:val="center"/>
            <w:hideMark/>
          </w:tcPr>
          <w:p w14:paraId="694B0DD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-12,298</w:t>
            </w:r>
          </w:p>
        </w:tc>
        <w:tc>
          <w:tcPr>
            <w:tcW w:w="1106" w:type="dxa"/>
            <w:tcBorders>
              <w:top w:val="nil"/>
              <w:left w:val="nil"/>
              <w:bottom w:val="single" w:sz="4" w:space="0" w:color="auto"/>
              <w:right w:val="single" w:sz="4" w:space="0" w:color="auto"/>
            </w:tcBorders>
            <w:shd w:val="clear" w:color="auto" w:fill="auto"/>
            <w:noWrap/>
            <w:vAlign w:val="center"/>
            <w:hideMark/>
          </w:tcPr>
          <w:p w14:paraId="7F601347"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7,689</w:t>
            </w:r>
          </w:p>
        </w:tc>
        <w:tc>
          <w:tcPr>
            <w:tcW w:w="1502" w:type="dxa"/>
            <w:tcBorders>
              <w:top w:val="nil"/>
              <w:left w:val="nil"/>
              <w:bottom w:val="single" w:sz="4" w:space="0" w:color="auto"/>
              <w:right w:val="single" w:sz="4" w:space="0" w:color="auto"/>
            </w:tcBorders>
            <w:shd w:val="clear" w:color="auto" w:fill="auto"/>
            <w:noWrap/>
            <w:vAlign w:val="center"/>
            <w:hideMark/>
          </w:tcPr>
          <w:p w14:paraId="23D080E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25,898</w:t>
            </w:r>
          </w:p>
        </w:tc>
        <w:tc>
          <w:tcPr>
            <w:tcW w:w="1304" w:type="dxa"/>
            <w:tcBorders>
              <w:top w:val="nil"/>
              <w:left w:val="nil"/>
              <w:bottom w:val="single" w:sz="4" w:space="0" w:color="auto"/>
              <w:right w:val="single" w:sz="4" w:space="0" w:color="auto"/>
            </w:tcBorders>
            <w:shd w:val="clear" w:color="auto" w:fill="auto"/>
            <w:noWrap/>
            <w:vAlign w:val="center"/>
            <w:hideMark/>
          </w:tcPr>
          <w:p w14:paraId="10ED1BC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21,288</w:t>
            </w:r>
          </w:p>
        </w:tc>
        <w:tc>
          <w:tcPr>
            <w:tcW w:w="1305" w:type="dxa"/>
            <w:tcBorders>
              <w:top w:val="nil"/>
              <w:left w:val="nil"/>
              <w:bottom w:val="single" w:sz="4" w:space="0" w:color="auto"/>
              <w:right w:val="single" w:sz="4" w:space="0" w:color="auto"/>
            </w:tcBorders>
            <w:shd w:val="clear" w:color="auto" w:fill="auto"/>
            <w:noWrap/>
            <w:vAlign w:val="center"/>
            <w:hideMark/>
          </w:tcPr>
          <w:p w14:paraId="734F1AD9"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4.3</w:t>
            </w:r>
          </w:p>
        </w:tc>
      </w:tr>
      <w:tr w:rsidR="00360825" w:rsidRPr="00B13575" w14:paraId="20852AC1" w14:textId="77777777" w:rsidTr="00C04569">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E10CF25"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1871" w:type="dxa"/>
            <w:tcBorders>
              <w:top w:val="nil"/>
              <w:left w:val="nil"/>
              <w:bottom w:val="single" w:sz="4" w:space="0" w:color="auto"/>
              <w:right w:val="single" w:sz="4" w:space="0" w:color="auto"/>
            </w:tcBorders>
            <w:shd w:val="clear" w:color="auto" w:fill="auto"/>
            <w:noWrap/>
            <w:vAlign w:val="center"/>
            <w:hideMark/>
          </w:tcPr>
          <w:p w14:paraId="35E77E9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39,076</w:t>
            </w:r>
          </w:p>
        </w:tc>
        <w:tc>
          <w:tcPr>
            <w:tcW w:w="1106" w:type="dxa"/>
            <w:tcBorders>
              <w:top w:val="nil"/>
              <w:left w:val="nil"/>
              <w:bottom w:val="single" w:sz="4" w:space="0" w:color="auto"/>
              <w:right w:val="single" w:sz="4" w:space="0" w:color="auto"/>
            </w:tcBorders>
            <w:shd w:val="clear" w:color="auto" w:fill="auto"/>
            <w:noWrap/>
            <w:vAlign w:val="center"/>
            <w:hideMark/>
          </w:tcPr>
          <w:p w14:paraId="0CEFE031"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24,300</w:t>
            </w:r>
          </w:p>
        </w:tc>
        <w:tc>
          <w:tcPr>
            <w:tcW w:w="1502" w:type="dxa"/>
            <w:tcBorders>
              <w:top w:val="nil"/>
              <w:left w:val="nil"/>
              <w:bottom w:val="single" w:sz="4" w:space="0" w:color="auto"/>
              <w:right w:val="single" w:sz="4" w:space="0" w:color="auto"/>
            </w:tcBorders>
            <w:shd w:val="clear" w:color="auto" w:fill="auto"/>
            <w:noWrap/>
            <w:vAlign w:val="center"/>
            <w:hideMark/>
          </w:tcPr>
          <w:p w14:paraId="697864E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52,457</w:t>
            </w:r>
          </w:p>
        </w:tc>
        <w:tc>
          <w:tcPr>
            <w:tcW w:w="1304" w:type="dxa"/>
            <w:tcBorders>
              <w:top w:val="nil"/>
              <w:left w:val="nil"/>
              <w:bottom w:val="single" w:sz="4" w:space="0" w:color="auto"/>
              <w:right w:val="single" w:sz="4" w:space="0" w:color="auto"/>
            </w:tcBorders>
            <w:shd w:val="clear" w:color="auto" w:fill="auto"/>
            <w:noWrap/>
            <w:vAlign w:val="center"/>
            <w:hideMark/>
          </w:tcPr>
          <w:p w14:paraId="4AC3FF7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115,832</w:t>
            </w:r>
          </w:p>
        </w:tc>
        <w:tc>
          <w:tcPr>
            <w:tcW w:w="1305" w:type="dxa"/>
            <w:tcBorders>
              <w:top w:val="nil"/>
              <w:left w:val="nil"/>
              <w:bottom w:val="single" w:sz="4" w:space="0" w:color="auto"/>
              <w:right w:val="single" w:sz="4" w:space="0" w:color="auto"/>
            </w:tcBorders>
            <w:shd w:val="clear" w:color="auto" w:fill="auto"/>
            <w:noWrap/>
            <w:vAlign w:val="center"/>
            <w:hideMark/>
          </w:tcPr>
          <w:p w14:paraId="5C2C09EA"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22.8</w:t>
            </w:r>
          </w:p>
        </w:tc>
      </w:tr>
    </w:tbl>
    <w:p w14:paraId="2FC5F24D" w14:textId="77777777" w:rsidR="00360825" w:rsidRDefault="00360825" w:rsidP="00360825">
      <w:pPr>
        <w:rPr>
          <w:rFonts w:ascii="Arial" w:hAnsi="Arial" w:cs="Arial"/>
        </w:rPr>
      </w:pPr>
      <w:r w:rsidRPr="00B13575">
        <w:rPr>
          <w:rFonts w:ascii="Arial" w:hAnsi="Arial" w:cs="Arial"/>
        </w:rPr>
        <w:t xml:space="preserve">Source: Iceni analysis of </w:t>
      </w:r>
      <w:r>
        <w:rPr>
          <w:rFonts w:ascii="Arial" w:hAnsi="Arial" w:cs="Arial"/>
        </w:rPr>
        <w:t>Chichester District Council</w:t>
      </w:r>
      <w:r w:rsidRPr="00B13575">
        <w:rPr>
          <w:rFonts w:ascii="Arial" w:hAnsi="Arial" w:cs="Arial"/>
        </w:rPr>
        <w:t xml:space="preserve"> monitoring data</w:t>
      </w:r>
    </w:p>
    <w:p w14:paraId="57ED32B0" w14:textId="4566871D" w:rsidR="00360825" w:rsidRDefault="00360825" w:rsidP="001A7584">
      <w:pPr>
        <w:pStyle w:val="BodyText"/>
        <w:numPr>
          <w:ilvl w:val="1"/>
          <w:numId w:val="6"/>
        </w:numPr>
        <w:tabs>
          <w:tab w:val="num" w:pos="0"/>
        </w:tabs>
        <w:ind w:left="0" w:hanging="709"/>
        <w:rPr>
          <w:rFonts w:ascii="Arial" w:hAnsi="Arial" w:cs="Arial"/>
        </w:rPr>
      </w:pPr>
      <w:r w:rsidRPr="003745B1">
        <w:rPr>
          <w:rFonts w:ascii="Arial" w:hAnsi="Arial" w:cs="Arial"/>
        </w:rPr>
        <w:t>For comparison</w:t>
      </w:r>
      <w:r>
        <w:rPr>
          <w:rFonts w:ascii="Arial" w:hAnsi="Arial" w:cs="Arial"/>
        </w:rPr>
        <w:t xml:space="preserve"> only</w:t>
      </w:r>
      <w:r w:rsidRPr="003745B1">
        <w:rPr>
          <w:rFonts w:ascii="Arial" w:hAnsi="Arial" w:cs="Arial"/>
        </w:rPr>
        <w:t>, we have also examined VOA floorspace data which is taken from ratings information</w:t>
      </w:r>
      <w:r w:rsidR="002B1913" w:rsidRPr="003745B1">
        <w:rPr>
          <w:rFonts w:ascii="Arial" w:hAnsi="Arial" w:cs="Arial"/>
        </w:rPr>
        <w:t xml:space="preserve">. </w:t>
      </w:r>
      <w:r w:rsidRPr="003745B1">
        <w:rPr>
          <w:rFonts w:ascii="Arial" w:hAnsi="Arial" w:cs="Arial"/>
        </w:rPr>
        <w:t>However, this data is not disaggregated by warehouse and distribution and also does not include the most recent year of completions</w:t>
      </w:r>
      <w:r w:rsidR="002B1913" w:rsidRPr="003745B1">
        <w:rPr>
          <w:rFonts w:ascii="Arial" w:hAnsi="Arial" w:cs="Arial"/>
        </w:rPr>
        <w:t>.</w:t>
      </w:r>
      <w:r w:rsidR="002B1913">
        <w:rPr>
          <w:rFonts w:ascii="Arial" w:hAnsi="Arial" w:cs="Arial"/>
        </w:rPr>
        <w:t xml:space="preserve"> </w:t>
      </w:r>
      <w:r>
        <w:rPr>
          <w:rFonts w:ascii="Arial" w:hAnsi="Arial" w:cs="Arial"/>
        </w:rPr>
        <w:t>This data is also for the whole district we have therefore reduced the need by 85%.</w:t>
      </w:r>
    </w:p>
    <w:p w14:paraId="661CB679" w14:textId="07DDB15E" w:rsidR="009273C8" w:rsidRPr="009273C8" w:rsidRDefault="00360825" w:rsidP="001A7584">
      <w:pPr>
        <w:pStyle w:val="BodyText"/>
        <w:numPr>
          <w:ilvl w:val="1"/>
          <w:numId w:val="6"/>
        </w:numPr>
        <w:tabs>
          <w:tab w:val="num" w:pos="0"/>
        </w:tabs>
        <w:ind w:left="0" w:hanging="709"/>
        <w:rPr>
          <w:rFonts w:ascii="Arial" w:hAnsi="Arial" w:cs="Arial"/>
        </w:rPr>
      </w:pPr>
      <w:r w:rsidRPr="003745B1">
        <w:rPr>
          <w:rFonts w:ascii="Arial" w:hAnsi="Arial" w:cs="Arial"/>
        </w:rPr>
        <w:t>As shown in this table below, the need for offices is negative while industrial use i</w:t>
      </w:r>
      <w:r>
        <w:rPr>
          <w:rFonts w:ascii="Arial" w:hAnsi="Arial" w:cs="Arial"/>
        </w:rPr>
        <w:t>s</w:t>
      </w:r>
      <w:r w:rsidRPr="003745B1">
        <w:rPr>
          <w:rFonts w:ascii="Arial" w:hAnsi="Arial" w:cs="Arial"/>
        </w:rPr>
        <w:t xml:space="preserve"> around </w:t>
      </w:r>
      <w:r>
        <w:rPr>
          <w:rFonts w:ascii="Arial" w:hAnsi="Arial" w:cs="Arial"/>
        </w:rPr>
        <w:t>19.5 sq. m for industrial use which compares to</w:t>
      </w:r>
      <w:r w:rsidRPr="003745B1">
        <w:rPr>
          <w:rFonts w:ascii="Arial" w:hAnsi="Arial" w:cs="Arial"/>
        </w:rPr>
        <w:t xml:space="preserve"> </w:t>
      </w:r>
      <w:r>
        <w:rPr>
          <w:rFonts w:ascii="Arial" w:hAnsi="Arial" w:cs="Arial"/>
        </w:rPr>
        <w:t>16.9 Ha using the Council data which also includes a number of additional adjustments</w:t>
      </w:r>
      <w:r w:rsidR="009273C8">
        <w:rPr>
          <w:rFonts w:ascii="Arial" w:hAnsi="Arial" w:cs="Arial"/>
        </w:rPr>
        <w:t>.</w:t>
      </w:r>
    </w:p>
    <w:p w14:paraId="3BFB6637" w14:textId="77777777" w:rsidR="009273C8" w:rsidRDefault="009273C8">
      <w:pPr>
        <w:spacing w:after="0" w:line="240" w:lineRule="auto"/>
        <w:jc w:val="left"/>
        <w:rPr>
          <w:b/>
          <w:color w:val="646464" w:themeColor="background2"/>
        </w:rPr>
      </w:pPr>
      <w:r>
        <w:br w:type="page"/>
      </w:r>
    </w:p>
    <w:p w14:paraId="403778C4" w14:textId="542558CC" w:rsidR="00360825" w:rsidRPr="003745B1" w:rsidRDefault="009273C8" w:rsidP="001A7584">
      <w:pPr>
        <w:pStyle w:val="Heading4"/>
        <w:ind w:firstLine="0"/>
      </w:pPr>
      <w:r>
        <w:lastRenderedPageBreak/>
        <w:t xml:space="preserve">- </w:t>
      </w:r>
      <w:r w:rsidR="00360825" w:rsidRPr="003745B1">
        <w:t>Employment Land Need based on Completion Trends (2021-2039)</w:t>
      </w:r>
    </w:p>
    <w:tbl>
      <w:tblPr>
        <w:tblW w:w="8217" w:type="dxa"/>
        <w:tblLook w:val="04A0" w:firstRow="1" w:lastRow="0" w:firstColumn="1" w:lastColumn="0" w:noHBand="0" w:noVBand="1"/>
      </w:tblPr>
      <w:tblGrid>
        <w:gridCol w:w="1540"/>
        <w:gridCol w:w="1900"/>
        <w:gridCol w:w="1800"/>
        <w:gridCol w:w="1418"/>
        <w:gridCol w:w="1559"/>
      </w:tblGrid>
      <w:tr w:rsidR="00360825" w:rsidRPr="003745B1" w14:paraId="3DE3416C" w14:textId="77777777" w:rsidTr="00C04569">
        <w:trPr>
          <w:trHeight w:val="528"/>
        </w:trPr>
        <w:tc>
          <w:tcPr>
            <w:tcW w:w="1540"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2B20D743" w14:textId="77777777" w:rsidR="00360825" w:rsidRPr="003745B1" w:rsidRDefault="00360825" w:rsidP="00C04569">
            <w:pPr>
              <w:spacing w:after="0" w:line="240" w:lineRule="auto"/>
              <w:jc w:val="left"/>
              <w:rPr>
                <w:rFonts w:ascii="Arial" w:hAnsi="Arial" w:cs="Arial"/>
                <w:b/>
                <w:bCs/>
                <w:color w:val="FFFFFF"/>
              </w:rPr>
            </w:pPr>
            <w:r w:rsidRPr="003745B1">
              <w:rPr>
                <w:rFonts w:ascii="Arial" w:hAnsi="Arial" w:cs="Arial"/>
                <w:b/>
                <w:bCs/>
                <w:color w:val="FFFFFF"/>
              </w:rPr>
              <w:t>Area</w:t>
            </w:r>
          </w:p>
        </w:tc>
        <w:tc>
          <w:tcPr>
            <w:tcW w:w="1900" w:type="dxa"/>
            <w:tcBorders>
              <w:top w:val="single" w:sz="4" w:space="0" w:color="auto"/>
              <w:left w:val="nil"/>
              <w:bottom w:val="single" w:sz="4" w:space="0" w:color="auto"/>
              <w:right w:val="single" w:sz="4" w:space="0" w:color="auto"/>
            </w:tcBorders>
            <w:shd w:val="clear" w:color="000000" w:fill="002060"/>
            <w:vAlign w:val="bottom"/>
            <w:hideMark/>
          </w:tcPr>
          <w:p w14:paraId="25EEF9F0" w14:textId="77777777" w:rsidR="00360825" w:rsidRPr="003745B1" w:rsidRDefault="00360825" w:rsidP="00C04569">
            <w:pPr>
              <w:spacing w:after="0" w:line="240" w:lineRule="auto"/>
              <w:jc w:val="center"/>
              <w:rPr>
                <w:rFonts w:ascii="Arial" w:hAnsi="Arial" w:cs="Arial"/>
                <w:color w:val="FFFFFF"/>
              </w:rPr>
            </w:pPr>
            <w:r w:rsidRPr="003745B1">
              <w:rPr>
                <w:rFonts w:ascii="Arial" w:hAnsi="Arial" w:cs="Arial"/>
                <w:color w:val="FFFFFF"/>
              </w:rPr>
              <w:t>Total Change 2000/01-2019/20</w:t>
            </w:r>
          </w:p>
        </w:tc>
        <w:tc>
          <w:tcPr>
            <w:tcW w:w="1800" w:type="dxa"/>
            <w:tcBorders>
              <w:top w:val="single" w:sz="4" w:space="0" w:color="auto"/>
              <w:left w:val="nil"/>
              <w:bottom w:val="single" w:sz="4" w:space="0" w:color="auto"/>
              <w:right w:val="single" w:sz="4" w:space="0" w:color="auto"/>
            </w:tcBorders>
            <w:shd w:val="clear" w:color="000000" w:fill="002060"/>
            <w:vAlign w:val="bottom"/>
            <w:hideMark/>
          </w:tcPr>
          <w:p w14:paraId="5BF7226F" w14:textId="77777777" w:rsidR="00360825" w:rsidRPr="003745B1" w:rsidRDefault="00360825" w:rsidP="00C04569">
            <w:pPr>
              <w:spacing w:after="0" w:line="240" w:lineRule="auto"/>
              <w:jc w:val="center"/>
              <w:rPr>
                <w:rFonts w:ascii="Arial" w:hAnsi="Arial" w:cs="Arial"/>
                <w:color w:val="FFFFFF"/>
              </w:rPr>
            </w:pPr>
            <w:r w:rsidRPr="003745B1">
              <w:rPr>
                <w:rFonts w:ascii="Arial" w:hAnsi="Arial" w:cs="Arial"/>
                <w:color w:val="FFFFFF"/>
              </w:rPr>
              <w:t>Annual Change 2000/01-2019/20</w:t>
            </w:r>
          </w:p>
        </w:tc>
        <w:tc>
          <w:tcPr>
            <w:tcW w:w="1418" w:type="dxa"/>
            <w:tcBorders>
              <w:top w:val="single" w:sz="4" w:space="0" w:color="auto"/>
              <w:left w:val="nil"/>
              <w:bottom w:val="single" w:sz="4" w:space="0" w:color="auto"/>
              <w:right w:val="single" w:sz="4" w:space="0" w:color="auto"/>
            </w:tcBorders>
            <w:shd w:val="clear" w:color="000000" w:fill="002060"/>
            <w:vAlign w:val="bottom"/>
            <w:hideMark/>
          </w:tcPr>
          <w:p w14:paraId="32F0E9A5" w14:textId="77777777" w:rsidR="00360825" w:rsidRPr="003745B1" w:rsidRDefault="00360825" w:rsidP="00C04569">
            <w:pPr>
              <w:spacing w:after="0" w:line="240" w:lineRule="auto"/>
              <w:jc w:val="center"/>
              <w:rPr>
                <w:rFonts w:ascii="Arial" w:hAnsi="Arial" w:cs="Arial"/>
                <w:color w:val="FFFFFF"/>
              </w:rPr>
            </w:pPr>
            <w:r w:rsidRPr="003745B1">
              <w:rPr>
                <w:rFonts w:ascii="Arial" w:hAnsi="Arial" w:cs="Arial"/>
                <w:color w:val="FFFFFF"/>
              </w:rPr>
              <w:t>Projected Need (Sq. M)</w:t>
            </w:r>
          </w:p>
        </w:tc>
        <w:tc>
          <w:tcPr>
            <w:tcW w:w="1559" w:type="dxa"/>
            <w:tcBorders>
              <w:top w:val="single" w:sz="4" w:space="0" w:color="auto"/>
              <w:left w:val="nil"/>
              <w:bottom w:val="single" w:sz="4" w:space="0" w:color="auto"/>
              <w:right w:val="single" w:sz="4" w:space="0" w:color="auto"/>
            </w:tcBorders>
            <w:shd w:val="clear" w:color="000000" w:fill="002060"/>
            <w:vAlign w:val="bottom"/>
            <w:hideMark/>
          </w:tcPr>
          <w:p w14:paraId="5F40394E" w14:textId="77777777" w:rsidR="00360825" w:rsidRPr="003745B1" w:rsidRDefault="00360825" w:rsidP="00C04569">
            <w:pPr>
              <w:spacing w:after="0" w:line="240" w:lineRule="auto"/>
              <w:jc w:val="center"/>
              <w:rPr>
                <w:rFonts w:ascii="Arial" w:hAnsi="Arial" w:cs="Arial"/>
                <w:color w:val="FFFFFF"/>
              </w:rPr>
            </w:pPr>
            <w:r w:rsidRPr="003745B1">
              <w:rPr>
                <w:rFonts w:ascii="Arial" w:hAnsi="Arial" w:cs="Arial"/>
                <w:color w:val="FFFFFF"/>
              </w:rPr>
              <w:t>Projected Need (Ha)</w:t>
            </w:r>
          </w:p>
        </w:tc>
      </w:tr>
      <w:tr w:rsidR="00360825" w:rsidRPr="003745B1" w14:paraId="75284845" w14:textId="77777777" w:rsidTr="00C04569">
        <w:trPr>
          <w:trHeight w:val="290"/>
        </w:trPr>
        <w:tc>
          <w:tcPr>
            <w:tcW w:w="154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251AF24" w14:textId="77777777" w:rsidR="00360825" w:rsidRPr="003745B1" w:rsidRDefault="00360825" w:rsidP="00C04569">
            <w:pPr>
              <w:spacing w:after="0" w:line="240" w:lineRule="auto"/>
              <w:jc w:val="left"/>
              <w:rPr>
                <w:rFonts w:ascii="Arial" w:hAnsi="Arial" w:cs="Arial"/>
                <w:color w:val="000000"/>
              </w:rPr>
            </w:pPr>
            <w:r w:rsidRPr="003745B1">
              <w:rPr>
                <w:rFonts w:ascii="Arial" w:hAnsi="Arial" w:cs="Arial"/>
                <w:color w:val="000000"/>
              </w:rPr>
              <w:t>Office</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22B8C8EE"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-11,000</w:t>
            </w:r>
          </w:p>
        </w:tc>
        <w:tc>
          <w:tcPr>
            <w:tcW w:w="1800" w:type="dxa"/>
            <w:tcBorders>
              <w:top w:val="nil"/>
              <w:left w:val="nil"/>
              <w:bottom w:val="single" w:sz="4" w:space="0" w:color="auto"/>
              <w:right w:val="single" w:sz="4" w:space="0" w:color="auto"/>
            </w:tcBorders>
            <w:shd w:val="clear" w:color="auto" w:fill="FFFFFF" w:themeFill="background1"/>
            <w:noWrap/>
            <w:vAlign w:val="bottom"/>
            <w:hideMark/>
          </w:tcPr>
          <w:p w14:paraId="26010590"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-579</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14:paraId="103F3A82"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-8,337</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4B454DB"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-1.1</w:t>
            </w:r>
          </w:p>
        </w:tc>
      </w:tr>
      <w:tr w:rsidR="00360825" w:rsidRPr="003745B1" w14:paraId="576B6B39" w14:textId="77777777" w:rsidTr="00C04569">
        <w:trPr>
          <w:trHeight w:val="290"/>
        </w:trPr>
        <w:tc>
          <w:tcPr>
            <w:tcW w:w="154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56982CB" w14:textId="77777777" w:rsidR="00360825" w:rsidRPr="003745B1" w:rsidRDefault="00360825" w:rsidP="00C04569">
            <w:pPr>
              <w:spacing w:after="0" w:line="240" w:lineRule="auto"/>
              <w:jc w:val="left"/>
              <w:rPr>
                <w:rFonts w:ascii="Arial" w:hAnsi="Arial" w:cs="Arial"/>
              </w:rPr>
            </w:pPr>
            <w:r w:rsidRPr="003745B1">
              <w:rPr>
                <w:rFonts w:ascii="Arial" w:hAnsi="Arial" w:cs="Arial"/>
              </w:rPr>
              <w:t>Industrial</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5BCB65CF"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116,000</w:t>
            </w:r>
          </w:p>
        </w:tc>
        <w:tc>
          <w:tcPr>
            <w:tcW w:w="1800" w:type="dxa"/>
            <w:tcBorders>
              <w:top w:val="nil"/>
              <w:left w:val="nil"/>
              <w:bottom w:val="single" w:sz="4" w:space="0" w:color="auto"/>
              <w:right w:val="single" w:sz="4" w:space="0" w:color="auto"/>
            </w:tcBorders>
            <w:shd w:val="clear" w:color="auto" w:fill="FFFFFF" w:themeFill="background1"/>
            <w:noWrap/>
            <w:vAlign w:val="bottom"/>
            <w:hideMark/>
          </w:tcPr>
          <w:p w14:paraId="250D9BA7"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6,105</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14:paraId="16192D43"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87,916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EEA23C7"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19.5</w:t>
            </w:r>
          </w:p>
        </w:tc>
      </w:tr>
      <w:tr w:rsidR="00360825" w:rsidRPr="003745B1" w14:paraId="7B46673E" w14:textId="77777777" w:rsidTr="00C04569">
        <w:trPr>
          <w:trHeight w:val="290"/>
        </w:trPr>
        <w:tc>
          <w:tcPr>
            <w:tcW w:w="154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EFD530E" w14:textId="77777777" w:rsidR="00360825" w:rsidRPr="003745B1" w:rsidRDefault="00360825" w:rsidP="00C04569">
            <w:pPr>
              <w:spacing w:after="0" w:line="240" w:lineRule="auto"/>
              <w:jc w:val="left"/>
              <w:rPr>
                <w:rFonts w:ascii="Arial" w:hAnsi="Arial" w:cs="Arial"/>
                <w:color w:val="000000"/>
              </w:rPr>
            </w:pPr>
            <w:r w:rsidRPr="003745B1">
              <w:rPr>
                <w:rFonts w:ascii="Arial" w:hAnsi="Arial" w:cs="Arial"/>
                <w:color w:val="000000"/>
              </w:rPr>
              <w:t>Total</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676828C2"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105,000</w:t>
            </w:r>
          </w:p>
        </w:tc>
        <w:tc>
          <w:tcPr>
            <w:tcW w:w="1800" w:type="dxa"/>
            <w:tcBorders>
              <w:top w:val="nil"/>
              <w:left w:val="nil"/>
              <w:bottom w:val="single" w:sz="4" w:space="0" w:color="auto"/>
              <w:right w:val="single" w:sz="4" w:space="0" w:color="auto"/>
            </w:tcBorders>
            <w:shd w:val="clear" w:color="auto" w:fill="FFFFFF" w:themeFill="background1"/>
            <w:noWrap/>
            <w:vAlign w:val="bottom"/>
            <w:hideMark/>
          </w:tcPr>
          <w:p w14:paraId="21F0912A"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5,526</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14:paraId="24FDC74F"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79,579</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6D3ED61"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18.4</w:t>
            </w:r>
          </w:p>
        </w:tc>
      </w:tr>
    </w:tbl>
    <w:p w14:paraId="56F3C0E4" w14:textId="77777777" w:rsidR="00360825" w:rsidRDefault="00360825" w:rsidP="00360825">
      <w:pPr>
        <w:rPr>
          <w:rFonts w:ascii="Arial" w:hAnsi="Arial" w:cs="Arial"/>
        </w:rPr>
      </w:pPr>
      <w:r w:rsidRPr="00B13575">
        <w:rPr>
          <w:rFonts w:ascii="Arial" w:hAnsi="Arial" w:cs="Arial"/>
        </w:rPr>
        <w:t xml:space="preserve">Source: Iceni analysis of </w:t>
      </w:r>
      <w:r>
        <w:rPr>
          <w:rFonts w:ascii="Arial" w:hAnsi="Arial" w:cs="Arial"/>
        </w:rPr>
        <w:t>VOA Data</w:t>
      </w:r>
    </w:p>
    <w:p w14:paraId="603BBEF9" w14:textId="77777777" w:rsidR="00360825" w:rsidRPr="00B13575" w:rsidRDefault="00360825" w:rsidP="00360825">
      <w:pPr>
        <w:pStyle w:val="Heading2"/>
        <w:rPr>
          <w:rFonts w:ascii="Arial" w:hAnsi="Arial" w:cs="Arial"/>
        </w:rPr>
      </w:pPr>
      <w:r w:rsidRPr="00B13575">
        <w:rPr>
          <w:rFonts w:ascii="Arial" w:hAnsi="Arial" w:cs="Arial"/>
        </w:rPr>
        <w:t>Overall Need Calculations</w:t>
      </w:r>
    </w:p>
    <w:p w14:paraId="6F1A2F9F" w14:textId="6519C73F"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As set out above we have examined a range of ways to determine the future need for employment land in Chichester</w:t>
      </w:r>
      <w:r w:rsidR="002B1913" w:rsidRPr="00B13575">
        <w:rPr>
          <w:rFonts w:ascii="Arial" w:hAnsi="Arial" w:cs="Arial"/>
        </w:rPr>
        <w:t xml:space="preserve">. </w:t>
      </w:r>
      <w:r w:rsidRPr="00B13575">
        <w:rPr>
          <w:rFonts w:ascii="Arial" w:hAnsi="Arial" w:cs="Arial"/>
        </w:rPr>
        <w:t>This includes examining economic projections (labour demand), population growth (labour supply) and historic delivery trends (completions trend).</w:t>
      </w:r>
    </w:p>
    <w:p w14:paraId="5AA1C672" w14:textId="23A7EF45"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Where appropriate we have also taken into account the impact of </w:t>
      </w:r>
      <w:r>
        <w:rPr>
          <w:rFonts w:ascii="Arial" w:hAnsi="Arial" w:cs="Arial"/>
        </w:rPr>
        <w:t>C</w:t>
      </w:r>
      <w:r w:rsidRPr="00B13575">
        <w:rPr>
          <w:rFonts w:ascii="Arial" w:hAnsi="Arial" w:cs="Arial"/>
        </w:rPr>
        <w:t>ovid which resulted in substantial job losses which can be re-absorbed in to the local economy (Covid adjustment)</w:t>
      </w:r>
      <w:r w:rsidR="002B1913" w:rsidRPr="00B13575">
        <w:rPr>
          <w:rFonts w:ascii="Arial" w:hAnsi="Arial" w:cs="Arial"/>
        </w:rPr>
        <w:t xml:space="preserve">. </w:t>
      </w:r>
      <w:r w:rsidRPr="00B13575">
        <w:rPr>
          <w:rFonts w:ascii="Arial" w:hAnsi="Arial" w:cs="Arial"/>
        </w:rPr>
        <w:t>We also recognise that the choice should be provided in the land and premises companies seek and that the economic forecasts are unlikely to be 100% accurate (flexible margin). We have also taken account of potential future losses of employment floorspace to other uses (replacement demand).</w:t>
      </w:r>
    </w:p>
    <w:p w14:paraId="0B46DB9C" w14:textId="60A6B519"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table below summarises the forecast employment land floorspace and area positions for each of the main scenarios for the three main approaches i.e. for the labour demand approach we have used the growth scenario</w:t>
      </w:r>
      <w:r w:rsidR="002B1913" w:rsidRPr="00B13575">
        <w:rPr>
          <w:rFonts w:ascii="Arial" w:hAnsi="Arial" w:cs="Arial"/>
        </w:rPr>
        <w:t xml:space="preserve">. </w:t>
      </w:r>
      <w:r w:rsidRPr="00B13575">
        <w:rPr>
          <w:rFonts w:ascii="Arial" w:hAnsi="Arial" w:cs="Arial"/>
        </w:rPr>
        <w:t>For the labour supply approach we have linked this to the standard method</w:t>
      </w:r>
      <w:r w:rsidR="002B1913" w:rsidRPr="00B13575">
        <w:rPr>
          <w:rFonts w:ascii="Arial" w:hAnsi="Arial" w:cs="Arial"/>
        </w:rPr>
        <w:t xml:space="preserve">. </w:t>
      </w:r>
      <w:r w:rsidRPr="00B13575">
        <w:rPr>
          <w:rFonts w:ascii="Arial" w:hAnsi="Arial" w:cs="Arial"/>
        </w:rPr>
        <w:t>For the completions trend approach we have drawn on net completions</w:t>
      </w:r>
      <w:r w:rsidR="002B1913" w:rsidRPr="00B13575">
        <w:rPr>
          <w:rFonts w:ascii="Arial" w:hAnsi="Arial" w:cs="Arial"/>
        </w:rPr>
        <w:t xml:space="preserve">. </w:t>
      </w:r>
    </w:p>
    <w:p w14:paraId="38639B22"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It should be reiterated that the labour demand and labour supply based modelling has been reduced by 15% to reflect that 85% of employment activity takes place in the Plan Area compared with the district (based on 2018 HEDNA). This does not apply to the completions data, flexible margin nor replacement demand which are based on completions in the Chichester Plan Area.</w:t>
      </w:r>
    </w:p>
    <w:p w14:paraId="60432850" w14:textId="687A8256" w:rsidR="00360825" w:rsidRPr="00B13575" w:rsidRDefault="00360825" w:rsidP="001A7584">
      <w:pPr>
        <w:pStyle w:val="BodyText"/>
        <w:numPr>
          <w:ilvl w:val="1"/>
          <w:numId w:val="6"/>
        </w:numPr>
        <w:tabs>
          <w:tab w:val="num" w:pos="0"/>
        </w:tabs>
        <w:ind w:left="0" w:hanging="709"/>
        <w:rPr>
          <w:rFonts w:ascii="Arial" w:hAnsi="Arial" w:cs="Arial"/>
          <w:b/>
          <w:color w:val="646464" w:themeColor="background2"/>
        </w:rPr>
      </w:pPr>
      <w:r w:rsidRPr="00B13575">
        <w:rPr>
          <w:rFonts w:ascii="Arial" w:hAnsi="Arial" w:cs="Arial"/>
        </w:rPr>
        <w:t>The scenarios show a future employment land need ranging from 9</w:t>
      </w:r>
      <w:r>
        <w:rPr>
          <w:rFonts w:ascii="Arial" w:hAnsi="Arial" w:cs="Arial"/>
        </w:rPr>
        <w:t>2</w:t>
      </w:r>
      <w:r w:rsidRPr="00B13575">
        <w:rPr>
          <w:rFonts w:ascii="Arial" w:hAnsi="Arial" w:cs="Arial"/>
        </w:rPr>
        <w:t xml:space="preserve">,000 sqm / </w:t>
      </w:r>
      <w:r>
        <w:rPr>
          <w:rFonts w:ascii="Arial" w:hAnsi="Arial" w:cs="Arial"/>
        </w:rPr>
        <w:t>12.5</w:t>
      </w:r>
      <w:r w:rsidRPr="00B13575">
        <w:rPr>
          <w:rFonts w:ascii="Arial" w:hAnsi="Arial" w:cs="Arial"/>
        </w:rPr>
        <w:t xml:space="preserve"> ha (Labour supply) to </w:t>
      </w:r>
      <w:r>
        <w:rPr>
          <w:rFonts w:ascii="Arial" w:hAnsi="Arial" w:cs="Arial"/>
        </w:rPr>
        <w:t>116</w:t>
      </w:r>
      <w:r w:rsidRPr="00B13575">
        <w:rPr>
          <w:rFonts w:ascii="Arial" w:hAnsi="Arial" w:cs="Arial"/>
        </w:rPr>
        <w:t xml:space="preserve">,000 sqm / </w:t>
      </w:r>
      <w:r>
        <w:rPr>
          <w:rFonts w:ascii="Arial" w:hAnsi="Arial" w:cs="Arial"/>
        </w:rPr>
        <w:t>22.8</w:t>
      </w:r>
      <w:r w:rsidRPr="00B13575">
        <w:rPr>
          <w:rFonts w:ascii="Arial" w:hAnsi="Arial" w:cs="Arial"/>
        </w:rPr>
        <w:t xml:space="preserve"> ha (Completions Trend Gross)</w:t>
      </w:r>
      <w:r w:rsidR="002B1913" w:rsidRPr="00B13575">
        <w:rPr>
          <w:rFonts w:ascii="Arial" w:hAnsi="Arial" w:cs="Arial"/>
        </w:rPr>
        <w:t xml:space="preserve">. </w:t>
      </w:r>
      <w:r w:rsidRPr="00B13575">
        <w:rPr>
          <w:rFonts w:ascii="Arial" w:hAnsi="Arial" w:cs="Arial"/>
        </w:rPr>
        <w:t>However, it is prudent to look at</w:t>
      </w:r>
      <w:r>
        <w:rPr>
          <w:rFonts w:ascii="Arial" w:hAnsi="Arial" w:cs="Arial"/>
        </w:rPr>
        <w:t xml:space="preserve"> the</w:t>
      </w:r>
      <w:r w:rsidRPr="00B13575">
        <w:rPr>
          <w:rFonts w:ascii="Arial" w:hAnsi="Arial" w:cs="Arial"/>
        </w:rPr>
        <w:t xml:space="preserve"> need for each type independently</w:t>
      </w:r>
      <w:r>
        <w:rPr>
          <w:rFonts w:ascii="Arial" w:hAnsi="Arial" w:cs="Arial"/>
        </w:rPr>
        <w:t>.</w:t>
      </w:r>
    </w:p>
    <w:p w14:paraId="39B85534" w14:textId="77777777" w:rsidR="009273C8" w:rsidRDefault="009273C8">
      <w:pPr>
        <w:spacing w:after="0" w:line="240" w:lineRule="auto"/>
        <w:jc w:val="left"/>
        <w:rPr>
          <w:b/>
          <w:color w:val="646464" w:themeColor="background2"/>
        </w:rPr>
      </w:pPr>
      <w:r>
        <w:br w:type="page"/>
      </w:r>
    </w:p>
    <w:p w14:paraId="0B6E716A" w14:textId="571A15FB" w:rsidR="00360825" w:rsidRPr="00B13575" w:rsidRDefault="009273C8" w:rsidP="001A7584">
      <w:pPr>
        <w:pStyle w:val="Heading4"/>
        <w:ind w:firstLine="0"/>
      </w:pPr>
      <w:r>
        <w:lastRenderedPageBreak/>
        <w:t xml:space="preserve">- </w:t>
      </w:r>
      <w:r w:rsidR="00360825" w:rsidRPr="00B13575">
        <w:t>Range of Employment Land Need 2021-39 – Chichester Plan Area</w:t>
      </w:r>
    </w:p>
    <w:tbl>
      <w:tblPr>
        <w:tblW w:w="9067" w:type="dxa"/>
        <w:tblLayout w:type="fixed"/>
        <w:tblLook w:val="04A0" w:firstRow="1" w:lastRow="0" w:firstColumn="1" w:lastColumn="0" w:noHBand="0" w:noVBand="1"/>
      </w:tblPr>
      <w:tblGrid>
        <w:gridCol w:w="1239"/>
        <w:gridCol w:w="1304"/>
        <w:gridCol w:w="1305"/>
        <w:gridCol w:w="1305"/>
        <w:gridCol w:w="1304"/>
        <w:gridCol w:w="1305"/>
        <w:gridCol w:w="1305"/>
      </w:tblGrid>
      <w:tr w:rsidR="00360825" w:rsidRPr="00B13575" w14:paraId="38DF227A" w14:textId="77777777" w:rsidTr="00C04569">
        <w:trPr>
          <w:trHeight w:val="565"/>
        </w:trPr>
        <w:tc>
          <w:tcPr>
            <w:tcW w:w="12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70195A6" w14:textId="77777777" w:rsidR="00360825" w:rsidRPr="00DE1AA1" w:rsidRDefault="00360825" w:rsidP="00C04569">
            <w:pPr>
              <w:spacing w:after="0" w:line="240" w:lineRule="auto"/>
              <w:jc w:val="center"/>
              <w:rPr>
                <w:rFonts w:ascii="Arial" w:hAnsi="Arial" w:cs="Arial"/>
                <w:color w:val="FFFFFF"/>
              </w:rPr>
            </w:pPr>
          </w:p>
        </w:tc>
        <w:tc>
          <w:tcPr>
            <w:tcW w:w="2609" w:type="dxa"/>
            <w:gridSpan w:val="2"/>
            <w:tcBorders>
              <w:top w:val="single" w:sz="4" w:space="0" w:color="auto"/>
              <w:left w:val="nil"/>
              <w:bottom w:val="single" w:sz="4" w:space="0" w:color="auto"/>
              <w:right w:val="single" w:sz="4" w:space="0" w:color="000000"/>
            </w:tcBorders>
            <w:shd w:val="clear" w:color="000000" w:fill="002060"/>
            <w:vAlign w:val="center"/>
            <w:hideMark/>
          </w:tcPr>
          <w:p w14:paraId="02D6C63E" w14:textId="77777777" w:rsidR="00360825"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Labour Demand </w:t>
            </w:r>
          </w:p>
          <w:p w14:paraId="047FF033"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(Growth Scenario) </w:t>
            </w:r>
          </w:p>
        </w:tc>
        <w:tc>
          <w:tcPr>
            <w:tcW w:w="2609" w:type="dxa"/>
            <w:gridSpan w:val="2"/>
            <w:tcBorders>
              <w:top w:val="single" w:sz="4" w:space="0" w:color="auto"/>
              <w:left w:val="nil"/>
              <w:bottom w:val="single" w:sz="4" w:space="0" w:color="auto"/>
              <w:right w:val="single" w:sz="4" w:space="0" w:color="auto"/>
            </w:tcBorders>
            <w:shd w:val="clear" w:color="000000" w:fill="002060"/>
            <w:vAlign w:val="center"/>
            <w:hideMark/>
          </w:tcPr>
          <w:p w14:paraId="3B2E866F"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Labour Supply </w:t>
            </w:r>
          </w:p>
          <w:p w14:paraId="02E819C0"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(Standard Method) </w:t>
            </w:r>
          </w:p>
          <w:p w14:paraId="1D307F3E" w14:textId="77777777" w:rsidR="00360825" w:rsidRPr="00DE1AA1" w:rsidRDefault="00360825" w:rsidP="00C04569">
            <w:pPr>
              <w:spacing w:after="0" w:line="240" w:lineRule="auto"/>
              <w:jc w:val="center"/>
              <w:rPr>
                <w:rFonts w:ascii="Arial" w:hAnsi="Arial" w:cs="Arial"/>
                <w:color w:val="FFFFFF"/>
              </w:rPr>
            </w:pPr>
          </w:p>
        </w:tc>
        <w:tc>
          <w:tcPr>
            <w:tcW w:w="2610" w:type="dxa"/>
            <w:gridSpan w:val="2"/>
            <w:tcBorders>
              <w:top w:val="single" w:sz="4" w:space="0" w:color="auto"/>
              <w:left w:val="nil"/>
              <w:bottom w:val="single" w:sz="4" w:space="0" w:color="auto"/>
              <w:right w:val="single" w:sz="4" w:space="0" w:color="000000"/>
            </w:tcBorders>
            <w:shd w:val="clear" w:color="000000" w:fill="002060"/>
            <w:vAlign w:val="center"/>
            <w:hideMark/>
          </w:tcPr>
          <w:p w14:paraId="688E329C"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Completions Trend</w:t>
            </w:r>
          </w:p>
          <w:p w14:paraId="32386749"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(Net) </w:t>
            </w:r>
          </w:p>
        </w:tc>
      </w:tr>
      <w:tr w:rsidR="00360825" w:rsidRPr="00B13575" w14:paraId="3CFABE3B" w14:textId="77777777" w:rsidTr="00C04569">
        <w:trPr>
          <w:trHeight w:val="250"/>
        </w:trPr>
        <w:tc>
          <w:tcPr>
            <w:tcW w:w="1239" w:type="dxa"/>
            <w:tcBorders>
              <w:top w:val="nil"/>
              <w:left w:val="single" w:sz="4" w:space="0" w:color="auto"/>
              <w:bottom w:val="single" w:sz="4" w:space="0" w:color="auto"/>
              <w:right w:val="single" w:sz="4" w:space="0" w:color="auto"/>
            </w:tcBorders>
            <w:shd w:val="clear" w:color="000000" w:fill="002060"/>
            <w:noWrap/>
            <w:vAlign w:val="center"/>
            <w:hideMark/>
          </w:tcPr>
          <w:p w14:paraId="633A7CAF" w14:textId="77777777" w:rsidR="00360825" w:rsidRPr="00DE1AA1" w:rsidRDefault="00360825" w:rsidP="00C04569">
            <w:pPr>
              <w:spacing w:after="0" w:line="240" w:lineRule="auto"/>
              <w:jc w:val="center"/>
              <w:rPr>
                <w:rFonts w:ascii="Arial" w:hAnsi="Arial" w:cs="Arial"/>
                <w:color w:val="FFFFFF"/>
              </w:rPr>
            </w:pPr>
          </w:p>
        </w:tc>
        <w:tc>
          <w:tcPr>
            <w:tcW w:w="1304" w:type="dxa"/>
            <w:tcBorders>
              <w:top w:val="nil"/>
              <w:left w:val="nil"/>
              <w:bottom w:val="single" w:sz="4" w:space="0" w:color="auto"/>
              <w:right w:val="single" w:sz="4" w:space="0" w:color="auto"/>
            </w:tcBorders>
            <w:shd w:val="clear" w:color="000000" w:fill="002060"/>
            <w:vAlign w:val="center"/>
            <w:hideMark/>
          </w:tcPr>
          <w:p w14:paraId="55CE21A9"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 m</w:t>
            </w:r>
          </w:p>
        </w:tc>
        <w:tc>
          <w:tcPr>
            <w:tcW w:w="1305" w:type="dxa"/>
            <w:tcBorders>
              <w:top w:val="nil"/>
              <w:left w:val="nil"/>
              <w:bottom w:val="single" w:sz="4" w:space="0" w:color="auto"/>
              <w:right w:val="single" w:sz="4" w:space="0" w:color="auto"/>
            </w:tcBorders>
            <w:shd w:val="clear" w:color="000000" w:fill="002060"/>
            <w:vAlign w:val="center"/>
            <w:hideMark/>
          </w:tcPr>
          <w:p w14:paraId="5FEE334C"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Ha</w:t>
            </w:r>
          </w:p>
        </w:tc>
        <w:tc>
          <w:tcPr>
            <w:tcW w:w="1305" w:type="dxa"/>
            <w:tcBorders>
              <w:top w:val="nil"/>
              <w:left w:val="nil"/>
              <w:bottom w:val="single" w:sz="4" w:space="0" w:color="auto"/>
              <w:right w:val="single" w:sz="4" w:space="0" w:color="auto"/>
            </w:tcBorders>
            <w:shd w:val="clear" w:color="000000" w:fill="002060"/>
            <w:vAlign w:val="center"/>
            <w:hideMark/>
          </w:tcPr>
          <w:p w14:paraId="5032E1D2"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 m</w:t>
            </w:r>
          </w:p>
        </w:tc>
        <w:tc>
          <w:tcPr>
            <w:tcW w:w="1304" w:type="dxa"/>
            <w:tcBorders>
              <w:top w:val="nil"/>
              <w:left w:val="nil"/>
              <w:bottom w:val="single" w:sz="4" w:space="0" w:color="auto"/>
              <w:right w:val="single" w:sz="4" w:space="0" w:color="auto"/>
            </w:tcBorders>
            <w:shd w:val="clear" w:color="000000" w:fill="002060"/>
            <w:vAlign w:val="center"/>
            <w:hideMark/>
          </w:tcPr>
          <w:p w14:paraId="4B0E0EC1"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Ha</w:t>
            </w:r>
          </w:p>
        </w:tc>
        <w:tc>
          <w:tcPr>
            <w:tcW w:w="1305" w:type="dxa"/>
            <w:tcBorders>
              <w:top w:val="nil"/>
              <w:left w:val="nil"/>
              <w:bottom w:val="single" w:sz="4" w:space="0" w:color="auto"/>
              <w:right w:val="single" w:sz="4" w:space="0" w:color="auto"/>
            </w:tcBorders>
            <w:shd w:val="clear" w:color="000000" w:fill="002060"/>
            <w:vAlign w:val="center"/>
            <w:hideMark/>
          </w:tcPr>
          <w:p w14:paraId="7558D74E"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 m</w:t>
            </w:r>
          </w:p>
        </w:tc>
        <w:tc>
          <w:tcPr>
            <w:tcW w:w="1305" w:type="dxa"/>
            <w:tcBorders>
              <w:top w:val="nil"/>
              <w:left w:val="nil"/>
              <w:bottom w:val="single" w:sz="4" w:space="0" w:color="auto"/>
              <w:right w:val="single" w:sz="4" w:space="0" w:color="auto"/>
            </w:tcBorders>
            <w:shd w:val="clear" w:color="000000" w:fill="002060"/>
            <w:vAlign w:val="center"/>
            <w:hideMark/>
          </w:tcPr>
          <w:p w14:paraId="6C48B954"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Ha</w:t>
            </w:r>
          </w:p>
        </w:tc>
      </w:tr>
      <w:tr w:rsidR="00360825" w:rsidRPr="00B13575" w14:paraId="3FCB99A4" w14:textId="77777777" w:rsidTr="00C04569">
        <w:trPr>
          <w:trHeight w:val="550"/>
        </w:trPr>
        <w:tc>
          <w:tcPr>
            <w:tcW w:w="1239" w:type="dxa"/>
            <w:tcBorders>
              <w:top w:val="nil"/>
              <w:left w:val="single" w:sz="4" w:space="0" w:color="auto"/>
              <w:bottom w:val="single" w:sz="4" w:space="0" w:color="auto"/>
              <w:right w:val="single" w:sz="4" w:space="0" w:color="auto"/>
            </w:tcBorders>
            <w:shd w:val="clear" w:color="000000" w:fill="FFFFFF"/>
            <w:noWrap/>
            <w:vAlign w:val="center"/>
            <w:hideMark/>
          </w:tcPr>
          <w:p w14:paraId="7A60BADE"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1304" w:type="dxa"/>
            <w:tcBorders>
              <w:top w:val="nil"/>
              <w:left w:val="nil"/>
              <w:bottom w:val="single" w:sz="4" w:space="0" w:color="auto"/>
              <w:right w:val="single" w:sz="4" w:space="0" w:color="auto"/>
            </w:tcBorders>
            <w:shd w:val="clear" w:color="000000" w:fill="FFFFFF"/>
            <w:vAlign w:val="center"/>
            <w:hideMark/>
          </w:tcPr>
          <w:p w14:paraId="6BEDC3E4"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36,488 – 42,863</w:t>
            </w:r>
          </w:p>
        </w:tc>
        <w:tc>
          <w:tcPr>
            <w:tcW w:w="1305" w:type="dxa"/>
            <w:tcBorders>
              <w:top w:val="nil"/>
              <w:left w:val="nil"/>
              <w:bottom w:val="single" w:sz="4" w:space="0" w:color="auto"/>
              <w:right w:val="single" w:sz="4" w:space="0" w:color="auto"/>
            </w:tcBorders>
            <w:shd w:val="clear" w:color="000000" w:fill="FFFFFF"/>
            <w:vAlign w:val="center"/>
            <w:hideMark/>
          </w:tcPr>
          <w:p w14:paraId="1B80FBB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4.9 - 5.7</w:t>
            </w:r>
          </w:p>
        </w:tc>
        <w:tc>
          <w:tcPr>
            <w:tcW w:w="1305" w:type="dxa"/>
            <w:tcBorders>
              <w:top w:val="nil"/>
              <w:left w:val="nil"/>
              <w:bottom w:val="single" w:sz="4" w:space="0" w:color="auto"/>
              <w:right w:val="single" w:sz="4" w:space="0" w:color="auto"/>
            </w:tcBorders>
            <w:shd w:val="clear" w:color="000000" w:fill="FFFFFF"/>
            <w:vAlign w:val="center"/>
            <w:hideMark/>
          </w:tcPr>
          <w:p w14:paraId="3E464984"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49,044 – 59,974</w:t>
            </w:r>
          </w:p>
        </w:tc>
        <w:tc>
          <w:tcPr>
            <w:tcW w:w="1304" w:type="dxa"/>
            <w:tcBorders>
              <w:top w:val="nil"/>
              <w:left w:val="nil"/>
              <w:bottom w:val="single" w:sz="4" w:space="0" w:color="auto"/>
              <w:right w:val="single" w:sz="4" w:space="0" w:color="auto"/>
            </w:tcBorders>
            <w:shd w:val="clear" w:color="auto" w:fill="auto"/>
            <w:noWrap/>
            <w:vAlign w:val="center"/>
            <w:hideMark/>
          </w:tcPr>
          <w:p w14:paraId="297F2E36"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6.4 - 7.8</w:t>
            </w:r>
          </w:p>
        </w:tc>
        <w:tc>
          <w:tcPr>
            <w:tcW w:w="1305" w:type="dxa"/>
            <w:tcBorders>
              <w:top w:val="nil"/>
              <w:left w:val="nil"/>
              <w:bottom w:val="single" w:sz="4" w:space="0" w:color="auto"/>
              <w:right w:val="single" w:sz="4" w:space="0" w:color="auto"/>
            </w:tcBorders>
            <w:shd w:val="clear" w:color="000000" w:fill="FFFFFF"/>
            <w:vAlign w:val="center"/>
            <w:hideMark/>
          </w:tcPr>
          <w:p w14:paraId="0F1C9E9E"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44,047</w:t>
            </w:r>
          </w:p>
        </w:tc>
        <w:tc>
          <w:tcPr>
            <w:tcW w:w="1305" w:type="dxa"/>
            <w:tcBorders>
              <w:top w:val="nil"/>
              <w:left w:val="nil"/>
              <w:bottom w:val="single" w:sz="4" w:space="0" w:color="auto"/>
              <w:right w:val="single" w:sz="4" w:space="0" w:color="auto"/>
            </w:tcBorders>
            <w:shd w:val="clear" w:color="000000" w:fill="FFFFFF"/>
            <w:vAlign w:val="center"/>
            <w:hideMark/>
          </w:tcPr>
          <w:p w14:paraId="57FDD46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5.9</w:t>
            </w:r>
          </w:p>
        </w:tc>
      </w:tr>
      <w:tr w:rsidR="00360825" w:rsidRPr="00B13575" w14:paraId="71B95A2F" w14:textId="77777777" w:rsidTr="00C04569">
        <w:trPr>
          <w:trHeight w:val="250"/>
        </w:trPr>
        <w:tc>
          <w:tcPr>
            <w:tcW w:w="1239" w:type="dxa"/>
            <w:tcBorders>
              <w:top w:val="nil"/>
              <w:left w:val="single" w:sz="4" w:space="0" w:color="auto"/>
              <w:bottom w:val="single" w:sz="4" w:space="0" w:color="auto"/>
              <w:right w:val="single" w:sz="4" w:space="0" w:color="auto"/>
            </w:tcBorders>
            <w:shd w:val="clear" w:color="000000" w:fill="FFFFFF"/>
            <w:noWrap/>
            <w:vAlign w:val="center"/>
            <w:hideMark/>
          </w:tcPr>
          <w:p w14:paraId="00D1F0F7"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1304" w:type="dxa"/>
            <w:tcBorders>
              <w:top w:val="nil"/>
              <w:left w:val="nil"/>
              <w:bottom w:val="single" w:sz="4" w:space="0" w:color="auto"/>
              <w:right w:val="single" w:sz="4" w:space="0" w:color="auto"/>
            </w:tcBorders>
            <w:shd w:val="clear" w:color="000000" w:fill="FFFFFF"/>
            <w:vAlign w:val="center"/>
            <w:hideMark/>
          </w:tcPr>
          <w:p w14:paraId="1115D2AE"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15,013</w:t>
            </w:r>
          </w:p>
        </w:tc>
        <w:tc>
          <w:tcPr>
            <w:tcW w:w="1305" w:type="dxa"/>
            <w:tcBorders>
              <w:top w:val="nil"/>
              <w:left w:val="nil"/>
              <w:bottom w:val="single" w:sz="4" w:space="0" w:color="auto"/>
              <w:right w:val="single" w:sz="4" w:space="0" w:color="auto"/>
            </w:tcBorders>
            <w:shd w:val="clear" w:color="000000" w:fill="FFFFFF"/>
            <w:vAlign w:val="center"/>
            <w:hideMark/>
          </w:tcPr>
          <w:p w14:paraId="0D40115E"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3.8</w:t>
            </w:r>
          </w:p>
        </w:tc>
        <w:tc>
          <w:tcPr>
            <w:tcW w:w="1305" w:type="dxa"/>
            <w:tcBorders>
              <w:top w:val="nil"/>
              <w:left w:val="nil"/>
              <w:bottom w:val="single" w:sz="4" w:space="0" w:color="auto"/>
              <w:right w:val="single" w:sz="4" w:space="0" w:color="auto"/>
            </w:tcBorders>
            <w:shd w:val="clear" w:color="000000" w:fill="FFFFFF"/>
            <w:vAlign w:val="center"/>
            <w:hideMark/>
          </w:tcPr>
          <w:p w14:paraId="6DE6EBF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-62,544</w:t>
            </w:r>
          </w:p>
        </w:tc>
        <w:tc>
          <w:tcPr>
            <w:tcW w:w="1304" w:type="dxa"/>
            <w:tcBorders>
              <w:top w:val="nil"/>
              <w:left w:val="nil"/>
              <w:bottom w:val="single" w:sz="4" w:space="0" w:color="auto"/>
              <w:right w:val="single" w:sz="4" w:space="0" w:color="auto"/>
            </w:tcBorders>
            <w:shd w:val="clear" w:color="auto" w:fill="auto"/>
            <w:noWrap/>
            <w:vAlign w:val="bottom"/>
            <w:hideMark/>
          </w:tcPr>
          <w:p w14:paraId="4EF68C3A"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-13.5</w:t>
            </w:r>
          </w:p>
        </w:tc>
        <w:tc>
          <w:tcPr>
            <w:tcW w:w="1305" w:type="dxa"/>
            <w:tcBorders>
              <w:top w:val="nil"/>
              <w:left w:val="nil"/>
              <w:bottom w:val="single" w:sz="4" w:space="0" w:color="auto"/>
              <w:right w:val="single" w:sz="4" w:space="0" w:color="auto"/>
            </w:tcBorders>
            <w:shd w:val="clear" w:color="000000" w:fill="FFFFFF"/>
            <w:vAlign w:val="center"/>
            <w:hideMark/>
          </w:tcPr>
          <w:p w14:paraId="636E5F1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50,497</w:t>
            </w:r>
          </w:p>
        </w:tc>
        <w:tc>
          <w:tcPr>
            <w:tcW w:w="1305" w:type="dxa"/>
            <w:tcBorders>
              <w:top w:val="nil"/>
              <w:left w:val="nil"/>
              <w:bottom w:val="single" w:sz="4" w:space="0" w:color="auto"/>
              <w:right w:val="single" w:sz="4" w:space="0" w:color="auto"/>
            </w:tcBorders>
            <w:shd w:val="clear" w:color="000000" w:fill="FFFFFF"/>
            <w:vAlign w:val="center"/>
            <w:hideMark/>
          </w:tcPr>
          <w:p w14:paraId="1C43D7C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12.6</w:t>
            </w:r>
          </w:p>
        </w:tc>
      </w:tr>
      <w:tr w:rsidR="00360825" w:rsidRPr="00B13575" w14:paraId="757CC5AB" w14:textId="77777777" w:rsidTr="00C04569">
        <w:trPr>
          <w:trHeight w:val="250"/>
        </w:trPr>
        <w:tc>
          <w:tcPr>
            <w:tcW w:w="1239" w:type="dxa"/>
            <w:tcBorders>
              <w:top w:val="nil"/>
              <w:left w:val="single" w:sz="4" w:space="0" w:color="auto"/>
              <w:bottom w:val="single" w:sz="4" w:space="0" w:color="auto"/>
              <w:right w:val="single" w:sz="4" w:space="0" w:color="auto"/>
            </w:tcBorders>
            <w:shd w:val="clear" w:color="000000" w:fill="FFFFFF"/>
            <w:noWrap/>
            <w:vAlign w:val="center"/>
            <w:hideMark/>
          </w:tcPr>
          <w:p w14:paraId="6EC5B110"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1304" w:type="dxa"/>
            <w:tcBorders>
              <w:top w:val="nil"/>
              <w:left w:val="nil"/>
              <w:bottom w:val="single" w:sz="4" w:space="0" w:color="auto"/>
              <w:right w:val="single" w:sz="4" w:space="0" w:color="auto"/>
            </w:tcBorders>
            <w:shd w:val="clear" w:color="000000" w:fill="FFFFFF"/>
            <w:vAlign w:val="center"/>
            <w:hideMark/>
          </w:tcPr>
          <w:p w14:paraId="3126938C"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55,220</w:t>
            </w:r>
          </w:p>
        </w:tc>
        <w:tc>
          <w:tcPr>
            <w:tcW w:w="1305" w:type="dxa"/>
            <w:tcBorders>
              <w:top w:val="nil"/>
              <w:left w:val="nil"/>
              <w:bottom w:val="single" w:sz="4" w:space="0" w:color="auto"/>
              <w:right w:val="single" w:sz="4" w:space="0" w:color="auto"/>
            </w:tcBorders>
            <w:shd w:val="clear" w:color="000000" w:fill="FFFFFF"/>
            <w:vAlign w:val="center"/>
            <w:hideMark/>
          </w:tcPr>
          <w:p w14:paraId="2FF7288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11.0</w:t>
            </w:r>
          </w:p>
        </w:tc>
        <w:tc>
          <w:tcPr>
            <w:tcW w:w="1305" w:type="dxa"/>
            <w:tcBorders>
              <w:top w:val="nil"/>
              <w:left w:val="nil"/>
              <w:bottom w:val="single" w:sz="4" w:space="0" w:color="auto"/>
              <w:right w:val="single" w:sz="4" w:space="0" w:color="auto"/>
            </w:tcBorders>
            <w:shd w:val="clear" w:color="000000" w:fill="FFFFFF"/>
            <w:vAlign w:val="center"/>
            <w:hideMark/>
          </w:tcPr>
          <w:p w14:paraId="37DA34C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104,530</w:t>
            </w:r>
          </w:p>
        </w:tc>
        <w:tc>
          <w:tcPr>
            <w:tcW w:w="1304" w:type="dxa"/>
            <w:tcBorders>
              <w:top w:val="nil"/>
              <w:left w:val="nil"/>
              <w:bottom w:val="single" w:sz="4" w:space="0" w:color="auto"/>
              <w:right w:val="single" w:sz="4" w:space="0" w:color="auto"/>
            </w:tcBorders>
            <w:shd w:val="clear" w:color="auto" w:fill="auto"/>
            <w:noWrap/>
            <w:vAlign w:val="bottom"/>
            <w:hideMark/>
          </w:tcPr>
          <w:p w14:paraId="4928AF6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19.5</w:t>
            </w:r>
          </w:p>
        </w:tc>
        <w:tc>
          <w:tcPr>
            <w:tcW w:w="1305" w:type="dxa"/>
            <w:tcBorders>
              <w:top w:val="nil"/>
              <w:left w:val="nil"/>
              <w:bottom w:val="single" w:sz="4" w:space="0" w:color="auto"/>
              <w:right w:val="single" w:sz="4" w:space="0" w:color="auto"/>
            </w:tcBorders>
            <w:shd w:val="clear" w:color="000000" w:fill="FFFFFF"/>
            <w:vAlign w:val="center"/>
            <w:hideMark/>
          </w:tcPr>
          <w:p w14:paraId="38DE0A30"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21,288</w:t>
            </w:r>
          </w:p>
        </w:tc>
        <w:tc>
          <w:tcPr>
            <w:tcW w:w="1305" w:type="dxa"/>
            <w:tcBorders>
              <w:top w:val="nil"/>
              <w:left w:val="nil"/>
              <w:bottom w:val="single" w:sz="4" w:space="0" w:color="auto"/>
              <w:right w:val="single" w:sz="4" w:space="0" w:color="auto"/>
            </w:tcBorders>
            <w:shd w:val="clear" w:color="000000" w:fill="FFFFFF"/>
            <w:vAlign w:val="center"/>
            <w:hideMark/>
          </w:tcPr>
          <w:p w14:paraId="3939B25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4.3</w:t>
            </w:r>
          </w:p>
        </w:tc>
      </w:tr>
      <w:tr w:rsidR="00360825" w:rsidRPr="00B13575" w14:paraId="15F108B3" w14:textId="77777777" w:rsidTr="00C04569">
        <w:trPr>
          <w:trHeight w:val="500"/>
        </w:trPr>
        <w:tc>
          <w:tcPr>
            <w:tcW w:w="1239" w:type="dxa"/>
            <w:tcBorders>
              <w:top w:val="nil"/>
              <w:left w:val="single" w:sz="4" w:space="0" w:color="auto"/>
              <w:bottom w:val="single" w:sz="4" w:space="0" w:color="auto"/>
              <w:right w:val="single" w:sz="4" w:space="0" w:color="auto"/>
            </w:tcBorders>
            <w:shd w:val="clear" w:color="000000" w:fill="FFFFFF"/>
            <w:noWrap/>
            <w:vAlign w:val="center"/>
            <w:hideMark/>
          </w:tcPr>
          <w:p w14:paraId="4EB8252F" w14:textId="77777777" w:rsidR="00360825" w:rsidRPr="00996D73" w:rsidRDefault="00360825" w:rsidP="00C04569">
            <w:pPr>
              <w:spacing w:after="0" w:line="240" w:lineRule="auto"/>
              <w:jc w:val="left"/>
              <w:rPr>
                <w:rFonts w:ascii="Arial" w:hAnsi="Arial" w:cs="Arial"/>
                <w:b/>
                <w:bCs/>
                <w:color w:val="000000"/>
              </w:rPr>
            </w:pPr>
            <w:r w:rsidRPr="00996D73">
              <w:rPr>
                <w:rFonts w:ascii="Arial" w:hAnsi="Arial" w:cs="Arial"/>
                <w:b/>
                <w:bCs/>
                <w:color w:val="000000"/>
              </w:rPr>
              <w:t>Total</w:t>
            </w:r>
          </w:p>
        </w:tc>
        <w:tc>
          <w:tcPr>
            <w:tcW w:w="1304" w:type="dxa"/>
            <w:tcBorders>
              <w:top w:val="nil"/>
              <w:left w:val="nil"/>
              <w:bottom w:val="single" w:sz="4" w:space="0" w:color="auto"/>
              <w:right w:val="single" w:sz="4" w:space="0" w:color="auto"/>
            </w:tcBorders>
            <w:shd w:val="clear" w:color="000000" w:fill="FFFFFF"/>
            <w:vAlign w:val="center"/>
            <w:hideMark/>
          </w:tcPr>
          <w:p w14:paraId="097763DB"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106,721 – 113,096</w:t>
            </w:r>
          </w:p>
        </w:tc>
        <w:tc>
          <w:tcPr>
            <w:tcW w:w="1305" w:type="dxa"/>
            <w:tcBorders>
              <w:top w:val="nil"/>
              <w:left w:val="nil"/>
              <w:bottom w:val="single" w:sz="4" w:space="0" w:color="auto"/>
              <w:right w:val="single" w:sz="4" w:space="0" w:color="auto"/>
            </w:tcBorders>
            <w:shd w:val="clear" w:color="000000" w:fill="FFFFFF"/>
            <w:vAlign w:val="center"/>
            <w:hideMark/>
          </w:tcPr>
          <w:p w14:paraId="443E6BA0"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19.7 - 20.5</w:t>
            </w:r>
          </w:p>
        </w:tc>
        <w:tc>
          <w:tcPr>
            <w:tcW w:w="1305" w:type="dxa"/>
            <w:tcBorders>
              <w:top w:val="nil"/>
              <w:left w:val="nil"/>
              <w:bottom w:val="single" w:sz="4" w:space="0" w:color="auto"/>
              <w:right w:val="single" w:sz="4" w:space="0" w:color="auto"/>
            </w:tcBorders>
            <w:shd w:val="clear" w:color="000000" w:fill="FFFFFF"/>
            <w:vAlign w:val="center"/>
            <w:hideMark/>
          </w:tcPr>
          <w:p w14:paraId="29B3B344"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91,827 – 101,960</w:t>
            </w:r>
          </w:p>
        </w:tc>
        <w:tc>
          <w:tcPr>
            <w:tcW w:w="1304" w:type="dxa"/>
            <w:tcBorders>
              <w:top w:val="nil"/>
              <w:left w:val="nil"/>
              <w:bottom w:val="single" w:sz="4" w:space="0" w:color="auto"/>
              <w:right w:val="single" w:sz="4" w:space="0" w:color="auto"/>
            </w:tcBorders>
            <w:shd w:val="clear" w:color="auto" w:fill="auto"/>
            <w:noWrap/>
            <w:vAlign w:val="center"/>
            <w:hideMark/>
          </w:tcPr>
          <w:p w14:paraId="6DF0FEE2"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12.5 - 13.9</w:t>
            </w:r>
          </w:p>
        </w:tc>
        <w:tc>
          <w:tcPr>
            <w:tcW w:w="1305" w:type="dxa"/>
            <w:tcBorders>
              <w:top w:val="nil"/>
              <w:left w:val="nil"/>
              <w:bottom w:val="single" w:sz="4" w:space="0" w:color="auto"/>
              <w:right w:val="single" w:sz="4" w:space="0" w:color="auto"/>
            </w:tcBorders>
            <w:shd w:val="clear" w:color="000000" w:fill="FFFFFF"/>
            <w:vAlign w:val="center"/>
            <w:hideMark/>
          </w:tcPr>
          <w:p w14:paraId="516F135F"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115,832</w:t>
            </w:r>
          </w:p>
        </w:tc>
        <w:tc>
          <w:tcPr>
            <w:tcW w:w="1305" w:type="dxa"/>
            <w:tcBorders>
              <w:top w:val="nil"/>
              <w:left w:val="nil"/>
              <w:bottom w:val="single" w:sz="4" w:space="0" w:color="auto"/>
              <w:right w:val="single" w:sz="4" w:space="0" w:color="auto"/>
            </w:tcBorders>
            <w:shd w:val="clear" w:color="000000" w:fill="FFFFFF"/>
            <w:vAlign w:val="center"/>
            <w:hideMark/>
          </w:tcPr>
          <w:p w14:paraId="2D46F350"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22.8</w:t>
            </w:r>
          </w:p>
        </w:tc>
      </w:tr>
    </w:tbl>
    <w:p w14:paraId="5AE77D30" w14:textId="77777777" w:rsidR="00360825" w:rsidRPr="00DE1AA1" w:rsidRDefault="00360825" w:rsidP="00360825">
      <w:pPr>
        <w:pStyle w:val="11Bodytext"/>
        <w:tabs>
          <w:tab w:val="clear" w:pos="794"/>
        </w:tabs>
        <w:spacing w:before="0" w:after="0" w:line="240" w:lineRule="auto"/>
      </w:pPr>
      <w:r w:rsidRPr="00DE1AA1">
        <w:t>Source: Iceni Projects base on OE and CDC data</w:t>
      </w:r>
    </w:p>
    <w:p w14:paraId="7DBA832F" w14:textId="77777777" w:rsidR="00360825" w:rsidRPr="00DE1AA1" w:rsidRDefault="00360825" w:rsidP="00360825">
      <w:pPr>
        <w:pStyle w:val="11Bodytext"/>
        <w:tabs>
          <w:tab w:val="clear" w:pos="794"/>
        </w:tabs>
        <w:spacing w:before="0" w:after="0" w:line="240" w:lineRule="auto"/>
        <w:ind w:firstLine="0"/>
      </w:pPr>
    </w:p>
    <w:p w14:paraId="77479FBA" w14:textId="3F342032"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labour supply scenario is likely to drive demand in population driven sectors and is arguably less robust given uncertainty about delivering the level of housing growth associated with the standard method. The method of distributing the additional growth above baseline</w:t>
      </w:r>
      <w:r>
        <w:rPr>
          <w:rFonts w:ascii="Arial" w:hAnsi="Arial" w:cs="Arial"/>
        </w:rPr>
        <w:t xml:space="preserve"> to different sectors</w:t>
      </w:r>
      <w:r w:rsidRPr="00B13575">
        <w:rPr>
          <w:rFonts w:ascii="Arial" w:hAnsi="Arial" w:cs="Arial"/>
        </w:rPr>
        <w:t xml:space="preserve"> is also more simplistic than the growth scenario and therefore arguably less robust</w:t>
      </w:r>
      <w:r w:rsidR="002B1913" w:rsidRPr="00B13575">
        <w:rPr>
          <w:rFonts w:ascii="Arial" w:hAnsi="Arial" w:cs="Arial"/>
        </w:rPr>
        <w:t xml:space="preserve">. </w:t>
      </w:r>
      <w:r w:rsidRPr="00B13575">
        <w:rPr>
          <w:rFonts w:ascii="Arial" w:hAnsi="Arial" w:cs="Arial"/>
        </w:rPr>
        <w:t>For those reasons we have not considered this scenario any further.</w:t>
      </w:r>
    </w:p>
    <w:p w14:paraId="11C793F1" w14:textId="0BC85706"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For offices there is </w:t>
      </w:r>
      <w:r w:rsidR="002B1913" w:rsidRPr="00B13575">
        <w:rPr>
          <w:rFonts w:ascii="Arial" w:hAnsi="Arial" w:cs="Arial"/>
        </w:rPr>
        <w:t>little</w:t>
      </w:r>
      <w:r w:rsidRPr="00B13575">
        <w:rPr>
          <w:rFonts w:ascii="Arial" w:hAnsi="Arial" w:cs="Arial"/>
        </w:rPr>
        <w:t xml:space="preserve"> difference between the</w:t>
      </w:r>
      <w:r>
        <w:rPr>
          <w:rFonts w:ascii="Arial" w:hAnsi="Arial" w:cs="Arial"/>
        </w:rPr>
        <w:t xml:space="preserve"> remaining</w:t>
      </w:r>
      <w:r w:rsidRPr="00B13575">
        <w:rPr>
          <w:rFonts w:ascii="Arial" w:hAnsi="Arial" w:cs="Arial"/>
        </w:rPr>
        <w:t xml:space="preserve"> scenarios</w:t>
      </w:r>
      <w:r>
        <w:rPr>
          <w:rFonts w:ascii="Arial" w:hAnsi="Arial" w:cs="Arial"/>
        </w:rPr>
        <w:t xml:space="preserve"> (5.7 - 5.9 Ha)</w:t>
      </w:r>
      <w:r w:rsidR="004C7B56" w:rsidRPr="00B13575">
        <w:rPr>
          <w:rFonts w:ascii="Arial" w:hAnsi="Arial" w:cs="Arial"/>
        </w:rPr>
        <w:t xml:space="preserve">. </w:t>
      </w:r>
      <w:r w:rsidRPr="00B13575">
        <w:rPr>
          <w:rFonts w:ascii="Arial" w:hAnsi="Arial" w:cs="Arial"/>
        </w:rPr>
        <w:t xml:space="preserve">Given the labour demand scenario provides a range to allow for greater levels of home working it may be more prudent to use this source for assessing future need. </w:t>
      </w:r>
    </w:p>
    <w:p w14:paraId="30833149" w14:textId="71C35365" w:rsidR="00360825" w:rsidRPr="00B13575" w:rsidRDefault="00360825" w:rsidP="001A7584">
      <w:pPr>
        <w:pStyle w:val="BodyText"/>
        <w:numPr>
          <w:ilvl w:val="1"/>
          <w:numId w:val="6"/>
        </w:numPr>
        <w:tabs>
          <w:tab w:val="num" w:pos="0"/>
        </w:tabs>
        <w:ind w:left="0" w:hanging="709"/>
        <w:rPr>
          <w:rFonts w:ascii="Arial" w:hAnsi="Arial" w:cs="Arial"/>
        </w:rPr>
      </w:pPr>
      <w:r>
        <w:rPr>
          <w:rFonts w:ascii="Arial" w:hAnsi="Arial" w:cs="Arial"/>
        </w:rPr>
        <w:t>For industrial space (factories and warehouse) the combined need ranges from 14.8Ha to 16.9 Ha</w:t>
      </w:r>
      <w:r w:rsidR="002B1913">
        <w:rPr>
          <w:rFonts w:ascii="Arial" w:hAnsi="Arial" w:cs="Arial"/>
        </w:rPr>
        <w:t xml:space="preserve">. </w:t>
      </w:r>
      <w:r>
        <w:rPr>
          <w:rFonts w:ascii="Arial" w:hAnsi="Arial" w:cs="Arial"/>
        </w:rPr>
        <w:t>Given the demand for such space highlighted in the commercial market sector it would be reasonable to conclude at the higher end of this range.</w:t>
      </w:r>
    </w:p>
    <w:p w14:paraId="340681DB" w14:textId="13D4B66D"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Overall, the evidence suggests that the employment land needs for the Plan Area for the period 2021-39 is between </w:t>
      </w:r>
      <w:r>
        <w:rPr>
          <w:rFonts w:ascii="Arial" w:hAnsi="Arial" w:cs="Arial"/>
        </w:rPr>
        <w:t>22</w:t>
      </w:r>
      <w:r w:rsidRPr="00B13575">
        <w:rPr>
          <w:rFonts w:ascii="Arial" w:hAnsi="Arial" w:cs="Arial"/>
        </w:rPr>
        <w:t xml:space="preserve"> and </w:t>
      </w:r>
      <w:r>
        <w:rPr>
          <w:rFonts w:ascii="Arial" w:hAnsi="Arial" w:cs="Arial"/>
        </w:rPr>
        <w:t>23</w:t>
      </w:r>
      <w:r w:rsidRPr="00B13575">
        <w:rPr>
          <w:rFonts w:ascii="Arial" w:hAnsi="Arial" w:cs="Arial"/>
        </w:rPr>
        <w:t xml:space="preserve"> ha. Reflecting the commercial analysis the focus of need is on industrial (factory and warehouse) growth rather than office based need</w:t>
      </w:r>
      <w:r w:rsidR="002B1913" w:rsidRPr="00B13575">
        <w:rPr>
          <w:rFonts w:ascii="Arial" w:hAnsi="Arial" w:cs="Arial"/>
        </w:rPr>
        <w:t xml:space="preserve">. </w:t>
      </w:r>
    </w:p>
    <w:p w14:paraId="78B07B35" w14:textId="77777777" w:rsidR="00360825" w:rsidRPr="00B13575" w:rsidRDefault="00360825" w:rsidP="001A7584">
      <w:pPr>
        <w:pStyle w:val="Heading4"/>
        <w:ind w:firstLine="0"/>
      </w:pPr>
      <w:r w:rsidRPr="00B13575">
        <w:t>– Employment Floorspace and Land Requirements 2021-2039 – CLP Area</w:t>
      </w:r>
    </w:p>
    <w:tbl>
      <w:tblPr>
        <w:tblW w:w="8784" w:type="dxa"/>
        <w:tblLayout w:type="fixed"/>
        <w:tblLook w:val="04A0" w:firstRow="1" w:lastRow="0" w:firstColumn="1" w:lastColumn="0" w:noHBand="0" w:noVBand="1"/>
      </w:tblPr>
      <w:tblGrid>
        <w:gridCol w:w="1271"/>
        <w:gridCol w:w="2504"/>
        <w:gridCol w:w="2504"/>
        <w:gridCol w:w="2505"/>
      </w:tblGrid>
      <w:tr w:rsidR="00360825" w:rsidRPr="00B13575" w14:paraId="1893C44F" w14:textId="77777777" w:rsidTr="00C04569">
        <w:trPr>
          <w:trHeight w:val="467"/>
        </w:trPr>
        <w:tc>
          <w:tcPr>
            <w:tcW w:w="127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573997D" w14:textId="77777777" w:rsidR="00360825" w:rsidRPr="00DE1AA1" w:rsidRDefault="00360825" w:rsidP="00C04569">
            <w:pPr>
              <w:spacing w:after="0" w:line="240" w:lineRule="auto"/>
              <w:jc w:val="left"/>
              <w:rPr>
                <w:rFonts w:ascii="Arial" w:hAnsi="Arial" w:cs="Arial"/>
                <w:b/>
                <w:bCs/>
                <w:color w:val="FFFFFF"/>
              </w:rPr>
            </w:pPr>
            <w:r w:rsidRPr="00DE1AA1">
              <w:rPr>
                <w:rFonts w:ascii="Arial" w:hAnsi="Arial" w:cs="Arial"/>
                <w:color w:val="FFFFFF"/>
              </w:rPr>
              <w:t> </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5ED4265A"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Floorspace (Sq. m)</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0BD031A6"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Employment Land (Ha)</w:t>
            </w:r>
          </w:p>
        </w:tc>
        <w:tc>
          <w:tcPr>
            <w:tcW w:w="2505" w:type="dxa"/>
            <w:tcBorders>
              <w:top w:val="single" w:sz="4" w:space="0" w:color="auto"/>
              <w:left w:val="nil"/>
              <w:bottom w:val="single" w:sz="4" w:space="0" w:color="auto"/>
              <w:right w:val="single" w:sz="4" w:space="0" w:color="auto"/>
            </w:tcBorders>
            <w:shd w:val="clear" w:color="000000" w:fill="002060"/>
            <w:vAlign w:val="center"/>
          </w:tcPr>
          <w:p w14:paraId="4D0D76CF"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Source</w:t>
            </w:r>
          </w:p>
        </w:tc>
      </w:tr>
      <w:tr w:rsidR="00360825" w:rsidRPr="00B13575" w14:paraId="6F0D7CF7"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7DECDC2"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2504" w:type="dxa"/>
            <w:tcBorders>
              <w:top w:val="nil"/>
              <w:left w:val="nil"/>
              <w:bottom w:val="single" w:sz="4" w:space="0" w:color="auto"/>
              <w:right w:val="single" w:sz="4" w:space="0" w:color="auto"/>
            </w:tcBorders>
            <w:shd w:val="clear" w:color="auto" w:fill="auto"/>
            <w:noWrap/>
            <w:vAlign w:val="center"/>
            <w:hideMark/>
          </w:tcPr>
          <w:p w14:paraId="39887B1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36488 - 42863</w:t>
            </w:r>
          </w:p>
        </w:tc>
        <w:tc>
          <w:tcPr>
            <w:tcW w:w="2504" w:type="dxa"/>
            <w:tcBorders>
              <w:top w:val="nil"/>
              <w:left w:val="nil"/>
              <w:bottom w:val="single" w:sz="4" w:space="0" w:color="auto"/>
              <w:right w:val="single" w:sz="4" w:space="0" w:color="auto"/>
            </w:tcBorders>
            <w:shd w:val="clear" w:color="auto" w:fill="auto"/>
            <w:noWrap/>
            <w:vAlign w:val="center"/>
            <w:hideMark/>
          </w:tcPr>
          <w:p w14:paraId="43E8209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4.9 - 5.7</w:t>
            </w:r>
          </w:p>
        </w:tc>
        <w:tc>
          <w:tcPr>
            <w:tcW w:w="2505" w:type="dxa"/>
            <w:tcBorders>
              <w:top w:val="nil"/>
              <w:left w:val="nil"/>
              <w:bottom w:val="single" w:sz="4" w:space="0" w:color="auto"/>
              <w:right w:val="single" w:sz="4" w:space="0" w:color="auto"/>
            </w:tcBorders>
            <w:vAlign w:val="center"/>
          </w:tcPr>
          <w:p w14:paraId="3B38046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Labour Demand</w:t>
            </w:r>
          </w:p>
        </w:tc>
      </w:tr>
      <w:tr w:rsidR="00360825" w:rsidRPr="00B13575" w14:paraId="7076CF45"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3800D9B"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2504" w:type="dxa"/>
            <w:tcBorders>
              <w:top w:val="nil"/>
              <w:left w:val="nil"/>
              <w:bottom w:val="single" w:sz="4" w:space="0" w:color="auto"/>
              <w:right w:val="single" w:sz="4" w:space="0" w:color="auto"/>
            </w:tcBorders>
            <w:shd w:val="clear" w:color="auto" w:fill="auto"/>
            <w:noWrap/>
            <w:vAlign w:val="center"/>
            <w:hideMark/>
          </w:tcPr>
          <w:p w14:paraId="1296F98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50,497</w:t>
            </w:r>
          </w:p>
        </w:tc>
        <w:tc>
          <w:tcPr>
            <w:tcW w:w="2504" w:type="dxa"/>
            <w:tcBorders>
              <w:top w:val="nil"/>
              <w:left w:val="nil"/>
              <w:bottom w:val="single" w:sz="4" w:space="0" w:color="auto"/>
              <w:right w:val="single" w:sz="4" w:space="0" w:color="auto"/>
            </w:tcBorders>
            <w:shd w:val="clear" w:color="auto" w:fill="auto"/>
            <w:noWrap/>
            <w:vAlign w:val="center"/>
            <w:hideMark/>
          </w:tcPr>
          <w:p w14:paraId="44EEAFFE"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12.6</w:t>
            </w:r>
          </w:p>
        </w:tc>
        <w:tc>
          <w:tcPr>
            <w:tcW w:w="2505" w:type="dxa"/>
            <w:tcBorders>
              <w:top w:val="nil"/>
              <w:left w:val="nil"/>
              <w:bottom w:val="single" w:sz="4" w:space="0" w:color="auto"/>
              <w:right w:val="single" w:sz="4" w:space="0" w:color="auto"/>
            </w:tcBorders>
            <w:vAlign w:val="center"/>
          </w:tcPr>
          <w:p w14:paraId="13E26CD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Completions</w:t>
            </w:r>
          </w:p>
        </w:tc>
      </w:tr>
      <w:tr w:rsidR="00360825" w:rsidRPr="00B13575" w14:paraId="6A12EE8F"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8FA6F5F"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2504" w:type="dxa"/>
            <w:tcBorders>
              <w:top w:val="nil"/>
              <w:left w:val="nil"/>
              <w:bottom w:val="single" w:sz="4" w:space="0" w:color="auto"/>
              <w:right w:val="single" w:sz="4" w:space="0" w:color="auto"/>
            </w:tcBorders>
            <w:shd w:val="clear" w:color="auto" w:fill="auto"/>
            <w:noWrap/>
            <w:vAlign w:val="center"/>
            <w:hideMark/>
          </w:tcPr>
          <w:p w14:paraId="5A8F592A"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21,288</w:t>
            </w:r>
          </w:p>
        </w:tc>
        <w:tc>
          <w:tcPr>
            <w:tcW w:w="2504" w:type="dxa"/>
            <w:tcBorders>
              <w:top w:val="nil"/>
              <w:left w:val="nil"/>
              <w:bottom w:val="single" w:sz="4" w:space="0" w:color="auto"/>
              <w:right w:val="single" w:sz="4" w:space="0" w:color="auto"/>
            </w:tcBorders>
            <w:shd w:val="clear" w:color="auto" w:fill="auto"/>
            <w:noWrap/>
            <w:vAlign w:val="center"/>
            <w:hideMark/>
          </w:tcPr>
          <w:p w14:paraId="485C8F4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4.3</w:t>
            </w:r>
          </w:p>
        </w:tc>
        <w:tc>
          <w:tcPr>
            <w:tcW w:w="2505" w:type="dxa"/>
            <w:tcBorders>
              <w:top w:val="nil"/>
              <w:left w:val="nil"/>
              <w:bottom w:val="single" w:sz="4" w:space="0" w:color="auto"/>
              <w:right w:val="single" w:sz="4" w:space="0" w:color="auto"/>
            </w:tcBorders>
            <w:vAlign w:val="center"/>
          </w:tcPr>
          <w:p w14:paraId="21F25E2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Completions</w:t>
            </w:r>
          </w:p>
        </w:tc>
      </w:tr>
      <w:tr w:rsidR="00360825" w:rsidRPr="00B13575" w14:paraId="3794E57A"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356CF78"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2504" w:type="dxa"/>
            <w:tcBorders>
              <w:top w:val="nil"/>
              <w:left w:val="nil"/>
              <w:bottom w:val="single" w:sz="4" w:space="0" w:color="auto"/>
              <w:right w:val="single" w:sz="4" w:space="0" w:color="auto"/>
            </w:tcBorders>
            <w:shd w:val="clear" w:color="auto" w:fill="auto"/>
            <w:noWrap/>
            <w:vAlign w:val="bottom"/>
            <w:hideMark/>
          </w:tcPr>
          <w:p w14:paraId="6462218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110277 - 116796</w:t>
            </w:r>
          </w:p>
        </w:tc>
        <w:tc>
          <w:tcPr>
            <w:tcW w:w="2504" w:type="dxa"/>
            <w:tcBorders>
              <w:top w:val="nil"/>
              <w:left w:val="nil"/>
              <w:bottom w:val="single" w:sz="4" w:space="0" w:color="auto"/>
              <w:right w:val="single" w:sz="4" w:space="0" w:color="auto"/>
            </w:tcBorders>
            <w:shd w:val="clear" w:color="auto" w:fill="auto"/>
            <w:noWrap/>
            <w:vAlign w:val="bottom"/>
            <w:hideMark/>
          </w:tcPr>
          <w:p w14:paraId="23AD50D3"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22.0 – 23.0</w:t>
            </w:r>
          </w:p>
        </w:tc>
        <w:tc>
          <w:tcPr>
            <w:tcW w:w="2505" w:type="dxa"/>
            <w:tcBorders>
              <w:top w:val="nil"/>
              <w:left w:val="nil"/>
              <w:bottom w:val="single" w:sz="4" w:space="0" w:color="auto"/>
              <w:right w:val="single" w:sz="4" w:space="0" w:color="auto"/>
            </w:tcBorders>
            <w:vAlign w:val="bottom"/>
          </w:tcPr>
          <w:p w14:paraId="4B027024"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 </w:t>
            </w:r>
          </w:p>
        </w:tc>
      </w:tr>
    </w:tbl>
    <w:p w14:paraId="66344F56"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based on OE and WSCC Data</w:t>
      </w:r>
    </w:p>
    <w:p w14:paraId="7FD48429"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In addition to the identified need, the Council should also be flexible to the needs of Rolls Royce which is integral to the local economy. This might mean accommodating additional floorspace to support the transition to electric vehicles.</w:t>
      </w:r>
    </w:p>
    <w:p w14:paraId="16DF04A5" w14:textId="77777777" w:rsidR="00360825" w:rsidRPr="00B13575" w:rsidRDefault="00360825" w:rsidP="00360825">
      <w:pPr>
        <w:pStyle w:val="Heading2"/>
        <w:rPr>
          <w:rFonts w:ascii="Arial" w:hAnsi="Arial" w:cs="Arial"/>
        </w:rPr>
      </w:pPr>
      <w:r w:rsidRPr="00B13575">
        <w:rPr>
          <w:rFonts w:ascii="Arial" w:hAnsi="Arial" w:cs="Arial"/>
        </w:rPr>
        <w:lastRenderedPageBreak/>
        <w:t>Comparison to Previous HEDNA</w:t>
      </w:r>
    </w:p>
    <w:p w14:paraId="04C1E937" w14:textId="24A27994"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approach which relies on labour demand for offices and completion trends for industrial uses replicates the hybrid approach to assessing need within the previous HEDNA</w:t>
      </w:r>
      <w:r w:rsidR="002B1913" w:rsidRPr="00B13575">
        <w:rPr>
          <w:rFonts w:ascii="Arial" w:hAnsi="Arial" w:cs="Arial"/>
        </w:rPr>
        <w:t xml:space="preserve">. </w:t>
      </w:r>
      <w:r w:rsidRPr="00B13575">
        <w:rPr>
          <w:rFonts w:ascii="Arial" w:hAnsi="Arial" w:cs="Arial"/>
        </w:rPr>
        <w:t xml:space="preserve">However, the overall net need is </w:t>
      </w:r>
      <w:r>
        <w:rPr>
          <w:rFonts w:ascii="Arial" w:hAnsi="Arial" w:cs="Arial"/>
        </w:rPr>
        <w:t>slightly lower</w:t>
      </w:r>
      <w:r w:rsidRPr="00B13575">
        <w:rPr>
          <w:rFonts w:ascii="Arial" w:hAnsi="Arial" w:cs="Arial"/>
        </w:rPr>
        <w:t xml:space="preserve"> than the 25.6 Ha in 2020</w:t>
      </w:r>
      <w:r w:rsidR="002B1913" w:rsidRPr="00B13575">
        <w:rPr>
          <w:rFonts w:ascii="Arial" w:hAnsi="Arial" w:cs="Arial"/>
        </w:rPr>
        <w:t xml:space="preserve">. </w:t>
      </w:r>
    </w:p>
    <w:p w14:paraId="1E1C8A18" w14:textId="4D0ACD31" w:rsidR="00360825" w:rsidRPr="00B13575" w:rsidRDefault="009273C8" w:rsidP="001A7584">
      <w:pPr>
        <w:pStyle w:val="Heading4"/>
        <w:ind w:firstLine="0"/>
      </w:pPr>
      <w:r>
        <w:t xml:space="preserve">- </w:t>
      </w:r>
      <w:r w:rsidR="00360825" w:rsidRPr="00B13575">
        <w:t>Comparison to Previous HEDNA</w:t>
      </w:r>
    </w:p>
    <w:tbl>
      <w:tblPr>
        <w:tblpPr w:leftFromText="180" w:rightFromText="180" w:vertAnchor="text" w:horzAnchor="margin" w:tblpY="89"/>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4"/>
        <w:gridCol w:w="1752"/>
        <w:gridCol w:w="1753"/>
        <w:gridCol w:w="1752"/>
        <w:gridCol w:w="1753"/>
      </w:tblGrid>
      <w:tr w:rsidR="00360825" w:rsidRPr="00B13575" w14:paraId="6945F042" w14:textId="77777777" w:rsidTr="00C04569">
        <w:trPr>
          <w:trHeight w:hRule="exact" w:val="418"/>
        </w:trPr>
        <w:tc>
          <w:tcPr>
            <w:tcW w:w="1774" w:type="dxa"/>
            <w:shd w:val="clear" w:color="000000" w:fill="002060"/>
            <w:noWrap/>
            <w:vAlign w:val="center"/>
            <w:hideMark/>
          </w:tcPr>
          <w:p w14:paraId="47EA8D84" w14:textId="77777777" w:rsidR="00360825" w:rsidRPr="00DE1AA1" w:rsidRDefault="00360825" w:rsidP="00C04569">
            <w:pPr>
              <w:rPr>
                <w:rFonts w:ascii="Arial" w:hAnsi="Arial" w:cs="Arial"/>
                <w:color w:val="FFFFFF"/>
              </w:rPr>
            </w:pPr>
            <w:r w:rsidRPr="00DE1AA1">
              <w:rPr>
                <w:rFonts w:ascii="Arial" w:hAnsi="Arial" w:cs="Arial"/>
                <w:color w:val="FFFFFF"/>
              </w:rPr>
              <w:t>Type</w:t>
            </w:r>
          </w:p>
        </w:tc>
        <w:tc>
          <w:tcPr>
            <w:tcW w:w="1752" w:type="dxa"/>
            <w:shd w:val="clear" w:color="000000" w:fill="002060"/>
            <w:vAlign w:val="center"/>
          </w:tcPr>
          <w:p w14:paraId="0C43CFC8"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2020 Sq. m</w:t>
            </w:r>
          </w:p>
        </w:tc>
        <w:tc>
          <w:tcPr>
            <w:tcW w:w="1753" w:type="dxa"/>
            <w:shd w:val="clear" w:color="000000" w:fill="002060"/>
            <w:vAlign w:val="center"/>
          </w:tcPr>
          <w:p w14:paraId="2086E26E"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2020 Ha</w:t>
            </w:r>
          </w:p>
        </w:tc>
        <w:tc>
          <w:tcPr>
            <w:tcW w:w="1752" w:type="dxa"/>
            <w:shd w:val="clear" w:color="000000" w:fill="002060"/>
            <w:vAlign w:val="center"/>
            <w:hideMark/>
          </w:tcPr>
          <w:p w14:paraId="71A96755"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2022 Sq. m</w:t>
            </w:r>
          </w:p>
        </w:tc>
        <w:tc>
          <w:tcPr>
            <w:tcW w:w="1753" w:type="dxa"/>
            <w:shd w:val="clear" w:color="000000" w:fill="002060"/>
            <w:vAlign w:val="center"/>
            <w:hideMark/>
          </w:tcPr>
          <w:p w14:paraId="0AEE0BC3"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2022 Ha</w:t>
            </w:r>
          </w:p>
        </w:tc>
      </w:tr>
      <w:tr w:rsidR="00360825" w:rsidRPr="00B13575" w14:paraId="4B475D59" w14:textId="77777777" w:rsidTr="00C04569">
        <w:trPr>
          <w:trHeight w:hRule="exact" w:val="284"/>
        </w:trPr>
        <w:tc>
          <w:tcPr>
            <w:tcW w:w="1774" w:type="dxa"/>
            <w:shd w:val="clear" w:color="000000" w:fill="FFFFFF"/>
            <w:noWrap/>
            <w:vAlign w:val="center"/>
            <w:hideMark/>
          </w:tcPr>
          <w:p w14:paraId="3B1F0B90" w14:textId="77777777" w:rsidR="00360825" w:rsidRPr="00DE1AA1" w:rsidRDefault="00360825" w:rsidP="00C04569">
            <w:pPr>
              <w:rPr>
                <w:rFonts w:ascii="Arial" w:hAnsi="Arial" w:cs="Arial"/>
                <w:color w:val="000000"/>
              </w:rPr>
            </w:pPr>
            <w:r w:rsidRPr="00DE1AA1">
              <w:rPr>
                <w:rFonts w:ascii="Arial" w:hAnsi="Arial" w:cs="Arial"/>
                <w:color w:val="000000"/>
                <w:lang w:val="en-US"/>
              </w:rPr>
              <w:t>Office</w:t>
            </w:r>
          </w:p>
        </w:tc>
        <w:tc>
          <w:tcPr>
            <w:tcW w:w="1752" w:type="dxa"/>
            <w:shd w:val="clear" w:color="000000" w:fill="FFFFFF"/>
            <w:vAlign w:val="center"/>
          </w:tcPr>
          <w:p w14:paraId="310B6942"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40,400</w:t>
            </w:r>
          </w:p>
        </w:tc>
        <w:tc>
          <w:tcPr>
            <w:tcW w:w="1753" w:type="dxa"/>
            <w:shd w:val="clear" w:color="000000" w:fill="FFFFFF"/>
            <w:vAlign w:val="center"/>
          </w:tcPr>
          <w:p w14:paraId="1DD1C991"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5.4</w:t>
            </w:r>
          </w:p>
        </w:tc>
        <w:tc>
          <w:tcPr>
            <w:tcW w:w="1752" w:type="dxa"/>
            <w:shd w:val="clear" w:color="000000" w:fill="FFFFFF"/>
            <w:vAlign w:val="center"/>
            <w:hideMark/>
          </w:tcPr>
          <w:p w14:paraId="142E892F"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36,488 – 42,863</w:t>
            </w:r>
          </w:p>
        </w:tc>
        <w:tc>
          <w:tcPr>
            <w:tcW w:w="1753" w:type="dxa"/>
            <w:shd w:val="clear" w:color="000000" w:fill="FFFFFF"/>
            <w:vAlign w:val="center"/>
            <w:hideMark/>
          </w:tcPr>
          <w:p w14:paraId="58518AD1"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4.9 - 5.7</w:t>
            </w:r>
          </w:p>
        </w:tc>
      </w:tr>
      <w:tr w:rsidR="00360825" w:rsidRPr="00B13575" w14:paraId="0CABE063" w14:textId="77777777" w:rsidTr="00C04569">
        <w:trPr>
          <w:trHeight w:hRule="exact" w:val="284"/>
        </w:trPr>
        <w:tc>
          <w:tcPr>
            <w:tcW w:w="1774" w:type="dxa"/>
            <w:shd w:val="clear" w:color="000000" w:fill="FFFFFF"/>
            <w:noWrap/>
            <w:vAlign w:val="center"/>
            <w:hideMark/>
          </w:tcPr>
          <w:p w14:paraId="0BD50EFB" w14:textId="77777777" w:rsidR="00360825" w:rsidRPr="00DE1AA1" w:rsidRDefault="00360825" w:rsidP="00C04569">
            <w:pPr>
              <w:rPr>
                <w:rFonts w:ascii="Arial" w:hAnsi="Arial" w:cs="Arial"/>
                <w:color w:val="000000"/>
              </w:rPr>
            </w:pPr>
            <w:r>
              <w:rPr>
                <w:rFonts w:ascii="Arial" w:hAnsi="Arial" w:cs="Arial"/>
                <w:color w:val="000000"/>
                <w:lang w:val="en-US"/>
              </w:rPr>
              <w:t>Factory</w:t>
            </w:r>
          </w:p>
        </w:tc>
        <w:tc>
          <w:tcPr>
            <w:tcW w:w="1752" w:type="dxa"/>
            <w:shd w:val="clear" w:color="000000" w:fill="FFFFFF"/>
            <w:vAlign w:val="center"/>
          </w:tcPr>
          <w:p w14:paraId="07AC5907"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36,200</w:t>
            </w:r>
          </w:p>
        </w:tc>
        <w:tc>
          <w:tcPr>
            <w:tcW w:w="1753" w:type="dxa"/>
            <w:shd w:val="clear" w:color="000000" w:fill="FFFFFF"/>
            <w:vAlign w:val="center"/>
          </w:tcPr>
          <w:p w14:paraId="79E00A9A"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9.1</w:t>
            </w:r>
          </w:p>
        </w:tc>
        <w:tc>
          <w:tcPr>
            <w:tcW w:w="1752" w:type="dxa"/>
            <w:shd w:val="clear" w:color="000000" w:fill="FFFFFF"/>
            <w:vAlign w:val="center"/>
            <w:hideMark/>
          </w:tcPr>
          <w:p w14:paraId="2303A477"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50,497</w:t>
            </w:r>
          </w:p>
        </w:tc>
        <w:tc>
          <w:tcPr>
            <w:tcW w:w="1753" w:type="dxa"/>
            <w:shd w:val="clear" w:color="000000" w:fill="FFFFFF"/>
            <w:vAlign w:val="center"/>
            <w:hideMark/>
          </w:tcPr>
          <w:p w14:paraId="5DC94012"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12.6</w:t>
            </w:r>
          </w:p>
        </w:tc>
      </w:tr>
      <w:tr w:rsidR="00360825" w:rsidRPr="00B13575" w14:paraId="57B236F5" w14:textId="77777777" w:rsidTr="00C04569">
        <w:trPr>
          <w:trHeight w:hRule="exact" w:val="284"/>
        </w:trPr>
        <w:tc>
          <w:tcPr>
            <w:tcW w:w="1774" w:type="dxa"/>
            <w:shd w:val="clear" w:color="000000" w:fill="FFFFFF"/>
            <w:noWrap/>
            <w:vAlign w:val="center"/>
            <w:hideMark/>
          </w:tcPr>
          <w:p w14:paraId="38CBF462" w14:textId="77777777" w:rsidR="00360825" w:rsidRPr="00DE1AA1" w:rsidRDefault="00360825" w:rsidP="00C04569">
            <w:pPr>
              <w:rPr>
                <w:rFonts w:ascii="Arial" w:hAnsi="Arial" w:cs="Arial"/>
                <w:color w:val="000000"/>
              </w:rPr>
            </w:pPr>
            <w:r w:rsidRPr="00DE1AA1">
              <w:rPr>
                <w:rFonts w:ascii="Arial" w:hAnsi="Arial" w:cs="Arial"/>
                <w:color w:val="000000"/>
                <w:lang w:val="en-US"/>
              </w:rPr>
              <w:t>Warehouse</w:t>
            </w:r>
          </w:p>
        </w:tc>
        <w:tc>
          <w:tcPr>
            <w:tcW w:w="1752" w:type="dxa"/>
            <w:shd w:val="clear" w:color="000000" w:fill="FFFFFF"/>
            <w:vAlign w:val="center"/>
          </w:tcPr>
          <w:p w14:paraId="036B12D8"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55,600</w:t>
            </w:r>
          </w:p>
        </w:tc>
        <w:tc>
          <w:tcPr>
            <w:tcW w:w="1753" w:type="dxa"/>
            <w:shd w:val="clear" w:color="000000" w:fill="FFFFFF"/>
            <w:vAlign w:val="center"/>
          </w:tcPr>
          <w:p w14:paraId="3DBEA7A2"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11.1</w:t>
            </w:r>
          </w:p>
        </w:tc>
        <w:tc>
          <w:tcPr>
            <w:tcW w:w="1752" w:type="dxa"/>
            <w:shd w:val="clear" w:color="000000" w:fill="FFFFFF"/>
            <w:vAlign w:val="center"/>
            <w:hideMark/>
          </w:tcPr>
          <w:p w14:paraId="5631D069"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21,288</w:t>
            </w:r>
          </w:p>
        </w:tc>
        <w:tc>
          <w:tcPr>
            <w:tcW w:w="1753" w:type="dxa"/>
            <w:shd w:val="clear" w:color="000000" w:fill="FFFFFF"/>
            <w:vAlign w:val="center"/>
            <w:hideMark/>
          </w:tcPr>
          <w:p w14:paraId="50152ED3"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4.3</w:t>
            </w:r>
          </w:p>
        </w:tc>
      </w:tr>
      <w:tr w:rsidR="00360825" w:rsidRPr="00B13575" w14:paraId="6C3D2426" w14:textId="77777777" w:rsidTr="00C04569">
        <w:trPr>
          <w:trHeight w:hRule="exact" w:val="588"/>
        </w:trPr>
        <w:tc>
          <w:tcPr>
            <w:tcW w:w="1774" w:type="dxa"/>
            <w:shd w:val="clear" w:color="000000" w:fill="FFFFFF"/>
            <w:noWrap/>
            <w:vAlign w:val="center"/>
            <w:hideMark/>
          </w:tcPr>
          <w:p w14:paraId="6AF33AD4" w14:textId="77777777" w:rsidR="00360825" w:rsidRPr="00DE1AA1" w:rsidRDefault="00360825" w:rsidP="00C04569">
            <w:pPr>
              <w:rPr>
                <w:rFonts w:ascii="Arial" w:hAnsi="Arial" w:cs="Arial"/>
                <w:color w:val="000000"/>
              </w:rPr>
            </w:pPr>
            <w:r w:rsidRPr="00DE1AA1">
              <w:rPr>
                <w:rFonts w:ascii="Arial" w:hAnsi="Arial" w:cs="Arial"/>
                <w:color w:val="000000"/>
                <w:lang w:val="en-US"/>
              </w:rPr>
              <w:t>Total</w:t>
            </w:r>
          </w:p>
        </w:tc>
        <w:tc>
          <w:tcPr>
            <w:tcW w:w="1752" w:type="dxa"/>
            <w:shd w:val="clear" w:color="000000" w:fill="FFFFFF"/>
            <w:vAlign w:val="center"/>
          </w:tcPr>
          <w:p w14:paraId="1024D174"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132,200</w:t>
            </w:r>
          </w:p>
        </w:tc>
        <w:tc>
          <w:tcPr>
            <w:tcW w:w="1753" w:type="dxa"/>
            <w:shd w:val="clear" w:color="000000" w:fill="FFFFFF"/>
            <w:vAlign w:val="center"/>
          </w:tcPr>
          <w:p w14:paraId="6F83FB1F"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25.6</w:t>
            </w:r>
          </w:p>
        </w:tc>
        <w:tc>
          <w:tcPr>
            <w:tcW w:w="1752" w:type="dxa"/>
            <w:shd w:val="clear" w:color="000000" w:fill="FFFFFF"/>
            <w:vAlign w:val="center"/>
            <w:hideMark/>
          </w:tcPr>
          <w:p w14:paraId="3545C601"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110,277 – 116,796</w:t>
            </w:r>
          </w:p>
        </w:tc>
        <w:tc>
          <w:tcPr>
            <w:tcW w:w="1753" w:type="dxa"/>
            <w:shd w:val="clear" w:color="000000" w:fill="FFFFFF"/>
            <w:vAlign w:val="center"/>
            <w:hideMark/>
          </w:tcPr>
          <w:p w14:paraId="50C9E403"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22.0 – 23.0</w:t>
            </w:r>
          </w:p>
        </w:tc>
      </w:tr>
    </w:tbl>
    <w:p w14:paraId="00A0B693"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and CDC HEDNA 2020</w:t>
      </w:r>
    </w:p>
    <w:p w14:paraId="3088E71E" w14:textId="77777777" w:rsidR="00360825" w:rsidRPr="00B13575" w:rsidRDefault="00360825" w:rsidP="001A7584">
      <w:pPr>
        <w:pStyle w:val="BodyText"/>
        <w:numPr>
          <w:ilvl w:val="1"/>
          <w:numId w:val="6"/>
        </w:numPr>
        <w:tabs>
          <w:tab w:val="num" w:pos="0"/>
        </w:tabs>
        <w:ind w:left="0" w:hanging="709"/>
        <w:rPr>
          <w:rFonts w:ascii="Arial" w:hAnsi="Arial" w:cs="Arial"/>
        </w:rPr>
      </w:pPr>
      <w:r>
        <w:rPr>
          <w:rFonts w:ascii="Arial" w:hAnsi="Arial" w:cs="Arial"/>
        </w:rPr>
        <w:t xml:space="preserve">The need for offices is largely unchanged while the need for factories has increased and warehousing has decreased.   This is reasonable given the major impacts on the economy that have occurred over the last two years however this should be monitored with any notable recovery addressed. </w:t>
      </w:r>
    </w:p>
    <w:p w14:paraId="0F1728D8" w14:textId="77777777" w:rsidR="00360825" w:rsidRPr="00B13575" w:rsidRDefault="00360825" w:rsidP="00360825">
      <w:pPr>
        <w:pStyle w:val="Heading2"/>
        <w:rPr>
          <w:rFonts w:ascii="Arial" w:hAnsi="Arial" w:cs="Arial"/>
        </w:rPr>
      </w:pPr>
      <w:r w:rsidRPr="00B13575">
        <w:rPr>
          <w:rFonts w:ascii="Arial" w:hAnsi="Arial" w:cs="Arial"/>
        </w:rPr>
        <w:t>Summary</w:t>
      </w:r>
    </w:p>
    <w:p w14:paraId="06869544"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As per the Planning Practice Guidance the use of a number of different techniques to estimate future employment land have been used including labour demand, labour supply and completions trends.</w:t>
      </w:r>
    </w:p>
    <w:p w14:paraId="741902AA"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In addition we also considered the impact of the pandemic and the potential to reabsorb some jobs within the existing stock, the provision of a flexible margin and future losses to other uses (replacement demand). We also considered the proportion of floorspace required in the Plan Area (85%) as opposed to the SDNP (15%). </w:t>
      </w:r>
    </w:p>
    <w:p w14:paraId="7E883BB6"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This resulted in an overall labour demand need for between </w:t>
      </w:r>
      <w:r>
        <w:rPr>
          <w:rFonts w:ascii="Arial" w:hAnsi="Arial" w:cs="Arial"/>
          <w:color w:val="000000"/>
        </w:rPr>
        <w:t>19.7 and 20.5</w:t>
      </w:r>
      <w:r w:rsidRPr="00B13575">
        <w:rPr>
          <w:rFonts w:ascii="Arial" w:hAnsi="Arial" w:cs="Arial"/>
        </w:rPr>
        <w:t>Ha of employment land in the Plan Area between 2021 and 2039.</w:t>
      </w:r>
    </w:p>
    <w:p w14:paraId="4B67B8C4" w14:textId="030243DE"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As with the previous HEDNA we have concluded that the most appropriate scenario to plan for is a hybrid of the labour demand growth scenario and past net completions</w:t>
      </w:r>
      <w:r w:rsidR="002B1913" w:rsidRPr="00B13575">
        <w:rPr>
          <w:rFonts w:ascii="Arial" w:hAnsi="Arial" w:cs="Arial"/>
        </w:rPr>
        <w:t xml:space="preserve">. </w:t>
      </w:r>
    </w:p>
    <w:p w14:paraId="65281696"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Overall, the evidence suggests that the employment land needs for the Plan Area for the period 2021-39 is for between 1</w:t>
      </w:r>
      <w:r>
        <w:rPr>
          <w:rFonts w:ascii="Arial" w:hAnsi="Arial" w:cs="Arial"/>
        </w:rPr>
        <w:t>10</w:t>
      </w:r>
      <w:r w:rsidRPr="00DE1AA1">
        <w:rPr>
          <w:rFonts w:ascii="Arial" w:hAnsi="Arial" w:cs="Arial"/>
        </w:rPr>
        <w:t>,000 and 1</w:t>
      </w:r>
      <w:r>
        <w:rPr>
          <w:rFonts w:ascii="Arial" w:hAnsi="Arial" w:cs="Arial"/>
        </w:rPr>
        <w:t>17</w:t>
      </w:r>
      <w:r w:rsidRPr="00DE1AA1">
        <w:rPr>
          <w:rFonts w:ascii="Arial" w:hAnsi="Arial" w:cs="Arial"/>
        </w:rPr>
        <w:t xml:space="preserve">,000 sqm of floorspace which translates to </w:t>
      </w:r>
      <w:r>
        <w:rPr>
          <w:rFonts w:ascii="Arial" w:hAnsi="Arial" w:cs="Arial"/>
        </w:rPr>
        <w:t>22</w:t>
      </w:r>
      <w:r w:rsidRPr="00DE1AA1">
        <w:rPr>
          <w:rFonts w:ascii="Arial" w:hAnsi="Arial" w:cs="Arial"/>
        </w:rPr>
        <w:t xml:space="preserve"> and </w:t>
      </w:r>
      <w:r>
        <w:rPr>
          <w:rFonts w:ascii="Arial" w:hAnsi="Arial" w:cs="Arial"/>
        </w:rPr>
        <w:t>23</w:t>
      </w:r>
      <w:r w:rsidRPr="00DE1AA1">
        <w:rPr>
          <w:rFonts w:ascii="Arial" w:hAnsi="Arial" w:cs="Arial"/>
        </w:rPr>
        <w:t xml:space="preserve"> ha in employment land. </w:t>
      </w:r>
    </w:p>
    <w:p w14:paraId="4DF75B19" w14:textId="77777777" w:rsidR="00360825" w:rsidRPr="00B13575" w:rsidRDefault="00360825" w:rsidP="001A7584">
      <w:pPr>
        <w:pStyle w:val="Heading4"/>
        <w:ind w:firstLine="0"/>
      </w:pPr>
      <w:r w:rsidRPr="00B13575">
        <w:lastRenderedPageBreak/>
        <w:t>– Employment Floorspace and Land Requirements 2021-2039 – CLP Area</w:t>
      </w:r>
    </w:p>
    <w:tbl>
      <w:tblPr>
        <w:tblW w:w="8784" w:type="dxa"/>
        <w:tblLayout w:type="fixed"/>
        <w:tblLook w:val="04A0" w:firstRow="1" w:lastRow="0" w:firstColumn="1" w:lastColumn="0" w:noHBand="0" w:noVBand="1"/>
      </w:tblPr>
      <w:tblGrid>
        <w:gridCol w:w="1271"/>
        <w:gridCol w:w="2504"/>
        <w:gridCol w:w="2504"/>
        <w:gridCol w:w="2505"/>
      </w:tblGrid>
      <w:tr w:rsidR="00360825" w:rsidRPr="00DE1AA1" w14:paraId="4D4C2DC0" w14:textId="77777777" w:rsidTr="00C04569">
        <w:trPr>
          <w:trHeight w:val="467"/>
        </w:trPr>
        <w:tc>
          <w:tcPr>
            <w:tcW w:w="127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56EA96C" w14:textId="77777777" w:rsidR="00360825" w:rsidRPr="00DE1AA1" w:rsidRDefault="00360825" w:rsidP="00C04569">
            <w:pPr>
              <w:spacing w:after="0" w:line="240" w:lineRule="auto"/>
              <w:jc w:val="left"/>
              <w:rPr>
                <w:rFonts w:ascii="Arial" w:hAnsi="Arial" w:cs="Arial"/>
                <w:b/>
                <w:bCs/>
                <w:color w:val="FFFFFF"/>
              </w:rPr>
            </w:pPr>
            <w:r w:rsidRPr="00DE1AA1">
              <w:rPr>
                <w:rFonts w:ascii="Arial" w:hAnsi="Arial" w:cs="Arial"/>
                <w:color w:val="FFFFFF"/>
              </w:rPr>
              <w:t> </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216657D2"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Floorspace (Sq. m)</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6E43E6FB"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Employment Land (Ha)</w:t>
            </w:r>
          </w:p>
        </w:tc>
        <w:tc>
          <w:tcPr>
            <w:tcW w:w="2505" w:type="dxa"/>
            <w:tcBorders>
              <w:top w:val="single" w:sz="4" w:space="0" w:color="auto"/>
              <w:left w:val="nil"/>
              <w:bottom w:val="single" w:sz="4" w:space="0" w:color="auto"/>
              <w:right w:val="single" w:sz="4" w:space="0" w:color="auto"/>
            </w:tcBorders>
            <w:shd w:val="clear" w:color="000000" w:fill="002060"/>
            <w:vAlign w:val="center"/>
          </w:tcPr>
          <w:p w14:paraId="3E012744"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Source</w:t>
            </w:r>
          </w:p>
        </w:tc>
      </w:tr>
      <w:tr w:rsidR="00360825" w:rsidRPr="00B13575" w14:paraId="1870D650"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E83F49D"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2504" w:type="dxa"/>
            <w:tcBorders>
              <w:top w:val="nil"/>
              <w:left w:val="nil"/>
              <w:bottom w:val="single" w:sz="4" w:space="0" w:color="auto"/>
              <w:right w:val="single" w:sz="4" w:space="0" w:color="auto"/>
            </w:tcBorders>
            <w:shd w:val="clear" w:color="auto" w:fill="auto"/>
            <w:noWrap/>
            <w:vAlign w:val="center"/>
            <w:hideMark/>
          </w:tcPr>
          <w:p w14:paraId="274C316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36,488 – 42,863</w:t>
            </w:r>
          </w:p>
        </w:tc>
        <w:tc>
          <w:tcPr>
            <w:tcW w:w="2504" w:type="dxa"/>
            <w:tcBorders>
              <w:top w:val="nil"/>
              <w:left w:val="nil"/>
              <w:bottom w:val="single" w:sz="4" w:space="0" w:color="auto"/>
              <w:right w:val="single" w:sz="4" w:space="0" w:color="auto"/>
            </w:tcBorders>
            <w:shd w:val="clear" w:color="auto" w:fill="auto"/>
            <w:noWrap/>
            <w:vAlign w:val="center"/>
            <w:hideMark/>
          </w:tcPr>
          <w:p w14:paraId="310F4A4E"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4.9 - 5.7</w:t>
            </w:r>
          </w:p>
        </w:tc>
        <w:tc>
          <w:tcPr>
            <w:tcW w:w="2505" w:type="dxa"/>
            <w:tcBorders>
              <w:top w:val="nil"/>
              <w:left w:val="nil"/>
              <w:bottom w:val="single" w:sz="4" w:space="0" w:color="auto"/>
              <w:right w:val="single" w:sz="4" w:space="0" w:color="auto"/>
            </w:tcBorders>
            <w:vAlign w:val="center"/>
          </w:tcPr>
          <w:p w14:paraId="32A253AD"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Labour Demand</w:t>
            </w:r>
          </w:p>
        </w:tc>
      </w:tr>
      <w:tr w:rsidR="00360825" w:rsidRPr="00B13575" w14:paraId="6D73B621"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BDA72F6"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2504" w:type="dxa"/>
            <w:tcBorders>
              <w:top w:val="nil"/>
              <w:left w:val="nil"/>
              <w:bottom w:val="single" w:sz="4" w:space="0" w:color="auto"/>
              <w:right w:val="single" w:sz="4" w:space="0" w:color="auto"/>
            </w:tcBorders>
            <w:shd w:val="clear" w:color="auto" w:fill="auto"/>
            <w:noWrap/>
            <w:vAlign w:val="center"/>
            <w:hideMark/>
          </w:tcPr>
          <w:p w14:paraId="46790E2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50,497</w:t>
            </w:r>
          </w:p>
        </w:tc>
        <w:tc>
          <w:tcPr>
            <w:tcW w:w="2504" w:type="dxa"/>
            <w:tcBorders>
              <w:top w:val="nil"/>
              <w:left w:val="nil"/>
              <w:bottom w:val="single" w:sz="4" w:space="0" w:color="auto"/>
              <w:right w:val="single" w:sz="4" w:space="0" w:color="auto"/>
            </w:tcBorders>
            <w:shd w:val="clear" w:color="auto" w:fill="auto"/>
            <w:noWrap/>
            <w:vAlign w:val="center"/>
            <w:hideMark/>
          </w:tcPr>
          <w:p w14:paraId="2D21A0C7"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12.6</w:t>
            </w:r>
          </w:p>
        </w:tc>
        <w:tc>
          <w:tcPr>
            <w:tcW w:w="2505" w:type="dxa"/>
            <w:tcBorders>
              <w:top w:val="nil"/>
              <w:left w:val="nil"/>
              <w:bottom w:val="single" w:sz="4" w:space="0" w:color="auto"/>
              <w:right w:val="single" w:sz="4" w:space="0" w:color="auto"/>
            </w:tcBorders>
            <w:vAlign w:val="center"/>
          </w:tcPr>
          <w:p w14:paraId="7E21B041"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Completions</w:t>
            </w:r>
          </w:p>
        </w:tc>
      </w:tr>
      <w:tr w:rsidR="00360825" w:rsidRPr="00B13575" w14:paraId="4F0C5D0C"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B1F0E65"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2504" w:type="dxa"/>
            <w:tcBorders>
              <w:top w:val="nil"/>
              <w:left w:val="nil"/>
              <w:bottom w:val="single" w:sz="4" w:space="0" w:color="auto"/>
              <w:right w:val="single" w:sz="4" w:space="0" w:color="auto"/>
            </w:tcBorders>
            <w:shd w:val="clear" w:color="auto" w:fill="auto"/>
            <w:noWrap/>
            <w:vAlign w:val="center"/>
            <w:hideMark/>
          </w:tcPr>
          <w:p w14:paraId="4177FCA7"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21,288</w:t>
            </w:r>
          </w:p>
        </w:tc>
        <w:tc>
          <w:tcPr>
            <w:tcW w:w="2504" w:type="dxa"/>
            <w:tcBorders>
              <w:top w:val="nil"/>
              <w:left w:val="nil"/>
              <w:bottom w:val="single" w:sz="4" w:space="0" w:color="auto"/>
              <w:right w:val="single" w:sz="4" w:space="0" w:color="auto"/>
            </w:tcBorders>
            <w:shd w:val="clear" w:color="auto" w:fill="auto"/>
            <w:noWrap/>
            <w:vAlign w:val="center"/>
            <w:hideMark/>
          </w:tcPr>
          <w:p w14:paraId="332462D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4.3</w:t>
            </w:r>
          </w:p>
        </w:tc>
        <w:tc>
          <w:tcPr>
            <w:tcW w:w="2505" w:type="dxa"/>
            <w:tcBorders>
              <w:top w:val="nil"/>
              <w:left w:val="nil"/>
              <w:bottom w:val="single" w:sz="4" w:space="0" w:color="auto"/>
              <w:right w:val="single" w:sz="4" w:space="0" w:color="auto"/>
            </w:tcBorders>
            <w:vAlign w:val="center"/>
          </w:tcPr>
          <w:p w14:paraId="15F0B996"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Completions</w:t>
            </w:r>
          </w:p>
        </w:tc>
      </w:tr>
      <w:tr w:rsidR="00360825" w:rsidRPr="00B13575" w14:paraId="09830EFE"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85A7FFC"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2504" w:type="dxa"/>
            <w:tcBorders>
              <w:top w:val="nil"/>
              <w:left w:val="nil"/>
              <w:bottom w:val="single" w:sz="4" w:space="0" w:color="auto"/>
              <w:right w:val="single" w:sz="4" w:space="0" w:color="auto"/>
            </w:tcBorders>
            <w:shd w:val="clear" w:color="auto" w:fill="auto"/>
            <w:noWrap/>
            <w:vAlign w:val="center"/>
            <w:hideMark/>
          </w:tcPr>
          <w:p w14:paraId="32ECAC3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110,277 – 116,796</w:t>
            </w:r>
          </w:p>
        </w:tc>
        <w:tc>
          <w:tcPr>
            <w:tcW w:w="2504" w:type="dxa"/>
            <w:tcBorders>
              <w:top w:val="nil"/>
              <w:left w:val="nil"/>
              <w:bottom w:val="single" w:sz="4" w:space="0" w:color="auto"/>
              <w:right w:val="single" w:sz="4" w:space="0" w:color="auto"/>
            </w:tcBorders>
            <w:shd w:val="clear" w:color="auto" w:fill="auto"/>
            <w:noWrap/>
            <w:vAlign w:val="center"/>
            <w:hideMark/>
          </w:tcPr>
          <w:p w14:paraId="3C982A6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22.0 – 23.0</w:t>
            </w:r>
          </w:p>
        </w:tc>
        <w:tc>
          <w:tcPr>
            <w:tcW w:w="2505" w:type="dxa"/>
            <w:tcBorders>
              <w:top w:val="nil"/>
              <w:left w:val="nil"/>
              <w:bottom w:val="single" w:sz="4" w:space="0" w:color="auto"/>
              <w:right w:val="single" w:sz="4" w:space="0" w:color="auto"/>
            </w:tcBorders>
            <w:vAlign w:val="bottom"/>
          </w:tcPr>
          <w:p w14:paraId="34A06D04"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 </w:t>
            </w:r>
          </w:p>
        </w:tc>
      </w:tr>
    </w:tbl>
    <w:p w14:paraId="03E2E644"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based on OE and WSCC Data</w:t>
      </w:r>
    </w:p>
    <w:p w14:paraId="32A876D3" w14:textId="54537EF8"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This is </w:t>
      </w:r>
      <w:r>
        <w:rPr>
          <w:rFonts w:ascii="Arial" w:hAnsi="Arial" w:cs="Arial"/>
        </w:rPr>
        <w:t>slightly lower</w:t>
      </w:r>
      <w:r w:rsidRPr="00DE1AA1">
        <w:rPr>
          <w:rFonts w:ascii="Arial" w:hAnsi="Arial" w:cs="Arial"/>
        </w:rPr>
        <w:t xml:space="preserve"> than the previous </w:t>
      </w:r>
      <w:r>
        <w:rPr>
          <w:rFonts w:ascii="Arial" w:hAnsi="Arial" w:cs="Arial"/>
        </w:rPr>
        <w:t xml:space="preserve">2020 </w:t>
      </w:r>
      <w:r w:rsidRPr="00DE1AA1">
        <w:rPr>
          <w:rFonts w:ascii="Arial" w:hAnsi="Arial" w:cs="Arial"/>
        </w:rPr>
        <w:t xml:space="preserve">HEDNA which arrived at a need for 25.6 Ha. However, </w:t>
      </w:r>
      <w:r>
        <w:rPr>
          <w:rFonts w:ascii="Arial" w:hAnsi="Arial" w:cs="Arial"/>
        </w:rPr>
        <w:t>given shocks to the market in the interim period this reduction would not seem unreasonable</w:t>
      </w:r>
      <w:r w:rsidR="002B1913" w:rsidRPr="00DE1AA1">
        <w:rPr>
          <w:rFonts w:ascii="Arial" w:hAnsi="Arial" w:cs="Arial"/>
        </w:rPr>
        <w:t xml:space="preserve">. </w:t>
      </w:r>
    </w:p>
    <w:p w14:paraId="03E3585E"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In addition to the</w:t>
      </w:r>
      <w:r>
        <w:rPr>
          <w:rFonts w:ascii="Arial" w:hAnsi="Arial" w:cs="Arial"/>
        </w:rPr>
        <w:t xml:space="preserve"> need</w:t>
      </w:r>
      <w:r w:rsidRPr="00DE1AA1">
        <w:rPr>
          <w:rFonts w:ascii="Arial" w:hAnsi="Arial" w:cs="Arial"/>
        </w:rPr>
        <w:t xml:space="preserve"> identified </w:t>
      </w:r>
      <w:r>
        <w:rPr>
          <w:rFonts w:ascii="Arial" w:hAnsi="Arial" w:cs="Arial"/>
        </w:rPr>
        <w:t>above</w:t>
      </w:r>
      <w:r w:rsidRPr="00DE1AA1">
        <w:rPr>
          <w:rFonts w:ascii="Arial" w:hAnsi="Arial" w:cs="Arial"/>
        </w:rPr>
        <w:t xml:space="preserve">, the Council should also be flexible to the needs of Rolls Royce which is integral to the local economy. This might mean accommodation </w:t>
      </w:r>
      <w:r w:rsidRPr="00B13575">
        <w:rPr>
          <w:rFonts w:ascii="Arial" w:hAnsi="Arial" w:cs="Arial"/>
        </w:rPr>
        <w:t>additional</w:t>
      </w:r>
      <w:r w:rsidRPr="00DE1AA1">
        <w:rPr>
          <w:rFonts w:ascii="Arial" w:hAnsi="Arial" w:cs="Arial"/>
        </w:rPr>
        <w:t xml:space="preserve"> floorspace to support the transition to electric vehicles.</w:t>
      </w:r>
    </w:p>
    <w:bookmarkEnd w:id="73"/>
    <w:p w14:paraId="43C1CE36" w14:textId="77777777" w:rsidR="00360825" w:rsidRDefault="00360825" w:rsidP="00360825"/>
    <w:bookmarkEnd w:id="74"/>
    <w:bookmarkEnd w:id="75"/>
    <w:p w14:paraId="7D10D311" w14:textId="77777777" w:rsidR="00360825" w:rsidRPr="00DE1AA1" w:rsidRDefault="00360825" w:rsidP="00360825">
      <w:pPr>
        <w:spacing w:after="0" w:line="240" w:lineRule="auto"/>
        <w:jc w:val="left"/>
        <w:rPr>
          <w:rFonts w:ascii="Arial" w:hAnsi="Arial" w:cs="Arial"/>
        </w:rPr>
      </w:pPr>
      <w:r w:rsidRPr="00DE1AA1">
        <w:rPr>
          <w:rFonts w:ascii="Arial" w:hAnsi="Arial" w:cs="Arial"/>
        </w:rPr>
        <w:br w:type="page"/>
      </w:r>
    </w:p>
    <w:p w14:paraId="097E3122" w14:textId="2CA01A44" w:rsidR="00360825" w:rsidRPr="00D556DB" w:rsidRDefault="00360825" w:rsidP="008C3225">
      <w:pPr>
        <w:pStyle w:val="HeadingAppendices"/>
        <w:numPr>
          <w:ilvl w:val="3"/>
          <w:numId w:val="43"/>
        </w:numPr>
        <w:ind w:left="0" w:hanging="567"/>
        <w:rPr>
          <w:rFonts w:ascii="Arial" w:hAnsi="Arial" w:cs="Arial"/>
        </w:rPr>
      </w:pPr>
      <w:bookmarkStart w:id="76" w:name="_Toc96373713"/>
      <w:r w:rsidRPr="00D556DB">
        <w:rPr>
          <w:rFonts w:ascii="Arial" w:hAnsi="Arial" w:cs="Arial"/>
        </w:rPr>
        <w:lastRenderedPageBreak/>
        <w:t>Infrastructure Constrained Scenario – 555 d</w:t>
      </w:r>
      <w:r w:rsidR="00544E37">
        <w:rPr>
          <w:rFonts w:ascii="Arial" w:hAnsi="Arial" w:cs="Arial"/>
        </w:rPr>
        <w:t xml:space="preserve">wellings </w:t>
      </w:r>
      <w:r w:rsidRPr="00D556DB">
        <w:rPr>
          <w:rFonts w:ascii="Arial" w:hAnsi="Arial" w:cs="Arial"/>
        </w:rPr>
        <w:t>p</w:t>
      </w:r>
      <w:r w:rsidR="00544E37">
        <w:rPr>
          <w:rFonts w:ascii="Arial" w:hAnsi="Arial" w:cs="Arial"/>
        </w:rPr>
        <w:t xml:space="preserve">er </w:t>
      </w:r>
      <w:r w:rsidRPr="00D556DB">
        <w:rPr>
          <w:rFonts w:ascii="Arial" w:hAnsi="Arial" w:cs="Arial"/>
        </w:rPr>
        <w:t>a</w:t>
      </w:r>
      <w:bookmarkEnd w:id="76"/>
      <w:r w:rsidR="00544E37">
        <w:rPr>
          <w:rFonts w:ascii="Arial" w:hAnsi="Arial" w:cs="Arial"/>
        </w:rPr>
        <w:t>nnum</w:t>
      </w:r>
    </w:p>
    <w:p w14:paraId="065F1742" w14:textId="77777777" w:rsidR="00393E1C" w:rsidRPr="00010B1F" w:rsidRDefault="00393E1C" w:rsidP="00010B1F">
      <w:pPr>
        <w:pStyle w:val="BodytextAppendices"/>
        <w:numPr>
          <w:ilvl w:val="4"/>
          <w:numId w:val="43"/>
        </w:numPr>
        <w:tabs>
          <w:tab w:val="clear" w:pos="0"/>
        </w:tabs>
        <w:ind w:hanging="567"/>
        <w:rPr>
          <w:rFonts w:ascii="Arial" w:hAnsi="Arial" w:cs="Arial"/>
        </w:rPr>
      </w:pPr>
      <w:r w:rsidRPr="00D556DB">
        <w:rPr>
          <w:rFonts w:ascii="Arial" w:hAnsi="Arial" w:cs="Arial"/>
        </w:rPr>
        <w:t>The PPG on Housing Needs Assessments</w:t>
      </w:r>
      <w:r w:rsidRPr="00C14995">
        <w:rPr>
          <w:vertAlign w:val="superscript"/>
        </w:rPr>
        <w:footnoteReference w:id="29"/>
      </w:r>
      <w:r w:rsidRPr="00D556DB">
        <w:rPr>
          <w:rFonts w:ascii="Arial" w:hAnsi="Arial" w:cs="Arial"/>
        </w:rPr>
        <w:t xml:space="preserve"> is clear that housing need is an unconstrained assessment of the number of homes needed in an area. The assessment should be undertaken separately from assessing land availability, establishing a housing requirement figure and preparing policies to address this.</w:t>
      </w:r>
    </w:p>
    <w:p w14:paraId="090BE1BF" w14:textId="3607EB7D" w:rsidR="00393E1C" w:rsidRPr="00010B1F" w:rsidRDefault="00393E1C" w:rsidP="00010B1F">
      <w:pPr>
        <w:pStyle w:val="BodytextAppendices"/>
        <w:numPr>
          <w:ilvl w:val="4"/>
          <w:numId w:val="43"/>
        </w:numPr>
        <w:tabs>
          <w:tab w:val="clear" w:pos="0"/>
        </w:tabs>
        <w:ind w:hanging="567"/>
        <w:rPr>
          <w:rFonts w:ascii="Arial" w:hAnsi="Arial" w:cs="Arial"/>
        </w:rPr>
      </w:pPr>
      <w:r w:rsidRPr="00D556DB">
        <w:rPr>
          <w:rFonts w:ascii="Arial" w:hAnsi="Arial" w:cs="Arial"/>
        </w:rPr>
        <w:t xml:space="preserve">Notwithstanding this, there are recognised significant issues in the District associated with </w:t>
      </w:r>
      <w:r w:rsidRPr="00010B1F">
        <w:rPr>
          <w:rFonts w:ascii="Arial" w:hAnsi="Arial" w:cs="Arial"/>
        </w:rPr>
        <w:t>highways</w:t>
      </w:r>
      <w:r w:rsidRPr="00D556DB">
        <w:rPr>
          <w:rFonts w:ascii="Arial" w:hAnsi="Arial" w:cs="Arial"/>
        </w:rPr>
        <w:t xml:space="preserve"> capacity as well as nationally significant constraints including an Area of Outstanding Natural Beauty, the sea to the south and the National Park. Accordingly, this </w:t>
      </w:r>
      <w:r w:rsidR="00335CA9">
        <w:rPr>
          <w:rFonts w:ascii="Arial" w:hAnsi="Arial" w:cs="Arial"/>
        </w:rPr>
        <w:t xml:space="preserve"> appendix </w:t>
      </w:r>
      <w:r w:rsidRPr="00D556DB">
        <w:rPr>
          <w:rFonts w:ascii="Arial" w:hAnsi="Arial" w:cs="Arial"/>
        </w:rPr>
        <w:t xml:space="preserve"> consider</w:t>
      </w:r>
      <w:r w:rsidR="00335CA9">
        <w:rPr>
          <w:rFonts w:ascii="Arial" w:hAnsi="Arial" w:cs="Arial"/>
        </w:rPr>
        <w:t>s</w:t>
      </w:r>
      <w:r w:rsidRPr="00D556DB">
        <w:rPr>
          <w:rFonts w:ascii="Arial" w:hAnsi="Arial" w:cs="Arial"/>
        </w:rPr>
        <w:t xml:space="preserve"> </w:t>
      </w:r>
      <w:r w:rsidR="00544E37">
        <w:rPr>
          <w:rFonts w:ascii="Arial" w:hAnsi="Arial" w:cs="Arial"/>
        </w:rPr>
        <w:t xml:space="preserve"> the housing and employment needs associated with </w:t>
      </w:r>
      <w:r w:rsidRPr="00D556DB">
        <w:rPr>
          <w:rFonts w:ascii="Arial" w:hAnsi="Arial" w:cs="Arial"/>
        </w:rPr>
        <w:t>an</w:t>
      </w:r>
      <w:r w:rsidR="00544E37">
        <w:rPr>
          <w:rFonts w:ascii="Arial" w:hAnsi="Arial" w:cs="Arial"/>
        </w:rPr>
        <w:t xml:space="preserve"> alternative</w:t>
      </w:r>
      <w:r w:rsidRPr="00D556DB">
        <w:rPr>
          <w:rFonts w:ascii="Arial" w:hAnsi="Arial" w:cs="Arial"/>
        </w:rPr>
        <w:t xml:space="preserve"> infrastructure constrained scenario</w:t>
      </w:r>
      <w:r w:rsidR="0093675D">
        <w:rPr>
          <w:rFonts w:ascii="Arial" w:hAnsi="Arial" w:cs="Arial"/>
        </w:rPr>
        <w:t xml:space="preserve"> developed for testing.</w:t>
      </w:r>
      <w:r w:rsidRPr="00D556DB">
        <w:rPr>
          <w:rFonts w:ascii="Arial" w:hAnsi="Arial" w:cs="Arial"/>
        </w:rPr>
        <w:t xml:space="preserve"> </w:t>
      </w:r>
    </w:p>
    <w:p w14:paraId="27E01AA7" w14:textId="77777777" w:rsidR="00393E1C" w:rsidRPr="00D556DB" w:rsidRDefault="00393E1C" w:rsidP="00010B1F">
      <w:pPr>
        <w:pStyle w:val="BodytextAppendices"/>
        <w:numPr>
          <w:ilvl w:val="4"/>
          <w:numId w:val="43"/>
        </w:numPr>
        <w:tabs>
          <w:tab w:val="clear" w:pos="0"/>
        </w:tabs>
        <w:ind w:hanging="567"/>
        <w:rPr>
          <w:rFonts w:ascii="Arial" w:hAnsi="Arial" w:cs="Arial"/>
        </w:rPr>
      </w:pPr>
      <w:r w:rsidRPr="00010B1F">
        <w:rPr>
          <w:rFonts w:ascii="Arial" w:hAnsi="Arial" w:cs="Arial"/>
        </w:rPr>
        <w:t xml:space="preserve">This “infrastructure constrained” scenario would see housing delivery equal to 9,435 homes across the plan period or 555 homes per annum. This applies to the Local Plan Area of the District outside of the National Park. Inclusive of the SDNPA’s proportion of need for 125 homes per annum in Chichester District, total housing provision would therefore be equal to 680 homes per annum. </w:t>
      </w:r>
    </w:p>
    <w:p w14:paraId="5B6B5055" w14:textId="3C842E08" w:rsidR="00393E1C" w:rsidRPr="00D556DB" w:rsidRDefault="00393E1C" w:rsidP="00010B1F">
      <w:pPr>
        <w:pStyle w:val="BodytextAppendices"/>
        <w:numPr>
          <w:ilvl w:val="4"/>
          <w:numId w:val="43"/>
        </w:numPr>
        <w:tabs>
          <w:tab w:val="clear" w:pos="0"/>
        </w:tabs>
        <w:ind w:hanging="567"/>
        <w:rPr>
          <w:rFonts w:ascii="Arial" w:hAnsi="Arial" w:cs="Arial"/>
        </w:rPr>
      </w:pPr>
      <w:r w:rsidRPr="00010B1F">
        <w:rPr>
          <w:rFonts w:ascii="Arial" w:hAnsi="Arial" w:cs="Arial"/>
        </w:rPr>
        <w:t>This key outputs of the infrastructure constrained scenario for the Chichester Plan Area (555 dpa) are modelled within th</w:t>
      </w:r>
      <w:r w:rsidR="00335CA9">
        <w:rPr>
          <w:rFonts w:ascii="Arial" w:hAnsi="Arial" w:cs="Arial"/>
        </w:rPr>
        <w:t>is</w:t>
      </w:r>
      <w:r w:rsidRPr="00010B1F">
        <w:rPr>
          <w:rFonts w:ascii="Arial" w:hAnsi="Arial" w:cs="Arial"/>
        </w:rPr>
        <w:t xml:space="preserve"> Appendix. The </w:t>
      </w:r>
      <w:r w:rsidR="00335CA9">
        <w:rPr>
          <w:rFonts w:ascii="Arial" w:hAnsi="Arial" w:cs="Arial"/>
        </w:rPr>
        <w:t>main</w:t>
      </w:r>
      <w:r w:rsidRPr="00010B1F">
        <w:rPr>
          <w:rFonts w:ascii="Arial" w:hAnsi="Arial" w:cs="Arial"/>
        </w:rPr>
        <w:t xml:space="preserve"> report focusses on the outputs resulting from delivery of the Standard Method need of 763 dpa for the district (638 dpa for Plan Area and 125 for the National Park).</w:t>
      </w:r>
    </w:p>
    <w:p w14:paraId="492FA5DD" w14:textId="3B41E1D3" w:rsidR="00360825" w:rsidRDefault="00360825" w:rsidP="001A7584">
      <w:pPr>
        <w:pStyle w:val="BodytextAppendices"/>
        <w:numPr>
          <w:ilvl w:val="4"/>
          <w:numId w:val="43"/>
        </w:numPr>
        <w:tabs>
          <w:tab w:val="clear" w:pos="0"/>
        </w:tabs>
        <w:ind w:hanging="567"/>
        <w:rPr>
          <w:rFonts w:ascii="Arial" w:hAnsi="Arial" w:cs="Arial"/>
        </w:rPr>
      </w:pPr>
      <w:r w:rsidRPr="00D556DB">
        <w:rPr>
          <w:rFonts w:ascii="Arial" w:hAnsi="Arial" w:cs="Arial"/>
        </w:rPr>
        <w:t>This appendix sets out a range of key data outputs connected to the delivery of 555 dwellings per annum.</w:t>
      </w:r>
      <w:r>
        <w:rPr>
          <w:rFonts w:ascii="Arial" w:hAnsi="Arial" w:cs="Arial"/>
        </w:rPr>
        <w:t xml:space="preserve"> </w:t>
      </w:r>
      <w:r w:rsidRPr="00D556DB">
        <w:rPr>
          <w:rFonts w:ascii="Arial" w:hAnsi="Arial" w:cs="Arial"/>
        </w:rPr>
        <w:t>These should be used if infrastructure constrains housing growth in the plan area to this level.</w:t>
      </w:r>
    </w:p>
    <w:p w14:paraId="43FAF82F" w14:textId="77777777" w:rsidR="00360825" w:rsidRDefault="00360825" w:rsidP="001A7584">
      <w:pPr>
        <w:pStyle w:val="BodytextAppendices"/>
        <w:numPr>
          <w:ilvl w:val="4"/>
          <w:numId w:val="43"/>
        </w:numPr>
        <w:tabs>
          <w:tab w:val="clear" w:pos="0"/>
        </w:tabs>
        <w:ind w:hanging="567"/>
      </w:pPr>
      <w:r>
        <w:t>This appendix sets out a range of key data outputs connected to the delivery of 555 dwellings per annum in the LPA (which would be 680 dpa across the whole District, including the National Park. These should be used if infrastructure constrains housing growth in the plan area to this level.</w:t>
      </w:r>
    </w:p>
    <w:p w14:paraId="0E10084E" w14:textId="38DAB55A" w:rsidR="00360825" w:rsidRDefault="00360825" w:rsidP="001A7584">
      <w:pPr>
        <w:pStyle w:val="BodytextAppendices"/>
        <w:numPr>
          <w:ilvl w:val="4"/>
          <w:numId w:val="43"/>
        </w:numPr>
        <w:tabs>
          <w:tab w:val="clear" w:pos="0"/>
        </w:tabs>
        <w:ind w:hanging="567"/>
      </w:pPr>
      <w:r w:rsidRPr="00D556DB">
        <w:rPr>
          <w:rFonts w:ascii="Arial" w:hAnsi="Arial" w:cs="Arial"/>
        </w:rPr>
        <w:lastRenderedPageBreak/>
        <w:t>Overall</w:t>
      </w:r>
      <w:r>
        <w:t xml:space="preserve"> key conclusions are not generally change</w:t>
      </w:r>
      <w:r w:rsidR="000A05F9">
        <w:t>d</w:t>
      </w:r>
      <w:r>
        <w:t xml:space="preserve"> by using this slightly lower housing number and it should be noted that not all analysis changes by linking to a different projection (for example data about prices, rents and incomes is as of now and has not been projected forward).</w:t>
      </w:r>
    </w:p>
    <w:p w14:paraId="181B5B06" w14:textId="77777777" w:rsidR="00360825" w:rsidRDefault="00360825" w:rsidP="00360825">
      <w:pPr>
        <w:pStyle w:val="BodytextAppendices"/>
        <w:numPr>
          <w:ilvl w:val="0"/>
          <w:numId w:val="0"/>
        </w:numPr>
        <w:rPr>
          <w:rFonts w:ascii="Arial" w:hAnsi="Arial" w:cs="Arial"/>
          <w:b/>
          <w:bCs/>
          <w:u w:val="single"/>
        </w:rPr>
      </w:pPr>
      <w:r>
        <w:rPr>
          <w:rFonts w:ascii="Arial" w:hAnsi="Arial" w:cs="Arial"/>
          <w:b/>
          <w:bCs/>
          <w:u w:val="single"/>
        </w:rPr>
        <w:t>Developing a Projection Linked to 555 dpa (680 dpa across the District)</w:t>
      </w:r>
    </w:p>
    <w:p w14:paraId="6C7FC1FB" w14:textId="77777777" w:rsidR="00360825" w:rsidRDefault="00360825" w:rsidP="001A7584">
      <w:pPr>
        <w:pStyle w:val="BodytextAppendices"/>
        <w:numPr>
          <w:ilvl w:val="4"/>
          <w:numId w:val="43"/>
        </w:numPr>
        <w:tabs>
          <w:tab w:val="clear" w:pos="0"/>
        </w:tabs>
        <w:ind w:hanging="567"/>
      </w:pPr>
      <w:r>
        <w:t xml:space="preserve">The series of tables below show information about how the population structure might change with delivery of 555 dpa in the LPA). There are three tables, the first is for the whole District with the following two looking at the LPA and National Park separately. The National Park table is the same as in </w:t>
      </w:r>
      <w:r w:rsidRPr="00D556DB">
        <w:rPr>
          <w:rFonts w:ascii="Arial" w:hAnsi="Arial" w:cs="Arial"/>
        </w:rPr>
        <w:t>the</w:t>
      </w:r>
      <w:r>
        <w:t xml:space="preserve"> main report as in both cases modelling has worked on the basis of delivery of an average of 125 dpa over the period studied.</w:t>
      </w:r>
    </w:p>
    <w:p w14:paraId="7C419AFD" w14:textId="77777777" w:rsidR="00360825" w:rsidRDefault="00360825" w:rsidP="001A7584">
      <w:pPr>
        <w:pStyle w:val="Heading5"/>
        <w:numPr>
          <w:ilvl w:val="5"/>
          <w:numId w:val="43"/>
        </w:numPr>
      </w:pPr>
      <w:r>
        <w:t>Population change 2021 to 2039 by broad age bands – Chichester (linked to delivery of 680 dwellings per annum (dwelling constrained))</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14:paraId="745D9C87"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7BE3CFD2" w14:textId="77777777" w:rsidR="00360825"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6DA8AB7D" w14:textId="77777777" w:rsidR="00360825" w:rsidRDefault="00360825" w:rsidP="00C04569">
            <w:pPr>
              <w:keepNext/>
              <w:widowControl w:val="0"/>
              <w:spacing w:after="0" w:line="300" w:lineRule="auto"/>
              <w:jc w:val="center"/>
              <w:rPr>
                <w:rFonts w:ascii="Arial" w:hAnsi="Arial" w:cs="Arial"/>
              </w:rPr>
            </w:pPr>
            <w:r>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7AC7D284" w14:textId="77777777" w:rsidR="00360825" w:rsidRDefault="00360825" w:rsidP="00C04569">
            <w:pPr>
              <w:keepNext/>
              <w:widowControl w:val="0"/>
              <w:spacing w:after="0" w:line="300" w:lineRule="auto"/>
              <w:jc w:val="center"/>
              <w:rPr>
                <w:rFonts w:ascii="Arial" w:hAnsi="Arial" w:cs="Arial"/>
              </w:rPr>
            </w:pPr>
            <w:r>
              <w:rPr>
                <w:rFonts w:ascii="Arial" w:hAnsi="Arial" w:cs="Arial"/>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5EE418BF" w14:textId="77777777" w:rsidR="00360825" w:rsidRDefault="00360825" w:rsidP="00C04569">
            <w:pPr>
              <w:keepNext/>
              <w:widowControl w:val="0"/>
              <w:spacing w:after="0" w:line="300" w:lineRule="auto"/>
              <w:jc w:val="center"/>
              <w:rPr>
                <w:rFonts w:ascii="Arial" w:hAnsi="Arial" w:cs="Arial"/>
              </w:rPr>
            </w:pPr>
            <w:r>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6F964EE5" w14:textId="77777777" w:rsidR="00360825" w:rsidRDefault="00360825" w:rsidP="00C04569">
            <w:pPr>
              <w:keepNext/>
              <w:widowControl w:val="0"/>
              <w:spacing w:after="0" w:line="300" w:lineRule="auto"/>
              <w:jc w:val="center"/>
              <w:rPr>
                <w:rFonts w:ascii="Arial" w:hAnsi="Arial" w:cs="Arial"/>
              </w:rPr>
            </w:pPr>
            <w:r>
              <w:rPr>
                <w:rFonts w:ascii="Arial" w:hAnsi="Arial" w:cs="Arial"/>
              </w:rPr>
              <w:t>% change from 2021</w:t>
            </w:r>
          </w:p>
        </w:tc>
      </w:tr>
      <w:tr w:rsidR="00360825" w14:paraId="7522D7C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64AD244" w14:textId="77777777" w:rsidR="00360825" w:rsidRDefault="00360825" w:rsidP="00C04569">
            <w:pPr>
              <w:keepNext/>
              <w:widowControl w:val="0"/>
              <w:spacing w:after="0" w:line="300" w:lineRule="auto"/>
              <w:rPr>
                <w:rFonts w:ascii="Arial" w:hAnsi="Arial" w:cs="Arial"/>
              </w:rPr>
            </w:pPr>
            <w:r>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center"/>
            <w:hideMark/>
          </w:tcPr>
          <w:p w14:paraId="3F7151D8" w14:textId="77777777" w:rsidR="00360825" w:rsidRDefault="00360825" w:rsidP="00C04569">
            <w:pPr>
              <w:keepNext/>
              <w:spacing w:after="0" w:line="300" w:lineRule="auto"/>
              <w:jc w:val="center"/>
              <w:rPr>
                <w:rFonts w:ascii="Arial" w:hAnsi="Arial" w:cs="Arial"/>
              </w:rPr>
            </w:pPr>
            <w:r>
              <w:rPr>
                <w:rFonts w:ascii="Arial" w:hAnsi="Arial" w:cs="Arial"/>
                <w:color w:val="000000"/>
              </w:rPr>
              <w:t>20,193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795DAED2" w14:textId="77777777" w:rsidR="00360825" w:rsidRDefault="00360825" w:rsidP="00C04569">
            <w:pPr>
              <w:keepNext/>
              <w:spacing w:after="0" w:line="300" w:lineRule="auto"/>
              <w:jc w:val="center"/>
              <w:rPr>
                <w:rFonts w:ascii="Arial" w:hAnsi="Arial" w:cs="Arial"/>
              </w:rPr>
            </w:pPr>
            <w:r>
              <w:rPr>
                <w:rFonts w:ascii="Arial" w:hAnsi="Arial" w:cs="Arial"/>
                <w:color w:val="000000"/>
              </w:rPr>
              <w:t>20,406</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A08A8F3" w14:textId="77777777" w:rsidR="00360825" w:rsidRDefault="00360825" w:rsidP="00C04569">
            <w:pPr>
              <w:keepNext/>
              <w:spacing w:after="0" w:line="300" w:lineRule="auto"/>
              <w:jc w:val="center"/>
              <w:rPr>
                <w:rFonts w:ascii="Arial" w:hAnsi="Arial" w:cs="Arial"/>
              </w:rPr>
            </w:pPr>
            <w:r>
              <w:rPr>
                <w:rFonts w:ascii="Arial" w:hAnsi="Arial" w:cs="Arial"/>
                <w:color w:val="000000"/>
              </w:rPr>
              <w:t>213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9463317" w14:textId="77777777" w:rsidR="00360825" w:rsidRDefault="00360825" w:rsidP="00C04569">
            <w:pPr>
              <w:keepNext/>
              <w:spacing w:after="0" w:line="300" w:lineRule="auto"/>
              <w:jc w:val="center"/>
              <w:rPr>
                <w:rFonts w:ascii="Arial" w:hAnsi="Arial" w:cs="Arial"/>
              </w:rPr>
            </w:pPr>
            <w:r>
              <w:rPr>
                <w:rFonts w:ascii="Arial" w:hAnsi="Arial" w:cs="Arial"/>
                <w:color w:val="000000"/>
              </w:rPr>
              <w:t>1.1%</w:t>
            </w:r>
          </w:p>
        </w:tc>
      </w:tr>
      <w:tr w:rsidR="00360825" w14:paraId="535EE8EB"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4BC4EF2" w14:textId="77777777" w:rsidR="00360825" w:rsidRDefault="00360825" w:rsidP="00C04569">
            <w:pPr>
              <w:keepNext/>
              <w:widowControl w:val="0"/>
              <w:spacing w:after="0" w:line="300" w:lineRule="auto"/>
              <w:rPr>
                <w:rFonts w:ascii="Arial" w:hAnsi="Arial" w:cs="Arial"/>
              </w:rPr>
            </w:pPr>
            <w:r>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72D8489" w14:textId="77777777" w:rsidR="00360825" w:rsidRDefault="00360825" w:rsidP="00C04569">
            <w:pPr>
              <w:keepNext/>
              <w:spacing w:after="0" w:line="300" w:lineRule="auto"/>
              <w:jc w:val="center"/>
              <w:rPr>
                <w:rFonts w:ascii="Arial" w:hAnsi="Arial" w:cs="Arial"/>
              </w:rPr>
            </w:pPr>
            <w:r>
              <w:rPr>
                <w:rFonts w:ascii="Arial" w:hAnsi="Arial" w:cs="Arial"/>
                <w:color w:val="000000"/>
              </w:rPr>
              <w:t>67,894</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84267D2" w14:textId="77777777" w:rsidR="00360825" w:rsidRDefault="00360825" w:rsidP="00C04569">
            <w:pPr>
              <w:keepNext/>
              <w:spacing w:after="0" w:line="300" w:lineRule="auto"/>
              <w:jc w:val="center"/>
              <w:rPr>
                <w:rFonts w:ascii="Arial" w:hAnsi="Arial" w:cs="Arial"/>
              </w:rPr>
            </w:pPr>
            <w:r>
              <w:rPr>
                <w:rFonts w:ascii="Arial" w:hAnsi="Arial" w:cs="Arial"/>
                <w:color w:val="000000"/>
              </w:rPr>
              <w:t>71,793</w:t>
            </w:r>
          </w:p>
        </w:tc>
        <w:tc>
          <w:tcPr>
            <w:tcW w:w="1755" w:type="dxa"/>
            <w:tcBorders>
              <w:top w:val="single" w:sz="4" w:space="0" w:color="auto"/>
              <w:left w:val="single" w:sz="4" w:space="0" w:color="auto"/>
              <w:bottom w:val="single" w:sz="4" w:space="0" w:color="auto"/>
              <w:right w:val="single" w:sz="4" w:space="0" w:color="auto"/>
            </w:tcBorders>
            <w:vAlign w:val="center"/>
            <w:hideMark/>
          </w:tcPr>
          <w:p w14:paraId="769593EA" w14:textId="77777777" w:rsidR="00360825" w:rsidRDefault="00360825" w:rsidP="00C04569">
            <w:pPr>
              <w:keepNext/>
              <w:spacing w:after="0" w:line="300" w:lineRule="auto"/>
              <w:jc w:val="center"/>
              <w:rPr>
                <w:rFonts w:ascii="Arial" w:hAnsi="Arial" w:cs="Arial"/>
              </w:rPr>
            </w:pPr>
            <w:r>
              <w:rPr>
                <w:rFonts w:ascii="Arial" w:hAnsi="Arial" w:cs="Arial"/>
                <w:color w:val="000000"/>
              </w:rPr>
              <w:t>3,899</w:t>
            </w:r>
          </w:p>
        </w:tc>
        <w:tc>
          <w:tcPr>
            <w:tcW w:w="1756" w:type="dxa"/>
            <w:tcBorders>
              <w:top w:val="single" w:sz="4" w:space="0" w:color="auto"/>
              <w:left w:val="single" w:sz="4" w:space="0" w:color="auto"/>
              <w:bottom w:val="single" w:sz="4" w:space="0" w:color="auto"/>
              <w:right w:val="single" w:sz="4" w:space="0" w:color="auto"/>
            </w:tcBorders>
            <w:vAlign w:val="center"/>
            <w:hideMark/>
          </w:tcPr>
          <w:p w14:paraId="635873CA" w14:textId="77777777" w:rsidR="00360825" w:rsidRDefault="00360825" w:rsidP="00C04569">
            <w:pPr>
              <w:keepNext/>
              <w:spacing w:after="0" w:line="300" w:lineRule="auto"/>
              <w:jc w:val="center"/>
              <w:rPr>
                <w:rFonts w:ascii="Arial" w:hAnsi="Arial" w:cs="Arial"/>
              </w:rPr>
            </w:pPr>
            <w:r>
              <w:rPr>
                <w:rFonts w:ascii="Arial" w:hAnsi="Arial" w:cs="Arial"/>
                <w:color w:val="000000"/>
              </w:rPr>
              <w:t>5.7%</w:t>
            </w:r>
          </w:p>
        </w:tc>
      </w:tr>
      <w:tr w:rsidR="00360825" w14:paraId="44FA299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7B1A65B8" w14:textId="77777777" w:rsidR="00360825" w:rsidRDefault="00360825" w:rsidP="00C04569">
            <w:pPr>
              <w:keepNext/>
              <w:widowControl w:val="0"/>
              <w:spacing w:after="0" w:line="300" w:lineRule="auto"/>
              <w:rPr>
                <w:rFonts w:ascii="Arial" w:hAnsi="Arial" w:cs="Arial"/>
              </w:rPr>
            </w:pPr>
            <w:r>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center"/>
            <w:hideMark/>
          </w:tcPr>
          <w:p w14:paraId="3EBD48B1" w14:textId="77777777" w:rsidR="00360825" w:rsidRDefault="00360825" w:rsidP="00C04569">
            <w:pPr>
              <w:keepNext/>
              <w:spacing w:after="0" w:line="300" w:lineRule="auto"/>
              <w:jc w:val="center"/>
              <w:rPr>
                <w:rFonts w:ascii="Arial" w:hAnsi="Arial" w:cs="Arial"/>
              </w:rPr>
            </w:pPr>
            <w:r>
              <w:rPr>
                <w:rFonts w:ascii="Arial" w:hAnsi="Arial" w:cs="Arial"/>
                <w:color w:val="000000"/>
              </w:rPr>
              <w:t>34,256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7E9A8A16" w14:textId="77777777" w:rsidR="00360825" w:rsidRDefault="00360825" w:rsidP="00C04569">
            <w:pPr>
              <w:keepNext/>
              <w:spacing w:after="0" w:line="300" w:lineRule="auto"/>
              <w:jc w:val="center"/>
              <w:rPr>
                <w:rFonts w:ascii="Arial" w:hAnsi="Arial" w:cs="Arial"/>
              </w:rPr>
            </w:pPr>
            <w:r>
              <w:rPr>
                <w:rFonts w:ascii="Arial" w:hAnsi="Arial" w:cs="Arial"/>
                <w:color w:val="000000"/>
              </w:rPr>
              <w:t>48,272</w:t>
            </w:r>
          </w:p>
        </w:tc>
        <w:tc>
          <w:tcPr>
            <w:tcW w:w="1755" w:type="dxa"/>
            <w:tcBorders>
              <w:top w:val="single" w:sz="4" w:space="0" w:color="auto"/>
              <w:left w:val="single" w:sz="4" w:space="0" w:color="auto"/>
              <w:bottom w:val="single" w:sz="4" w:space="0" w:color="auto"/>
              <w:right w:val="single" w:sz="4" w:space="0" w:color="auto"/>
            </w:tcBorders>
            <w:vAlign w:val="center"/>
            <w:hideMark/>
          </w:tcPr>
          <w:p w14:paraId="09B05B64" w14:textId="77777777" w:rsidR="00360825" w:rsidRDefault="00360825" w:rsidP="00C04569">
            <w:pPr>
              <w:keepNext/>
              <w:spacing w:after="0" w:line="300" w:lineRule="auto"/>
              <w:jc w:val="center"/>
              <w:rPr>
                <w:rFonts w:ascii="Arial" w:hAnsi="Arial" w:cs="Arial"/>
              </w:rPr>
            </w:pPr>
            <w:r>
              <w:rPr>
                <w:rFonts w:ascii="Arial" w:hAnsi="Arial" w:cs="Arial"/>
                <w:color w:val="000000"/>
              </w:rPr>
              <w:t>14,016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DAEC64C" w14:textId="77777777" w:rsidR="00360825" w:rsidRDefault="00360825" w:rsidP="00C04569">
            <w:pPr>
              <w:keepNext/>
              <w:spacing w:after="0" w:line="300" w:lineRule="auto"/>
              <w:jc w:val="center"/>
              <w:rPr>
                <w:rFonts w:ascii="Arial" w:hAnsi="Arial" w:cs="Arial"/>
              </w:rPr>
            </w:pPr>
            <w:r>
              <w:rPr>
                <w:rFonts w:ascii="Arial" w:hAnsi="Arial" w:cs="Arial"/>
                <w:color w:val="000000"/>
              </w:rPr>
              <w:t>40.9%</w:t>
            </w:r>
          </w:p>
        </w:tc>
      </w:tr>
      <w:tr w:rsidR="00360825" w14:paraId="5D47099E"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C19CFAF" w14:textId="77777777" w:rsidR="00360825" w:rsidRDefault="00360825" w:rsidP="00C04569">
            <w:pPr>
              <w:keepNext/>
              <w:widowControl w:val="0"/>
              <w:spacing w:after="0" w:line="300" w:lineRule="auto"/>
              <w:rPr>
                <w:rFonts w:ascii="Arial" w:hAnsi="Arial" w:cs="Arial"/>
              </w:rPr>
            </w:pPr>
            <w:r>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54139E7" w14:textId="77777777" w:rsidR="00360825" w:rsidRDefault="00360825" w:rsidP="00C04569">
            <w:pPr>
              <w:keepNext/>
              <w:spacing w:after="0" w:line="300" w:lineRule="auto"/>
              <w:jc w:val="center"/>
              <w:rPr>
                <w:rFonts w:ascii="Arial" w:hAnsi="Arial" w:cs="Arial"/>
              </w:rPr>
            </w:pPr>
            <w:r>
              <w:rPr>
                <w:rFonts w:ascii="Arial" w:hAnsi="Arial" w:cs="Arial"/>
                <w:color w:val="000000"/>
              </w:rPr>
              <w:t>122,343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25717C8" w14:textId="77777777" w:rsidR="00360825" w:rsidRDefault="00360825" w:rsidP="00C04569">
            <w:pPr>
              <w:keepNext/>
              <w:spacing w:after="0" w:line="300" w:lineRule="auto"/>
              <w:jc w:val="center"/>
              <w:rPr>
                <w:rFonts w:ascii="Arial" w:hAnsi="Arial" w:cs="Arial"/>
              </w:rPr>
            </w:pPr>
            <w:r>
              <w:rPr>
                <w:rFonts w:ascii="Arial" w:hAnsi="Arial" w:cs="Arial"/>
                <w:color w:val="000000"/>
              </w:rPr>
              <w:t>140,471</w:t>
            </w:r>
          </w:p>
        </w:tc>
        <w:tc>
          <w:tcPr>
            <w:tcW w:w="1755" w:type="dxa"/>
            <w:tcBorders>
              <w:top w:val="single" w:sz="4" w:space="0" w:color="auto"/>
              <w:left w:val="single" w:sz="4" w:space="0" w:color="auto"/>
              <w:bottom w:val="single" w:sz="4" w:space="0" w:color="auto"/>
              <w:right w:val="single" w:sz="4" w:space="0" w:color="auto"/>
            </w:tcBorders>
            <w:vAlign w:val="center"/>
            <w:hideMark/>
          </w:tcPr>
          <w:p w14:paraId="6238045C" w14:textId="77777777" w:rsidR="00360825" w:rsidRDefault="00360825" w:rsidP="00C04569">
            <w:pPr>
              <w:keepNext/>
              <w:spacing w:after="0" w:line="300" w:lineRule="auto"/>
              <w:jc w:val="center"/>
              <w:rPr>
                <w:rFonts w:ascii="Arial" w:hAnsi="Arial" w:cs="Arial"/>
              </w:rPr>
            </w:pPr>
            <w:r>
              <w:rPr>
                <w:rFonts w:ascii="Arial" w:hAnsi="Arial" w:cs="Arial"/>
                <w:color w:val="000000"/>
              </w:rPr>
              <w:t>18,127</w:t>
            </w:r>
          </w:p>
        </w:tc>
        <w:tc>
          <w:tcPr>
            <w:tcW w:w="1756" w:type="dxa"/>
            <w:tcBorders>
              <w:top w:val="single" w:sz="4" w:space="0" w:color="auto"/>
              <w:left w:val="single" w:sz="4" w:space="0" w:color="auto"/>
              <w:bottom w:val="single" w:sz="4" w:space="0" w:color="auto"/>
              <w:right w:val="single" w:sz="4" w:space="0" w:color="auto"/>
            </w:tcBorders>
            <w:vAlign w:val="center"/>
            <w:hideMark/>
          </w:tcPr>
          <w:p w14:paraId="1A0C19D0" w14:textId="77777777" w:rsidR="00360825" w:rsidRDefault="00360825" w:rsidP="00C04569">
            <w:pPr>
              <w:keepNext/>
              <w:spacing w:after="0" w:line="300" w:lineRule="auto"/>
              <w:jc w:val="center"/>
              <w:rPr>
                <w:rFonts w:ascii="Arial" w:hAnsi="Arial" w:cs="Arial"/>
              </w:rPr>
            </w:pPr>
            <w:r>
              <w:rPr>
                <w:rFonts w:ascii="Arial" w:hAnsi="Arial" w:cs="Arial"/>
                <w:color w:val="000000"/>
              </w:rPr>
              <w:t>14.8%</w:t>
            </w:r>
          </w:p>
        </w:tc>
      </w:tr>
    </w:tbl>
    <w:p w14:paraId="0948D010" w14:textId="77777777" w:rsidR="00360825" w:rsidRDefault="00360825" w:rsidP="00360825">
      <w:pPr>
        <w:spacing w:line="300" w:lineRule="auto"/>
        <w:rPr>
          <w:rFonts w:ascii="Arial" w:hAnsi="Arial" w:cs="Arial"/>
          <w:i/>
          <w:iCs/>
          <w:sz w:val="16"/>
          <w:szCs w:val="16"/>
        </w:rPr>
      </w:pPr>
      <w:r>
        <w:rPr>
          <w:rFonts w:ascii="Arial" w:hAnsi="Arial" w:cs="Arial"/>
          <w:i/>
          <w:iCs/>
          <w:sz w:val="16"/>
          <w:szCs w:val="16"/>
        </w:rPr>
        <w:t>Source: Demographic Projections</w:t>
      </w:r>
    </w:p>
    <w:p w14:paraId="4962AB3C" w14:textId="77777777" w:rsidR="00360825" w:rsidRDefault="00360825" w:rsidP="001A7584">
      <w:pPr>
        <w:pStyle w:val="Heading5"/>
        <w:numPr>
          <w:ilvl w:val="5"/>
          <w:numId w:val="43"/>
        </w:numPr>
      </w:pPr>
      <w:r>
        <w:t>Population change 2021 to 2039 by broad age bands – Chichester LPA (linked to delivery of 638 dwellings per annum)</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14:paraId="6B8F347C"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69500A31" w14:textId="77777777" w:rsidR="00360825"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3EA3DB22" w14:textId="77777777" w:rsidR="00360825" w:rsidRDefault="00360825" w:rsidP="00C04569">
            <w:pPr>
              <w:keepNext/>
              <w:widowControl w:val="0"/>
              <w:spacing w:after="0" w:line="300" w:lineRule="auto"/>
              <w:jc w:val="center"/>
              <w:rPr>
                <w:rFonts w:ascii="Arial" w:hAnsi="Arial" w:cs="Arial"/>
              </w:rPr>
            </w:pPr>
            <w:r>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2F1A7F52" w14:textId="77777777" w:rsidR="00360825" w:rsidRDefault="00360825" w:rsidP="00C04569">
            <w:pPr>
              <w:keepNext/>
              <w:widowControl w:val="0"/>
              <w:spacing w:after="0" w:line="300" w:lineRule="auto"/>
              <w:jc w:val="center"/>
              <w:rPr>
                <w:rFonts w:ascii="Arial" w:hAnsi="Arial" w:cs="Arial"/>
              </w:rPr>
            </w:pPr>
            <w:r>
              <w:rPr>
                <w:rFonts w:ascii="Arial" w:hAnsi="Arial" w:cs="Arial"/>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269329B5" w14:textId="77777777" w:rsidR="00360825" w:rsidRDefault="00360825" w:rsidP="00C04569">
            <w:pPr>
              <w:keepNext/>
              <w:widowControl w:val="0"/>
              <w:spacing w:after="0" w:line="300" w:lineRule="auto"/>
              <w:jc w:val="center"/>
              <w:rPr>
                <w:rFonts w:ascii="Arial" w:hAnsi="Arial" w:cs="Arial"/>
              </w:rPr>
            </w:pPr>
            <w:r>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76B3D214" w14:textId="77777777" w:rsidR="00360825" w:rsidRDefault="00360825" w:rsidP="00C04569">
            <w:pPr>
              <w:keepNext/>
              <w:widowControl w:val="0"/>
              <w:spacing w:after="0" w:line="300" w:lineRule="auto"/>
              <w:jc w:val="center"/>
              <w:rPr>
                <w:rFonts w:ascii="Arial" w:hAnsi="Arial" w:cs="Arial"/>
              </w:rPr>
            </w:pPr>
            <w:r>
              <w:rPr>
                <w:rFonts w:ascii="Arial" w:hAnsi="Arial" w:cs="Arial"/>
              </w:rPr>
              <w:t>% change from 2021</w:t>
            </w:r>
          </w:p>
        </w:tc>
      </w:tr>
      <w:tr w:rsidR="00360825" w14:paraId="177BF446"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6FDD768D" w14:textId="77777777" w:rsidR="00360825" w:rsidRDefault="00360825" w:rsidP="00C04569">
            <w:pPr>
              <w:keepNext/>
              <w:widowControl w:val="0"/>
              <w:spacing w:after="0" w:line="300" w:lineRule="auto"/>
              <w:rPr>
                <w:rFonts w:ascii="Arial" w:hAnsi="Arial" w:cs="Arial"/>
              </w:rPr>
            </w:pPr>
            <w:r>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E19E2A8" w14:textId="77777777" w:rsidR="00360825" w:rsidRDefault="00360825" w:rsidP="00C04569">
            <w:pPr>
              <w:keepNext/>
              <w:spacing w:after="0" w:line="300" w:lineRule="auto"/>
              <w:jc w:val="center"/>
              <w:rPr>
                <w:rFonts w:ascii="Arial" w:hAnsi="Arial" w:cs="Arial"/>
              </w:rPr>
            </w:pPr>
            <w:r>
              <w:rPr>
                <w:rFonts w:ascii="Arial" w:hAnsi="Arial" w:cs="Arial"/>
                <w:color w:val="000000"/>
              </w:rPr>
              <w:t>14,879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218FC01" w14:textId="77777777" w:rsidR="00360825" w:rsidRDefault="00360825" w:rsidP="00C04569">
            <w:pPr>
              <w:keepNext/>
              <w:spacing w:after="0" w:line="300" w:lineRule="auto"/>
              <w:jc w:val="center"/>
              <w:rPr>
                <w:rFonts w:ascii="Arial" w:hAnsi="Arial" w:cs="Arial"/>
              </w:rPr>
            </w:pPr>
            <w:r>
              <w:rPr>
                <w:rFonts w:ascii="Arial" w:hAnsi="Arial" w:cs="Arial"/>
                <w:color w:val="000000"/>
              </w:rPr>
              <w:t>15,500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3889C4F" w14:textId="77777777" w:rsidR="00360825" w:rsidRDefault="00360825" w:rsidP="00C04569">
            <w:pPr>
              <w:keepNext/>
              <w:spacing w:after="0" w:line="300" w:lineRule="auto"/>
              <w:jc w:val="center"/>
              <w:rPr>
                <w:rFonts w:ascii="Arial" w:hAnsi="Arial" w:cs="Arial"/>
              </w:rPr>
            </w:pPr>
            <w:r>
              <w:rPr>
                <w:rFonts w:ascii="Arial" w:hAnsi="Arial" w:cs="Arial"/>
                <w:color w:val="000000"/>
              </w:rPr>
              <w:t>621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AE17CC2" w14:textId="77777777" w:rsidR="00360825" w:rsidRDefault="00360825" w:rsidP="00C04569">
            <w:pPr>
              <w:keepNext/>
              <w:spacing w:after="0" w:line="300" w:lineRule="auto"/>
              <w:jc w:val="center"/>
              <w:rPr>
                <w:rFonts w:ascii="Arial" w:hAnsi="Arial" w:cs="Arial"/>
              </w:rPr>
            </w:pPr>
            <w:r>
              <w:rPr>
                <w:rFonts w:ascii="Arial" w:hAnsi="Arial" w:cs="Arial"/>
                <w:color w:val="000000"/>
              </w:rPr>
              <w:t>4.2%</w:t>
            </w:r>
          </w:p>
        </w:tc>
      </w:tr>
      <w:tr w:rsidR="00360825" w14:paraId="48648FD1"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0956D416" w14:textId="77777777" w:rsidR="00360825" w:rsidRDefault="00360825" w:rsidP="00C04569">
            <w:pPr>
              <w:keepNext/>
              <w:widowControl w:val="0"/>
              <w:spacing w:after="0" w:line="300" w:lineRule="auto"/>
              <w:rPr>
                <w:rFonts w:ascii="Arial" w:hAnsi="Arial" w:cs="Arial"/>
              </w:rPr>
            </w:pPr>
            <w:r>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312FB60" w14:textId="77777777" w:rsidR="00360825" w:rsidRDefault="00360825" w:rsidP="00C04569">
            <w:pPr>
              <w:keepNext/>
              <w:spacing w:after="0" w:line="300" w:lineRule="auto"/>
              <w:jc w:val="center"/>
              <w:rPr>
                <w:rFonts w:ascii="Arial" w:hAnsi="Arial" w:cs="Arial"/>
              </w:rPr>
            </w:pPr>
            <w:r>
              <w:rPr>
                <w:rFonts w:ascii="Arial" w:hAnsi="Arial" w:cs="Arial"/>
                <w:color w:val="000000"/>
              </w:rPr>
              <w:t>50,851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A42723B" w14:textId="77777777" w:rsidR="00360825" w:rsidRDefault="00360825" w:rsidP="00C04569">
            <w:pPr>
              <w:keepNext/>
              <w:spacing w:after="0" w:line="300" w:lineRule="auto"/>
              <w:jc w:val="center"/>
              <w:rPr>
                <w:rFonts w:ascii="Arial" w:hAnsi="Arial" w:cs="Arial"/>
              </w:rPr>
            </w:pPr>
            <w:r>
              <w:rPr>
                <w:rFonts w:ascii="Arial" w:hAnsi="Arial" w:cs="Arial"/>
                <w:color w:val="000000"/>
              </w:rPr>
              <w:t>55,331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22531E7" w14:textId="77777777" w:rsidR="00360825" w:rsidRDefault="00360825" w:rsidP="00C04569">
            <w:pPr>
              <w:keepNext/>
              <w:spacing w:after="0" w:line="300" w:lineRule="auto"/>
              <w:jc w:val="center"/>
              <w:rPr>
                <w:rFonts w:ascii="Arial" w:hAnsi="Arial" w:cs="Arial"/>
              </w:rPr>
            </w:pPr>
            <w:r>
              <w:rPr>
                <w:rFonts w:ascii="Arial" w:hAnsi="Arial" w:cs="Arial"/>
                <w:color w:val="000000"/>
              </w:rPr>
              <w:t>4,480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7F8370C" w14:textId="77777777" w:rsidR="00360825" w:rsidRDefault="00360825" w:rsidP="00C04569">
            <w:pPr>
              <w:keepNext/>
              <w:spacing w:after="0" w:line="300" w:lineRule="auto"/>
              <w:jc w:val="center"/>
              <w:rPr>
                <w:rFonts w:ascii="Arial" w:hAnsi="Arial" w:cs="Arial"/>
              </w:rPr>
            </w:pPr>
            <w:r>
              <w:rPr>
                <w:rFonts w:ascii="Arial" w:hAnsi="Arial" w:cs="Arial"/>
                <w:color w:val="000000"/>
              </w:rPr>
              <w:t>8.8%</w:t>
            </w:r>
          </w:p>
        </w:tc>
      </w:tr>
      <w:tr w:rsidR="00360825" w14:paraId="59511264"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4EE1134" w14:textId="77777777" w:rsidR="00360825" w:rsidRDefault="00360825" w:rsidP="00C04569">
            <w:pPr>
              <w:keepNext/>
              <w:widowControl w:val="0"/>
              <w:spacing w:after="0" w:line="300" w:lineRule="auto"/>
              <w:rPr>
                <w:rFonts w:ascii="Arial" w:hAnsi="Arial" w:cs="Arial"/>
              </w:rPr>
            </w:pPr>
            <w:r>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C16CE48" w14:textId="77777777" w:rsidR="00360825" w:rsidRDefault="00360825" w:rsidP="00C04569">
            <w:pPr>
              <w:keepNext/>
              <w:spacing w:after="0" w:line="300" w:lineRule="auto"/>
              <w:jc w:val="center"/>
              <w:rPr>
                <w:rFonts w:ascii="Arial" w:hAnsi="Arial" w:cs="Arial"/>
              </w:rPr>
            </w:pPr>
            <w:r>
              <w:rPr>
                <w:rFonts w:ascii="Arial" w:hAnsi="Arial" w:cs="Arial"/>
                <w:color w:val="000000"/>
              </w:rPr>
              <w:t>24,854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1F48A8E" w14:textId="77777777" w:rsidR="00360825" w:rsidRDefault="00360825" w:rsidP="00C04569">
            <w:pPr>
              <w:keepNext/>
              <w:spacing w:after="0" w:line="300" w:lineRule="auto"/>
              <w:jc w:val="center"/>
              <w:rPr>
                <w:rFonts w:ascii="Arial" w:hAnsi="Arial" w:cs="Arial"/>
              </w:rPr>
            </w:pPr>
            <w:r>
              <w:rPr>
                <w:rFonts w:ascii="Arial" w:hAnsi="Arial" w:cs="Arial"/>
                <w:color w:val="000000"/>
              </w:rPr>
              <w:t>35,384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D7440BA" w14:textId="77777777" w:rsidR="00360825" w:rsidRDefault="00360825" w:rsidP="00C04569">
            <w:pPr>
              <w:keepNext/>
              <w:spacing w:after="0" w:line="300" w:lineRule="auto"/>
              <w:jc w:val="center"/>
              <w:rPr>
                <w:rFonts w:ascii="Arial" w:hAnsi="Arial" w:cs="Arial"/>
              </w:rPr>
            </w:pPr>
            <w:r>
              <w:rPr>
                <w:rFonts w:ascii="Arial" w:hAnsi="Arial" w:cs="Arial"/>
                <w:color w:val="000000"/>
              </w:rPr>
              <w:t>10,530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FE402ED" w14:textId="77777777" w:rsidR="00360825" w:rsidRDefault="00360825" w:rsidP="00C04569">
            <w:pPr>
              <w:keepNext/>
              <w:spacing w:after="0" w:line="300" w:lineRule="auto"/>
              <w:jc w:val="center"/>
              <w:rPr>
                <w:rFonts w:ascii="Arial" w:hAnsi="Arial" w:cs="Arial"/>
              </w:rPr>
            </w:pPr>
            <w:r>
              <w:rPr>
                <w:rFonts w:ascii="Arial" w:hAnsi="Arial" w:cs="Arial"/>
                <w:color w:val="000000"/>
              </w:rPr>
              <w:t>42.4%</w:t>
            </w:r>
          </w:p>
        </w:tc>
      </w:tr>
      <w:tr w:rsidR="00360825" w14:paraId="659F5F35"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163B6D6F" w14:textId="77777777" w:rsidR="00360825" w:rsidRDefault="00360825" w:rsidP="00C04569">
            <w:pPr>
              <w:keepNext/>
              <w:widowControl w:val="0"/>
              <w:spacing w:after="0" w:line="300" w:lineRule="auto"/>
              <w:rPr>
                <w:rFonts w:ascii="Arial" w:hAnsi="Arial" w:cs="Arial"/>
              </w:rPr>
            </w:pPr>
            <w:r>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0E1EC68" w14:textId="77777777" w:rsidR="00360825" w:rsidRDefault="00360825" w:rsidP="00C04569">
            <w:pPr>
              <w:keepNext/>
              <w:spacing w:after="0" w:line="300" w:lineRule="auto"/>
              <w:jc w:val="center"/>
              <w:rPr>
                <w:rFonts w:ascii="Arial" w:hAnsi="Arial" w:cs="Arial"/>
              </w:rPr>
            </w:pPr>
            <w:r>
              <w:rPr>
                <w:rFonts w:ascii="Arial" w:hAnsi="Arial" w:cs="Arial"/>
                <w:color w:val="000000"/>
              </w:rPr>
              <w:t>90,584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6370448" w14:textId="77777777" w:rsidR="00360825" w:rsidRDefault="00360825" w:rsidP="00C04569">
            <w:pPr>
              <w:keepNext/>
              <w:spacing w:after="0" w:line="300" w:lineRule="auto"/>
              <w:jc w:val="center"/>
              <w:rPr>
                <w:rFonts w:ascii="Arial" w:hAnsi="Arial" w:cs="Arial"/>
              </w:rPr>
            </w:pPr>
            <w:r>
              <w:rPr>
                <w:rFonts w:ascii="Arial" w:hAnsi="Arial" w:cs="Arial"/>
                <w:color w:val="000000"/>
              </w:rPr>
              <w:t>106,216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7AC2855" w14:textId="77777777" w:rsidR="00360825" w:rsidRDefault="00360825" w:rsidP="00C04569">
            <w:pPr>
              <w:keepNext/>
              <w:spacing w:after="0" w:line="300" w:lineRule="auto"/>
              <w:jc w:val="center"/>
              <w:rPr>
                <w:rFonts w:ascii="Arial" w:hAnsi="Arial" w:cs="Arial"/>
              </w:rPr>
            </w:pPr>
            <w:r>
              <w:rPr>
                <w:rFonts w:ascii="Arial" w:hAnsi="Arial" w:cs="Arial"/>
                <w:color w:val="000000"/>
              </w:rPr>
              <w:t>15,631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29412BA" w14:textId="77777777" w:rsidR="00360825" w:rsidRDefault="00360825" w:rsidP="00C04569">
            <w:pPr>
              <w:keepNext/>
              <w:spacing w:after="0" w:line="300" w:lineRule="auto"/>
              <w:jc w:val="center"/>
              <w:rPr>
                <w:rFonts w:ascii="Arial" w:hAnsi="Arial" w:cs="Arial"/>
              </w:rPr>
            </w:pPr>
            <w:r>
              <w:rPr>
                <w:rFonts w:ascii="Arial" w:hAnsi="Arial" w:cs="Arial"/>
                <w:color w:val="000000"/>
              </w:rPr>
              <w:t>17.3%</w:t>
            </w:r>
          </w:p>
        </w:tc>
      </w:tr>
    </w:tbl>
    <w:p w14:paraId="2E1454D7" w14:textId="77777777" w:rsidR="00360825" w:rsidRDefault="00360825" w:rsidP="00360825">
      <w:pPr>
        <w:spacing w:line="300" w:lineRule="auto"/>
        <w:rPr>
          <w:rFonts w:ascii="Arial" w:hAnsi="Arial" w:cs="Arial"/>
          <w:i/>
          <w:iCs/>
          <w:sz w:val="16"/>
          <w:szCs w:val="16"/>
        </w:rPr>
      </w:pPr>
      <w:r>
        <w:rPr>
          <w:rFonts w:ascii="Arial" w:hAnsi="Arial" w:cs="Arial"/>
          <w:i/>
          <w:iCs/>
          <w:sz w:val="16"/>
          <w:szCs w:val="16"/>
        </w:rPr>
        <w:t>Source: Demographic Projections</w:t>
      </w:r>
    </w:p>
    <w:p w14:paraId="5D0774C0" w14:textId="77777777" w:rsidR="00360825" w:rsidRDefault="00360825" w:rsidP="001A7584">
      <w:pPr>
        <w:pStyle w:val="Heading5"/>
        <w:numPr>
          <w:ilvl w:val="5"/>
          <w:numId w:val="43"/>
        </w:numPr>
      </w:pPr>
      <w:r>
        <w:t>Population change 2021 to 2039 by broad age bands – National Park area within Chichester (linked to delivery of 125 dwellings per annum)</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14:paraId="6BA7C4E3"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0216CFE2" w14:textId="77777777" w:rsidR="00360825"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4031B451" w14:textId="77777777" w:rsidR="00360825" w:rsidRDefault="00360825" w:rsidP="00C04569">
            <w:pPr>
              <w:keepNext/>
              <w:widowControl w:val="0"/>
              <w:spacing w:after="0" w:line="300" w:lineRule="auto"/>
              <w:jc w:val="center"/>
              <w:rPr>
                <w:rFonts w:ascii="Arial" w:hAnsi="Arial" w:cs="Arial"/>
              </w:rPr>
            </w:pPr>
            <w:r>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4DDF6F81" w14:textId="77777777" w:rsidR="00360825" w:rsidRDefault="00360825" w:rsidP="00C04569">
            <w:pPr>
              <w:keepNext/>
              <w:widowControl w:val="0"/>
              <w:spacing w:after="0" w:line="300" w:lineRule="auto"/>
              <w:jc w:val="center"/>
              <w:rPr>
                <w:rFonts w:ascii="Arial" w:hAnsi="Arial" w:cs="Arial"/>
              </w:rPr>
            </w:pPr>
            <w:r>
              <w:rPr>
                <w:rFonts w:ascii="Arial" w:hAnsi="Arial" w:cs="Arial"/>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0FC57DCF" w14:textId="77777777" w:rsidR="00360825" w:rsidRDefault="00360825" w:rsidP="00C04569">
            <w:pPr>
              <w:keepNext/>
              <w:widowControl w:val="0"/>
              <w:spacing w:after="0" w:line="300" w:lineRule="auto"/>
              <w:jc w:val="center"/>
              <w:rPr>
                <w:rFonts w:ascii="Arial" w:hAnsi="Arial" w:cs="Arial"/>
              </w:rPr>
            </w:pPr>
            <w:r>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26782ECA" w14:textId="77777777" w:rsidR="00360825" w:rsidRDefault="00360825" w:rsidP="00C04569">
            <w:pPr>
              <w:keepNext/>
              <w:widowControl w:val="0"/>
              <w:spacing w:after="0" w:line="300" w:lineRule="auto"/>
              <w:jc w:val="center"/>
              <w:rPr>
                <w:rFonts w:ascii="Arial" w:hAnsi="Arial" w:cs="Arial"/>
              </w:rPr>
            </w:pPr>
            <w:r>
              <w:rPr>
                <w:rFonts w:ascii="Arial" w:hAnsi="Arial" w:cs="Arial"/>
              </w:rPr>
              <w:t>% change from 2021</w:t>
            </w:r>
          </w:p>
        </w:tc>
      </w:tr>
      <w:tr w:rsidR="00360825" w14:paraId="6F668924"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1E391993" w14:textId="77777777" w:rsidR="00360825" w:rsidRDefault="00360825" w:rsidP="00C04569">
            <w:pPr>
              <w:keepNext/>
              <w:widowControl w:val="0"/>
              <w:spacing w:after="0" w:line="300" w:lineRule="auto"/>
              <w:rPr>
                <w:rFonts w:ascii="Arial" w:hAnsi="Arial" w:cs="Arial"/>
              </w:rPr>
            </w:pPr>
            <w:r>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F96DF77" w14:textId="77777777" w:rsidR="00360825" w:rsidRDefault="00360825" w:rsidP="00C04569">
            <w:pPr>
              <w:keepNext/>
              <w:spacing w:after="0" w:line="300" w:lineRule="auto"/>
              <w:jc w:val="center"/>
              <w:rPr>
                <w:rFonts w:ascii="Arial" w:hAnsi="Arial" w:cs="Arial"/>
              </w:rPr>
            </w:pPr>
            <w:r>
              <w:rPr>
                <w:rFonts w:ascii="Arial" w:hAnsi="Arial" w:cs="Arial"/>
                <w:color w:val="000000"/>
              </w:rPr>
              <w:t>5,314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A07A183" w14:textId="77777777" w:rsidR="00360825" w:rsidRDefault="00360825" w:rsidP="00C04569">
            <w:pPr>
              <w:keepNext/>
              <w:spacing w:after="0" w:line="300" w:lineRule="auto"/>
              <w:jc w:val="center"/>
              <w:rPr>
                <w:rFonts w:ascii="Arial" w:hAnsi="Arial" w:cs="Arial"/>
              </w:rPr>
            </w:pPr>
            <w:r>
              <w:rPr>
                <w:rFonts w:ascii="Arial" w:hAnsi="Arial" w:cs="Arial"/>
                <w:color w:val="000000"/>
              </w:rPr>
              <w:t>4,906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1CBEACC" w14:textId="77777777" w:rsidR="00360825" w:rsidRDefault="00360825" w:rsidP="00C04569">
            <w:pPr>
              <w:keepNext/>
              <w:spacing w:after="0" w:line="300" w:lineRule="auto"/>
              <w:jc w:val="center"/>
              <w:rPr>
                <w:rFonts w:ascii="Arial" w:hAnsi="Arial" w:cs="Arial"/>
              </w:rPr>
            </w:pPr>
            <w:r>
              <w:rPr>
                <w:rFonts w:ascii="Arial" w:hAnsi="Arial" w:cs="Arial"/>
                <w:color w:val="000000"/>
              </w:rPr>
              <w:t>-408</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6FB3D2D" w14:textId="77777777" w:rsidR="00360825" w:rsidRDefault="00360825" w:rsidP="00C04569">
            <w:pPr>
              <w:keepNext/>
              <w:spacing w:after="0" w:line="300" w:lineRule="auto"/>
              <w:jc w:val="center"/>
              <w:rPr>
                <w:rFonts w:ascii="Arial" w:hAnsi="Arial" w:cs="Arial"/>
              </w:rPr>
            </w:pPr>
            <w:r>
              <w:rPr>
                <w:rFonts w:ascii="Arial" w:hAnsi="Arial" w:cs="Arial"/>
                <w:color w:val="000000"/>
              </w:rPr>
              <w:t>-7.7%</w:t>
            </w:r>
          </w:p>
        </w:tc>
      </w:tr>
      <w:tr w:rsidR="00360825" w14:paraId="14DB6CEC"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BA817D7" w14:textId="77777777" w:rsidR="00360825" w:rsidRDefault="00360825" w:rsidP="00C04569">
            <w:pPr>
              <w:keepNext/>
              <w:widowControl w:val="0"/>
              <w:spacing w:after="0" w:line="300" w:lineRule="auto"/>
              <w:rPr>
                <w:rFonts w:ascii="Arial" w:hAnsi="Arial" w:cs="Arial"/>
              </w:rPr>
            </w:pPr>
            <w:r>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AA761B5" w14:textId="77777777" w:rsidR="00360825" w:rsidRDefault="00360825" w:rsidP="00C04569">
            <w:pPr>
              <w:keepNext/>
              <w:spacing w:after="0" w:line="300" w:lineRule="auto"/>
              <w:jc w:val="center"/>
              <w:rPr>
                <w:rFonts w:ascii="Arial" w:hAnsi="Arial" w:cs="Arial"/>
              </w:rPr>
            </w:pPr>
            <w:r>
              <w:rPr>
                <w:rFonts w:ascii="Arial" w:hAnsi="Arial" w:cs="Arial"/>
                <w:color w:val="000000"/>
              </w:rPr>
              <w:t>17,043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25C24FC" w14:textId="77777777" w:rsidR="00360825" w:rsidRDefault="00360825" w:rsidP="00C04569">
            <w:pPr>
              <w:keepNext/>
              <w:spacing w:after="0" w:line="300" w:lineRule="auto"/>
              <w:jc w:val="center"/>
              <w:rPr>
                <w:rFonts w:ascii="Arial" w:hAnsi="Arial" w:cs="Arial"/>
              </w:rPr>
            </w:pPr>
            <w:r>
              <w:rPr>
                <w:rFonts w:ascii="Arial" w:hAnsi="Arial" w:cs="Arial"/>
                <w:color w:val="000000"/>
              </w:rPr>
              <w:t>16,461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403B549" w14:textId="77777777" w:rsidR="00360825" w:rsidRDefault="00360825" w:rsidP="00C04569">
            <w:pPr>
              <w:keepNext/>
              <w:spacing w:after="0" w:line="300" w:lineRule="auto"/>
              <w:jc w:val="center"/>
              <w:rPr>
                <w:rFonts w:ascii="Arial" w:hAnsi="Arial" w:cs="Arial"/>
              </w:rPr>
            </w:pPr>
            <w:r>
              <w:rPr>
                <w:rFonts w:ascii="Arial" w:hAnsi="Arial" w:cs="Arial"/>
                <w:color w:val="000000"/>
              </w:rPr>
              <w:t>-581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D4E6DEA" w14:textId="77777777" w:rsidR="00360825" w:rsidRDefault="00360825" w:rsidP="00C04569">
            <w:pPr>
              <w:keepNext/>
              <w:spacing w:after="0" w:line="300" w:lineRule="auto"/>
              <w:jc w:val="center"/>
              <w:rPr>
                <w:rFonts w:ascii="Arial" w:hAnsi="Arial" w:cs="Arial"/>
              </w:rPr>
            </w:pPr>
            <w:r>
              <w:rPr>
                <w:rFonts w:ascii="Arial" w:hAnsi="Arial" w:cs="Arial"/>
                <w:color w:val="000000"/>
              </w:rPr>
              <w:t>-3.4%</w:t>
            </w:r>
          </w:p>
        </w:tc>
      </w:tr>
      <w:tr w:rsidR="00360825" w14:paraId="5D52892C"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0EE5514" w14:textId="77777777" w:rsidR="00360825" w:rsidRDefault="00360825" w:rsidP="00C04569">
            <w:pPr>
              <w:keepNext/>
              <w:widowControl w:val="0"/>
              <w:spacing w:after="0" w:line="300" w:lineRule="auto"/>
              <w:rPr>
                <w:rFonts w:ascii="Arial" w:hAnsi="Arial" w:cs="Arial"/>
              </w:rPr>
            </w:pPr>
            <w:r>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242B4B7" w14:textId="77777777" w:rsidR="00360825" w:rsidRDefault="00360825" w:rsidP="00C04569">
            <w:pPr>
              <w:keepNext/>
              <w:spacing w:after="0" w:line="300" w:lineRule="auto"/>
              <w:jc w:val="center"/>
              <w:rPr>
                <w:rFonts w:ascii="Arial" w:hAnsi="Arial" w:cs="Arial"/>
              </w:rPr>
            </w:pPr>
            <w:r>
              <w:rPr>
                <w:rFonts w:ascii="Arial" w:hAnsi="Arial" w:cs="Arial"/>
                <w:color w:val="000000"/>
              </w:rPr>
              <w:t>9,402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41B78CB" w14:textId="77777777" w:rsidR="00360825" w:rsidRDefault="00360825" w:rsidP="00C04569">
            <w:pPr>
              <w:keepNext/>
              <w:spacing w:after="0" w:line="300" w:lineRule="auto"/>
              <w:jc w:val="center"/>
              <w:rPr>
                <w:rFonts w:ascii="Arial" w:hAnsi="Arial" w:cs="Arial"/>
              </w:rPr>
            </w:pPr>
            <w:r>
              <w:rPr>
                <w:rFonts w:ascii="Arial" w:hAnsi="Arial" w:cs="Arial"/>
                <w:color w:val="000000"/>
              </w:rPr>
              <w:t>12,888</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CF5D2F2" w14:textId="77777777" w:rsidR="00360825" w:rsidRDefault="00360825" w:rsidP="00C04569">
            <w:pPr>
              <w:keepNext/>
              <w:spacing w:after="0" w:line="300" w:lineRule="auto"/>
              <w:jc w:val="center"/>
              <w:rPr>
                <w:rFonts w:ascii="Arial" w:hAnsi="Arial" w:cs="Arial"/>
              </w:rPr>
            </w:pPr>
            <w:r>
              <w:rPr>
                <w:rFonts w:ascii="Arial" w:hAnsi="Arial" w:cs="Arial"/>
                <w:color w:val="000000"/>
              </w:rPr>
              <w:t>3,486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DAA6788" w14:textId="77777777" w:rsidR="00360825" w:rsidRDefault="00360825" w:rsidP="00C04569">
            <w:pPr>
              <w:keepNext/>
              <w:spacing w:after="0" w:line="300" w:lineRule="auto"/>
              <w:jc w:val="center"/>
              <w:rPr>
                <w:rFonts w:ascii="Arial" w:hAnsi="Arial" w:cs="Arial"/>
              </w:rPr>
            </w:pPr>
            <w:r>
              <w:rPr>
                <w:rFonts w:ascii="Arial" w:hAnsi="Arial" w:cs="Arial"/>
                <w:color w:val="000000"/>
              </w:rPr>
              <w:t>37.1%</w:t>
            </w:r>
          </w:p>
        </w:tc>
      </w:tr>
      <w:tr w:rsidR="00360825" w14:paraId="77403877"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26542BD" w14:textId="77777777" w:rsidR="00360825" w:rsidRDefault="00360825" w:rsidP="00C04569">
            <w:pPr>
              <w:keepNext/>
              <w:widowControl w:val="0"/>
              <w:spacing w:after="0" w:line="300" w:lineRule="auto"/>
              <w:rPr>
                <w:rFonts w:ascii="Arial" w:hAnsi="Arial" w:cs="Arial"/>
              </w:rPr>
            </w:pPr>
            <w:r>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1BE19C3" w14:textId="77777777" w:rsidR="00360825" w:rsidRDefault="00360825" w:rsidP="00C04569">
            <w:pPr>
              <w:keepNext/>
              <w:spacing w:after="0" w:line="300" w:lineRule="auto"/>
              <w:jc w:val="center"/>
              <w:rPr>
                <w:rFonts w:ascii="Arial" w:hAnsi="Arial" w:cs="Arial"/>
              </w:rPr>
            </w:pPr>
            <w:r>
              <w:rPr>
                <w:rFonts w:ascii="Arial" w:hAnsi="Arial" w:cs="Arial"/>
                <w:color w:val="000000"/>
              </w:rPr>
              <w:t>31,759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4EF2429" w14:textId="77777777" w:rsidR="00360825" w:rsidRDefault="00360825" w:rsidP="00C04569">
            <w:pPr>
              <w:keepNext/>
              <w:spacing w:after="0" w:line="300" w:lineRule="auto"/>
              <w:jc w:val="center"/>
              <w:rPr>
                <w:rFonts w:ascii="Arial" w:hAnsi="Arial" w:cs="Arial"/>
              </w:rPr>
            </w:pPr>
            <w:r>
              <w:rPr>
                <w:rFonts w:ascii="Arial" w:hAnsi="Arial" w:cs="Arial"/>
                <w:color w:val="000000"/>
              </w:rPr>
              <w:t>34,255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54AF5F6" w14:textId="77777777" w:rsidR="00360825" w:rsidRDefault="00360825" w:rsidP="00C04569">
            <w:pPr>
              <w:keepNext/>
              <w:spacing w:after="0" w:line="300" w:lineRule="auto"/>
              <w:jc w:val="center"/>
              <w:rPr>
                <w:rFonts w:ascii="Arial" w:hAnsi="Arial" w:cs="Arial"/>
              </w:rPr>
            </w:pPr>
            <w:r>
              <w:rPr>
                <w:rFonts w:ascii="Arial" w:hAnsi="Arial" w:cs="Arial"/>
                <w:color w:val="000000"/>
              </w:rPr>
              <w:t>2,496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7CAB9A1" w14:textId="77777777" w:rsidR="00360825" w:rsidRDefault="00360825" w:rsidP="00C04569">
            <w:pPr>
              <w:keepNext/>
              <w:spacing w:after="0" w:line="300" w:lineRule="auto"/>
              <w:jc w:val="center"/>
              <w:rPr>
                <w:rFonts w:ascii="Arial" w:hAnsi="Arial" w:cs="Arial"/>
              </w:rPr>
            </w:pPr>
            <w:r>
              <w:rPr>
                <w:rFonts w:ascii="Arial" w:hAnsi="Arial" w:cs="Arial"/>
                <w:color w:val="000000"/>
              </w:rPr>
              <w:t>7.9%</w:t>
            </w:r>
          </w:p>
        </w:tc>
      </w:tr>
    </w:tbl>
    <w:p w14:paraId="75C32B68" w14:textId="77777777" w:rsidR="00360825" w:rsidRDefault="00360825" w:rsidP="00360825">
      <w:pPr>
        <w:spacing w:line="300" w:lineRule="auto"/>
        <w:rPr>
          <w:rFonts w:ascii="Arial" w:hAnsi="Arial" w:cs="Arial"/>
          <w:i/>
          <w:iCs/>
          <w:sz w:val="16"/>
          <w:szCs w:val="16"/>
        </w:rPr>
      </w:pPr>
      <w:r>
        <w:rPr>
          <w:rFonts w:ascii="Arial" w:hAnsi="Arial" w:cs="Arial"/>
          <w:i/>
          <w:iCs/>
          <w:sz w:val="16"/>
          <w:szCs w:val="16"/>
        </w:rPr>
        <w:t>Source: Demographic Projections</w:t>
      </w:r>
    </w:p>
    <w:p w14:paraId="387B657D" w14:textId="77777777" w:rsidR="000215ED" w:rsidRDefault="000215ED" w:rsidP="00360825">
      <w:pPr>
        <w:pStyle w:val="BodytextAppendices"/>
        <w:numPr>
          <w:ilvl w:val="0"/>
          <w:numId w:val="0"/>
        </w:numPr>
        <w:rPr>
          <w:rFonts w:ascii="Arial" w:hAnsi="Arial" w:cs="Arial"/>
          <w:b/>
          <w:bCs/>
          <w:u w:val="single"/>
        </w:rPr>
      </w:pPr>
    </w:p>
    <w:p w14:paraId="5B65307D" w14:textId="1614D6A6" w:rsidR="00360825" w:rsidRDefault="00360825" w:rsidP="00360825">
      <w:pPr>
        <w:pStyle w:val="BodytextAppendices"/>
        <w:numPr>
          <w:ilvl w:val="0"/>
          <w:numId w:val="0"/>
        </w:numPr>
        <w:rPr>
          <w:rFonts w:ascii="Arial" w:hAnsi="Arial" w:cs="Arial"/>
          <w:b/>
          <w:bCs/>
          <w:u w:val="single"/>
        </w:rPr>
      </w:pPr>
      <w:r>
        <w:rPr>
          <w:rFonts w:ascii="Arial" w:hAnsi="Arial" w:cs="Arial"/>
          <w:b/>
          <w:bCs/>
          <w:u w:val="single"/>
        </w:rPr>
        <w:lastRenderedPageBreak/>
        <w:t>Labour Supply and Jobs Supported</w:t>
      </w:r>
    </w:p>
    <w:p w14:paraId="5402010D" w14:textId="77777777" w:rsidR="00360825" w:rsidRDefault="00360825" w:rsidP="001A7584">
      <w:pPr>
        <w:pStyle w:val="BodytextAppendices"/>
        <w:tabs>
          <w:tab w:val="clear" w:pos="0"/>
        </w:tabs>
        <w:ind w:hanging="567"/>
      </w:pPr>
      <w:r>
        <w:t xml:space="preserve">The tables below show an estimate of how the labour supply (number of people who are economically active) might change with the dwelling constrained scenario. Analysis also looks at the number of jobs that </w:t>
      </w:r>
      <w:r w:rsidRPr="00D556DB">
        <w:rPr>
          <w:rFonts w:ascii="Arial" w:hAnsi="Arial" w:cs="Arial"/>
        </w:rPr>
        <w:t>might</w:t>
      </w:r>
      <w:r>
        <w:t xml:space="preserve"> be supported. Across the whole District, this scenario suggest an increase of 7,900 people who are economically active and that this could support 10,100 jobs.</w:t>
      </w:r>
    </w:p>
    <w:p w14:paraId="6BEF4129" w14:textId="77777777" w:rsidR="00360825" w:rsidRDefault="00360825" w:rsidP="001A7584">
      <w:pPr>
        <w:pStyle w:val="Heading5"/>
        <w:numPr>
          <w:ilvl w:val="5"/>
          <w:numId w:val="43"/>
        </w:numPr>
      </w:pPr>
      <w:r>
        <w:t>Estimated change to the economically active population (2021-39) – Chichester District</w:t>
      </w:r>
    </w:p>
    <w:tbl>
      <w:tblPr>
        <w:tblStyle w:val="TableTheme"/>
        <w:tblW w:w="5000" w:type="pct"/>
        <w:tblInd w:w="0" w:type="dxa"/>
        <w:tblLook w:val="04A0" w:firstRow="1" w:lastRow="0" w:firstColumn="1" w:lastColumn="0" w:noHBand="0" w:noVBand="1"/>
      </w:tblPr>
      <w:tblGrid>
        <w:gridCol w:w="2878"/>
        <w:gridCol w:w="1965"/>
        <w:gridCol w:w="1967"/>
        <w:gridCol w:w="1967"/>
      </w:tblGrid>
      <w:tr w:rsidR="00360825" w14:paraId="554BD30C" w14:textId="77777777" w:rsidTr="00C04569">
        <w:tc>
          <w:tcPr>
            <w:tcW w:w="2878" w:type="dxa"/>
            <w:tcBorders>
              <w:top w:val="single" w:sz="4" w:space="0" w:color="auto"/>
              <w:left w:val="single" w:sz="4" w:space="0" w:color="auto"/>
              <w:bottom w:val="single" w:sz="4" w:space="0" w:color="auto"/>
              <w:right w:val="single" w:sz="4" w:space="0" w:color="auto"/>
            </w:tcBorders>
            <w:shd w:val="clear" w:color="auto" w:fill="002060"/>
          </w:tcPr>
          <w:p w14:paraId="54A3C23F" w14:textId="77777777" w:rsidR="00360825" w:rsidRDefault="00360825" w:rsidP="00C04569">
            <w:pPr>
              <w:keepNext/>
              <w:spacing w:after="0" w:line="300" w:lineRule="auto"/>
              <w:jc w:val="left"/>
              <w:rPr>
                <w:rFonts w:ascii="Arial" w:hAnsi="Arial" w:cs="Arial"/>
                <w:lang w:eastAsia="en-US"/>
              </w:rPr>
            </w:pPr>
          </w:p>
        </w:tc>
        <w:tc>
          <w:tcPr>
            <w:tcW w:w="1965" w:type="dxa"/>
            <w:tcBorders>
              <w:top w:val="single" w:sz="4" w:space="0" w:color="auto"/>
              <w:left w:val="single" w:sz="4" w:space="0" w:color="auto"/>
              <w:bottom w:val="single" w:sz="4" w:space="0" w:color="auto"/>
              <w:right w:val="single" w:sz="4" w:space="0" w:color="auto"/>
            </w:tcBorders>
            <w:shd w:val="clear" w:color="auto" w:fill="002060"/>
            <w:hideMark/>
          </w:tcPr>
          <w:p w14:paraId="295FCA92"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Economically active (2021)</w:t>
            </w:r>
          </w:p>
        </w:tc>
        <w:tc>
          <w:tcPr>
            <w:tcW w:w="1967" w:type="dxa"/>
            <w:tcBorders>
              <w:top w:val="single" w:sz="4" w:space="0" w:color="auto"/>
              <w:left w:val="single" w:sz="4" w:space="0" w:color="auto"/>
              <w:bottom w:val="single" w:sz="4" w:space="0" w:color="auto"/>
              <w:right w:val="single" w:sz="4" w:space="0" w:color="auto"/>
            </w:tcBorders>
            <w:shd w:val="clear" w:color="auto" w:fill="002060"/>
            <w:hideMark/>
          </w:tcPr>
          <w:p w14:paraId="5AEB1B27" w14:textId="59F42099"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Economically active (203</w:t>
            </w:r>
            <w:r w:rsidR="00892BCF">
              <w:rPr>
                <w:rFonts w:ascii="Arial" w:hAnsi="Arial" w:cs="Arial"/>
                <w:lang w:eastAsia="en-US"/>
              </w:rPr>
              <w:t>9</w:t>
            </w:r>
            <w:r>
              <w:rPr>
                <w:rFonts w:ascii="Arial" w:hAnsi="Arial" w:cs="Arial"/>
                <w:lang w:eastAsia="en-US"/>
              </w:rPr>
              <w:t>)</w:t>
            </w:r>
          </w:p>
        </w:tc>
        <w:tc>
          <w:tcPr>
            <w:tcW w:w="1967" w:type="dxa"/>
            <w:tcBorders>
              <w:top w:val="single" w:sz="4" w:space="0" w:color="auto"/>
              <w:left w:val="single" w:sz="4" w:space="0" w:color="auto"/>
              <w:bottom w:val="single" w:sz="4" w:space="0" w:color="auto"/>
              <w:right w:val="single" w:sz="4" w:space="0" w:color="auto"/>
            </w:tcBorders>
            <w:shd w:val="clear" w:color="auto" w:fill="002060"/>
            <w:hideMark/>
          </w:tcPr>
          <w:p w14:paraId="087D9863"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Total change in economically active</w:t>
            </w:r>
          </w:p>
        </w:tc>
      </w:tr>
      <w:tr w:rsidR="00360825" w14:paraId="183D5194" w14:textId="77777777" w:rsidTr="00C04569">
        <w:tc>
          <w:tcPr>
            <w:tcW w:w="2878" w:type="dxa"/>
            <w:tcBorders>
              <w:top w:val="single" w:sz="4" w:space="0" w:color="auto"/>
              <w:left w:val="single" w:sz="4" w:space="0" w:color="auto"/>
              <w:bottom w:val="single" w:sz="4" w:space="0" w:color="auto"/>
              <w:right w:val="single" w:sz="4" w:space="0" w:color="auto"/>
            </w:tcBorders>
            <w:hideMark/>
          </w:tcPr>
          <w:p w14:paraId="58EC5F54" w14:textId="77777777" w:rsidR="00360825" w:rsidRDefault="00360825" w:rsidP="00C04569">
            <w:pPr>
              <w:keepNext/>
              <w:widowControl w:val="0"/>
              <w:spacing w:after="0" w:line="300" w:lineRule="auto"/>
              <w:rPr>
                <w:rFonts w:ascii="Arial" w:hAnsi="Arial" w:cs="Arial"/>
                <w:lang w:eastAsia="en-US"/>
              </w:rPr>
            </w:pPr>
            <w:r>
              <w:rPr>
                <w:rFonts w:ascii="Arial" w:hAnsi="Arial" w:cs="Arial"/>
                <w:lang w:eastAsia="en-US"/>
              </w:rPr>
              <w:t>555 dpa in LPA</w:t>
            </w:r>
          </w:p>
        </w:tc>
        <w:tc>
          <w:tcPr>
            <w:tcW w:w="1965" w:type="dxa"/>
            <w:tcBorders>
              <w:top w:val="single" w:sz="4" w:space="0" w:color="auto"/>
              <w:left w:val="single" w:sz="4" w:space="0" w:color="auto"/>
              <w:bottom w:val="single" w:sz="4" w:space="0" w:color="auto"/>
              <w:right w:val="single" w:sz="4" w:space="0" w:color="auto"/>
            </w:tcBorders>
            <w:vAlign w:val="center"/>
            <w:hideMark/>
          </w:tcPr>
          <w:p w14:paraId="7F120FE6"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60,327</w:t>
            </w:r>
          </w:p>
        </w:tc>
        <w:tc>
          <w:tcPr>
            <w:tcW w:w="1967" w:type="dxa"/>
            <w:tcBorders>
              <w:top w:val="single" w:sz="4" w:space="0" w:color="auto"/>
              <w:left w:val="single" w:sz="4" w:space="0" w:color="auto"/>
              <w:bottom w:val="single" w:sz="4" w:space="0" w:color="auto"/>
              <w:right w:val="single" w:sz="4" w:space="0" w:color="auto"/>
            </w:tcBorders>
            <w:vAlign w:val="center"/>
            <w:hideMark/>
          </w:tcPr>
          <w:p w14:paraId="72F8EA74"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68,235</w:t>
            </w:r>
          </w:p>
        </w:tc>
        <w:tc>
          <w:tcPr>
            <w:tcW w:w="1967" w:type="dxa"/>
            <w:tcBorders>
              <w:top w:val="single" w:sz="4" w:space="0" w:color="auto"/>
              <w:left w:val="single" w:sz="4" w:space="0" w:color="auto"/>
              <w:bottom w:val="single" w:sz="4" w:space="0" w:color="auto"/>
              <w:right w:val="single" w:sz="4" w:space="0" w:color="auto"/>
            </w:tcBorders>
            <w:vAlign w:val="center"/>
            <w:hideMark/>
          </w:tcPr>
          <w:p w14:paraId="524766BD"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7,907</w:t>
            </w:r>
          </w:p>
        </w:tc>
      </w:tr>
    </w:tbl>
    <w:p w14:paraId="036F6A58" w14:textId="77777777" w:rsidR="00360825" w:rsidRDefault="00360825" w:rsidP="00360825">
      <w:pPr>
        <w:widowControl w:val="0"/>
        <w:autoSpaceDE w:val="0"/>
        <w:autoSpaceDN w:val="0"/>
        <w:adjustRightInd w:val="0"/>
        <w:spacing w:line="300" w:lineRule="auto"/>
        <w:jc w:val="left"/>
        <w:rPr>
          <w:rFonts w:ascii="Arial" w:hAnsi="Arial" w:cs="Arial"/>
          <w:i/>
          <w:iCs/>
          <w:sz w:val="16"/>
          <w:szCs w:val="16"/>
        </w:rPr>
      </w:pPr>
      <w:r>
        <w:rPr>
          <w:rFonts w:ascii="Arial" w:hAnsi="Arial" w:cs="Arial"/>
          <w:i/>
          <w:iCs/>
          <w:sz w:val="16"/>
          <w:szCs w:val="16"/>
        </w:rPr>
        <w:t>Source: Derived from demographic projections</w:t>
      </w:r>
    </w:p>
    <w:p w14:paraId="644F61B2" w14:textId="77777777" w:rsidR="00360825" w:rsidRDefault="00360825" w:rsidP="001A7584">
      <w:pPr>
        <w:pStyle w:val="Heading5"/>
        <w:numPr>
          <w:ilvl w:val="5"/>
          <w:numId w:val="43"/>
        </w:numPr>
      </w:pPr>
      <w:r>
        <w:t>Jobs supported by demographic projections (2021-39) – Chichester District</w:t>
      </w:r>
    </w:p>
    <w:tbl>
      <w:tblPr>
        <w:tblStyle w:val="TableTheme"/>
        <w:tblW w:w="5000" w:type="pct"/>
        <w:jc w:val="center"/>
        <w:tblInd w:w="0" w:type="dxa"/>
        <w:tblLook w:val="04A0" w:firstRow="1" w:lastRow="0" w:firstColumn="1" w:lastColumn="0" w:noHBand="0" w:noVBand="1"/>
      </w:tblPr>
      <w:tblGrid>
        <w:gridCol w:w="1838"/>
        <w:gridCol w:w="1734"/>
        <w:gridCol w:w="1735"/>
        <w:gridCol w:w="1735"/>
        <w:gridCol w:w="1735"/>
      </w:tblGrid>
      <w:tr w:rsidR="00360825" w14:paraId="7C2D08A7" w14:textId="77777777" w:rsidTr="00C04569">
        <w:trPr>
          <w:jc w:val="center"/>
        </w:trPr>
        <w:tc>
          <w:tcPr>
            <w:tcW w:w="1838" w:type="dxa"/>
            <w:tcBorders>
              <w:top w:val="single" w:sz="4" w:space="0" w:color="auto"/>
              <w:left w:val="single" w:sz="4" w:space="0" w:color="auto"/>
              <w:bottom w:val="single" w:sz="4" w:space="0" w:color="auto"/>
              <w:right w:val="single" w:sz="4" w:space="0" w:color="auto"/>
            </w:tcBorders>
            <w:shd w:val="clear" w:color="auto" w:fill="002060"/>
            <w:vAlign w:val="center"/>
          </w:tcPr>
          <w:p w14:paraId="5463DE8D" w14:textId="77777777" w:rsidR="00360825" w:rsidRDefault="00360825" w:rsidP="00C04569">
            <w:pPr>
              <w:keepNext/>
              <w:spacing w:after="0" w:line="300" w:lineRule="auto"/>
              <w:jc w:val="center"/>
              <w:rPr>
                <w:rFonts w:ascii="Arial" w:hAnsi="Arial" w:cs="Arial"/>
                <w:lang w:eastAsia="en-US"/>
              </w:rPr>
            </w:pPr>
          </w:p>
        </w:tc>
        <w:tc>
          <w:tcPr>
            <w:tcW w:w="17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65DAEDA"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Total change in economically active</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3099CB1"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Plus 1,705 returning to employment</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2CCEE52"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Allowance for net commuting</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ADF8639"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Allowance for double jobbing (= jobs supported)</w:t>
            </w:r>
          </w:p>
        </w:tc>
      </w:tr>
      <w:tr w:rsidR="00360825" w14:paraId="34963245" w14:textId="77777777" w:rsidTr="00C04569">
        <w:trPr>
          <w:trHeight w:val="263"/>
          <w:jc w:val="center"/>
        </w:trPr>
        <w:tc>
          <w:tcPr>
            <w:tcW w:w="1838" w:type="dxa"/>
            <w:tcBorders>
              <w:top w:val="single" w:sz="4" w:space="0" w:color="auto"/>
              <w:left w:val="single" w:sz="4" w:space="0" w:color="auto"/>
              <w:bottom w:val="single" w:sz="4" w:space="0" w:color="auto"/>
              <w:right w:val="single" w:sz="4" w:space="0" w:color="auto"/>
            </w:tcBorders>
            <w:hideMark/>
          </w:tcPr>
          <w:p w14:paraId="66B1E79A" w14:textId="77777777" w:rsidR="00360825" w:rsidRDefault="00360825" w:rsidP="00C04569">
            <w:pPr>
              <w:keepNext/>
              <w:widowControl w:val="0"/>
              <w:spacing w:after="0" w:line="300" w:lineRule="auto"/>
              <w:rPr>
                <w:rFonts w:ascii="Arial" w:hAnsi="Arial" w:cs="Arial"/>
                <w:lang w:eastAsia="en-US"/>
              </w:rPr>
            </w:pPr>
            <w:r>
              <w:rPr>
                <w:rFonts w:ascii="Arial" w:hAnsi="Arial" w:cs="Arial"/>
                <w:lang w:eastAsia="en-US"/>
              </w:rPr>
              <w:t>555 dpa in LPA</w:t>
            </w:r>
          </w:p>
        </w:tc>
        <w:tc>
          <w:tcPr>
            <w:tcW w:w="1734" w:type="dxa"/>
            <w:tcBorders>
              <w:top w:val="single" w:sz="4" w:space="0" w:color="auto"/>
              <w:left w:val="single" w:sz="4" w:space="0" w:color="auto"/>
              <w:bottom w:val="single" w:sz="4" w:space="0" w:color="auto"/>
              <w:right w:val="single" w:sz="4" w:space="0" w:color="auto"/>
            </w:tcBorders>
            <w:vAlign w:val="bottom"/>
            <w:hideMark/>
          </w:tcPr>
          <w:p w14:paraId="520EDF61"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7,907</w:t>
            </w:r>
          </w:p>
        </w:tc>
        <w:tc>
          <w:tcPr>
            <w:tcW w:w="1735" w:type="dxa"/>
            <w:tcBorders>
              <w:top w:val="single" w:sz="4" w:space="0" w:color="auto"/>
              <w:left w:val="single" w:sz="4" w:space="0" w:color="auto"/>
              <w:bottom w:val="single" w:sz="4" w:space="0" w:color="auto"/>
              <w:right w:val="single" w:sz="4" w:space="0" w:color="auto"/>
            </w:tcBorders>
            <w:vAlign w:val="bottom"/>
            <w:hideMark/>
          </w:tcPr>
          <w:p w14:paraId="1F9C5D50"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9,612</w:t>
            </w:r>
          </w:p>
        </w:tc>
        <w:tc>
          <w:tcPr>
            <w:tcW w:w="1735" w:type="dxa"/>
            <w:tcBorders>
              <w:top w:val="single" w:sz="4" w:space="0" w:color="auto"/>
              <w:left w:val="single" w:sz="4" w:space="0" w:color="auto"/>
              <w:bottom w:val="single" w:sz="4" w:space="0" w:color="auto"/>
              <w:right w:val="single" w:sz="4" w:space="0" w:color="auto"/>
            </w:tcBorders>
            <w:vAlign w:val="bottom"/>
            <w:hideMark/>
          </w:tcPr>
          <w:p w14:paraId="4CB48E11"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9,612</w:t>
            </w:r>
          </w:p>
        </w:tc>
        <w:tc>
          <w:tcPr>
            <w:tcW w:w="1735" w:type="dxa"/>
            <w:tcBorders>
              <w:top w:val="single" w:sz="4" w:space="0" w:color="auto"/>
              <w:left w:val="single" w:sz="4" w:space="0" w:color="auto"/>
              <w:bottom w:val="single" w:sz="4" w:space="0" w:color="auto"/>
              <w:right w:val="single" w:sz="4" w:space="0" w:color="auto"/>
            </w:tcBorders>
            <w:vAlign w:val="bottom"/>
            <w:hideMark/>
          </w:tcPr>
          <w:p w14:paraId="45BB115F"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10,101</w:t>
            </w:r>
          </w:p>
        </w:tc>
      </w:tr>
    </w:tbl>
    <w:p w14:paraId="011342DC" w14:textId="77777777" w:rsidR="00360825" w:rsidRDefault="00360825" w:rsidP="00360825">
      <w:pPr>
        <w:widowControl w:val="0"/>
        <w:autoSpaceDE w:val="0"/>
        <w:autoSpaceDN w:val="0"/>
        <w:adjustRightInd w:val="0"/>
        <w:spacing w:line="300" w:lineRule="auto"/>
        <w:rPr>
          <w:rFonts w:ascii="Arial" w:hAnsi="Arial" w:cs="Arial"/>
          <w:i/>
          <w:iCs/>
          <w:sz w:val="16"/>
          <w:szCs w:val="16"/>
        </w:rPr>
      </w:pPr>
      <w:r>
        <w:rPr>
          <w:rFonts w:ascii="Arial" w:hAnsi="Arial" w:cs="Arial"/>
          <w:i/>
          <w:iCs/>
          <w:sz w:val="16"/>
          <w:szCs w:val="16"/>
        </w:rPr>
        <w:t>Source: Derived from a range of sources as described</w:t>
      </w:r>
    </w:p>
    <w:p w14:paraId="5AF89177" w14:textId="27325EF7" w:rsidR="00360825" w:rsidRPr="00D556DB" w:rsidRDefault="00360825" w:rsidP="001A7584">
      <w:pPr>
        <w:pStyle w:val="BodytextAppendices"/>
        <w:numPr>
          <w:ilvl w:val="4"/>
          <w:numId w:val="43"/>
        </w:numPr>
        <w:tabs>
          <w:tab w:val="clear" w:pos="0"/>
        </w:tabs>
        <w:ind w:hanging="567"/>
      </w:pPr>
      <w:r w:rsidRPr="00D556DB">
        <w:t xml:space="preserve">As set out </w:t>
      </w:r>
      <w:r>
        <w:t>in previous chapters</w:t>
      </w:r>
      <w:r w:rsidRPr="00D556DB">
        <w:t xml:space="preserve"> the labour supply approach </w:t>
      </w:r>
      <w:r>
        <w:t>has not been used to calculate the economic land requirements therefore this does not impact on the overall growth in the Plan Area</w:t>
      </w:r>
      <w:r w:rsidR="002B1913">
        <w:t xml:space="preserve">. </w:t>
      </w:r>
      <w:r>
        <w:t>The level of jobs created is also comparable to the growth scenario (9,800) so a broad comparison can be made to the outputs of that scenario.</w:t>
      </w:r>
    </w:p>
    <w:p w14:paraId="0CF16E22" w14:textId="77777777" w:rsidR="00360825" w:rsidRDefault="00360825" w:rsidP="00360825">
      <w:pPr>
        <w:pStyle w:val="BodytextAppendices"/>
        <w:numPr>
          <w:ilvl w:val="0"/>
          <w:numId w:val="0"/>
        </w:numPr>
        <w:rPr>
          <w:rFonts w:ascii="Arial" w:hAnsi="Arial" w:cs="Arial"/>
          <w:b/>
          <w:bCs/>
          <w:u w:val="single"/>
        </w:rPr>
      </w:pPr>
      <w:r>
        <w:rPr>
          <w:rFonts w:ascii="Arial" w:hAnsi="Arial" w:cs="Arial"/>
          <w:b/>
          <w:bCs/>
          <w:u w:val="single"/>
        </w:rPr>
        <w:t>Affordable Housing Need</w:t>
      </w:r>
    </w:p>
    <w:p w14:paraId="251ABC82" w14:textId="77777777" w:rsidR="00360825" w:rsidRDefault="00360825" w:rsidP="001A7584">
      <w:pPr>
        <w:pStyle w:val="BodytextAppendices"/>
        <w:tabs>
          <w:tab w:val="clear" w:pos="0"/>
        </w:tabs>
        <w:ind w:hanging="567"/>
      </w:pPr>
      <w:r>
        <w:t xml:space="preserve">There are no changes to estimates of affordable housing need from using this alternative projection, this is because where data has been drawn from projections (notably to look at newly forming households) </w:t>
      </w:r>
      <w:r w:rsidRPr="00D556DB">
        <w:rPr>
          <w:rFonts w:ascii="Arial" w:hAnsi="Arial" w:cs="Arial"/>
        </w:rPr>
        <w:t>the</w:t>
      </w:r>
      <w:r>
        <w:t xml:space="preserve"> information has used official projections as published to reflect a trend based estimate of need.</w:t>
      </w:r>
    </w:p>
    <w:p w14:paraId="0DBE9CDF" w14:textId="77777777" w:rsidR="00360825" w:rsidRDefault="00360825" w:rsidP="00360825">
      <w:pPr>
        <w:pStyle w:val="BodytextAppendices"/>
        <w:numPr>
          <w:ilvl w:val="0"/>
          <w:numId w:val="0"/>
        </w:numPr>
        <w:rPr>
          <w:rFonts w:ascii="Arial" w:hAnsi="Arial" w:cs="Arial"/>
          <w:b/>
          <w:bCs/>
          <w:u w:val="single"/>
        </w:rPr>
      </w:pPr>
    </w:p>
    <w:p w14:paraId="6494E217" w14:textId="77777777" w:rsidR="00360825" w:rsidRDefault="00360825" w:rsidP="00360825">
      <w:pPr>
        <w:pStyle w:val="BodytextAppendices"/>
        <w:numPr>
          <w:ilvl w:val="0"/>
          <w:numId w:val="0"/>
        </w:numPr>
        <w:rPr>
          <w:rFonts w:ascii="Arial" w:hAnsi="Arial" w:cs="Arial"/>
          <w:b/>
          <w:bCs/>
          <w:u w:val="single"/>
        </w:rPr>
      </w:pPr>
      <w:r>
        <w:rPr>
          <w:rFonts w:ascii="Arial" w:hAnsi="Arial" w:cs="Arial"/>
          <w:b/>
          <w:bCs/>
          <w:u w:val="single"/>
        </w:rPr>
        <w:t>Housing Mix</w:t>
      </w:r>
    </w:p>
    <w:p w14:paraId="3EB26658" w14:textId="0259EEA4" w:rsidR="00360825" w:rsidRDefault="00360825" w:rsidP="001A7584">
      <w:pPr>
        <w:pStyle w:val="BodytextAppendices"/>
        <w:numPr>
          <w:ilvl w:val="4"/>
          <w:numId w:val="43"/>
        </w:numPr>
        <w:tabs>
          <w:tab w:val="clear" w:pos="0"/>
        </w:tabs>
        <w:ind w:hanging="567"/>
      </w:pPr>
      <w:r>
        <w:t xml:space="preserve">With the mix of housing, the alternative dwelling constrained projection makes </w:t>
      </w:r>
      <w:r w:rsidR="002B1913">
        <w:t>little</w:t>
      </w:r>
      <w:r>
        <w:t xml:space="preserve"> difference to the findings and has no impact on conclusions. The tables below do however show summary </w:t>
      </w:r>
      <w:r w:rsidRPr="00D556DB">
        <w:rPr>
          <w:rFonts w:ascii="Arial" w:hAnsi="Arial" w:cs="Arial"/>
        </w:rPr>
        <w:t>conclusions</w:t>
      </w:r>
      <w:r>
        <w:t xml:space="preserve"> from this analysis.</w:t>
      </w:r>
    </w:p>
    <w:p w14:paraId="5D0D1D93" w14:textId="77777777" w:rsidR="00360825" w:rsidRDefault="00360825" w:rsidP="001A7584">
      <w:pPr>
        <w:pStyle w:val="Heading5"/>
        <w:numPr>
          <w:ilvl w:val="5"/>
          <w:numId w:val="43"/>
        </w:numPr>
      </w:pPr>
      <w:r>
        <w:lastRenderedPageBreak/>
        <w:t>Modelled Mix of Housing by Size and Tenure in Chichester (combining methodologies) – linking to 680 dpa across the District</w:t>
      </w:r>
    </w:p>
    <w:tbl>
      <w:tblPr>
        <w:tblW w:w="5000" w:type="pct"/>
        <w:tblLook w:val="04A0" w:firstRow="1" w:lastRow="0" w:firstColumn="1" w:lastColumn="0" w:noHBand="0" w:noVBand="1"/>
      </w:tblPr>
      <w:tblGrid>
        <w:gridCol w:w="3009"/>
        <w:gridCol w:w="1443"/>
        <w:gridCol w:w="1443"/>
        <w:gridCol w:w="1443"/>
        <w:gridCol w:w="1439"/>
      </w:tblGrid>
      <w:tr w:rsidR="00360825" w14:paraId="3D3B575B" w14:textId="77777777" w:rsidTr="00C04569">
        <w:tc>
          <w:tcPr>
            <w:tcW w:w="1714" w:type="pct"/>
            <w:tcBorders>
              <w:top w:val="single" w:sz="4" w:space="0" w:color="auto"/>
              <w:left w:val="single" w:sz="4" w:space="0" w:color="auto"/>
              <w:bottom w:val="single" w:sz="4" w:space="0" w:color="auto"/>
              <w:right w:val="single" w:sz="4" w:space="0" w:color="auto"/>
            </w:tcBorders>
            <w:shd w:val="clear" w:color="auto" w:fill="002060"/>
          </w:tcPr>
          <w:p w14:paraId="5B3487E9" w14:textId="77777777" w:rsidR="00360825" w:rsidRDefault="00360825" w:rsidP="00C04569">
            <w:pPr>
              <w:keepNext/>
              <w:spacing w:before="60" w:after="60" w:line="300" w:lineRule="auto"/>
              <w:jc w:val="left"/>
              <w:rPr>
                <w:rFonts w:ascii="Arial" w:hAnsi="Arial" w:cs="Arial"/>
                <w:bCs/>
                <w:lang w:eastAsia="en-US"/>
              </w:rPr>
            </w:pP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094EEAFC" w14:textId="77777777" w:rsidR="00360825" w:rsidRDefault="00360825" w:rsidP="00C04569">
            <w:pPr>
              <w:keepNext/>
              <w:widowControl w:val="0"/>
              <w:spacing w:before="60" w:after="60" w:line="300" w:lineRule="auto"/>
              <w:jc w:val="center"/>
              <w:rPr>
                <w:rFonts w:ascii="Arial" w:hAnsi="Arial" w:cs="Arial"/>
                <w:bCs/>
                <w:lang w:eastAsia="en-US"/>
              </w:rPr>
            </w:pPr>
            <w:r>
              <w:rPr>
                <w:rFonts w:ascii="Arial" w:hAnsi="Arial" w:cs="Arial"/>
                <w:bCs/>
                <w:lang w:eastAsia="en-US"/>
              </w:rPr>
              <w:t>1-bedroom</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33998A42" w14:textId="77777777" w:rsidR="00360825" w:rsidRDefault="00360825" w:rsidP="00C04569">
            <w:pPr>
              <w:keepNext/>
              <w:widowControl w:val="0"/>
              <w:spacing w:before="60" w:after="60" w:line="300" w:lineRule="auto"/>
              <w:jc w:val="center"/>
              <w:rPr>
                <w:rFonts w:ascii="Arial" w:hAnsi="Arial" w:cs="Arial"/>
                <w:bCs/>
                <w:lang w:eastAsia="en-US"/>
              </w:rPr>
            </w:pPr>
            <w:r>
              <w:rPr>
                <w:rFonts w:ascii="Arial" w:hAnsi="Arial" w:cs="Arial"/>
                <w:bCs/>
                <w:lang w:eastAsia="en-US"/>
              </w:rPr>
              <w:t>2-bedrooms</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2459CF1C" w14:textId="77777777" w:rsidR="00360825" w:rsidRDefault="00360825" w:rsidP="00C04569">
            <w:pPr>
              <w:keepNext/>
              <w:widowControl w:val="0"/>
              <w:spacing w:before="60" w:after="60" w:line="300" w:lineRule="auto"/>
              <w:jc w:val="center"/>
              <w:rPr>
                <w:rFonts w:ascii="Arial" w:hAnsi="Arial" w:cs="Arial"/>
                <w:bCs/>
                <w:lang w:eastAsia="en-US"/>
              </w:rPr>
            </w:pPr>
            <w:r>
              <w:rPr>
                <w:rFonts w:ascii="Arial" w:hAnsi="Arial" w:cs="Arial"/>
                <w:bCs/>
                <w:lang w:eastAsia="en-US"/>
              </w:rPr>
              <w:t>3-bedrooms</w:t>
            </w:r>
          </w:p>
        </w:tc>
        <w:tc>
          <w:tcPr>
            <w:tcW w:w="820" w:type="pct"/>
            <w:tcBorders>
              <w:top w:val="single" w:sz="4" w:space="0" w:color="auto"/>
              <w:left w:val="single" w:sz="4" w:space="0" w:color="auto"/>
              <w:bottom w:val="single" w:sz="4" w:space="0" w:color="auto"/>
              <w:right w:val="single" w:sz="4" w:space="0" w:color="auto"/>
            </w:tcBorders>
            <w:shd w:val="clear" w:color="auto" w:fill="002060"/>
            <w:hideMark/>
          </w:tcPr>
          <w:p w14:paraId="246B2370" w14:textId="77777777" w:rsidR="00360825" w:rsidRDefault="00360825" w:rsidP="00C04569">
            <w:pPr>
              <w:keepNext/>
              <w:widowControl w:val="0"/>
              <w:spacing w:before="60" w:after="60" w:line="300" w:lineRule="auto"/>
              <w:jc w:val="center"/>
              <w:rPr>
                <w:rFonts w:ascii="Arial" w:hAnsi="Arial" w:cs="Arial"/>
                <w:bCs/>
                <w:spacing w:val="-6"/>
                <w:lang w:eastAsia="en-US"/>
              </w:rPr>
            </w:pPr>
            <w:r>
              <w:rPr>
                <w:rFonts w:ascii="Arial" w:hAnsi="Arial" w:cs="Arial"/>
                <w:bCs/>
                <w:spacing w:val="-6"/>
                <w:lang w:eastAsia="en-US"/>
              </w:rPr>
              <w:t>4+-bedrooms</w:t>
            </w:r>
          </w:p>
        </w:tc>
      </w:tr>
      <w:tr w:rsidR="00360825" w14:paraId="0525B1F4"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28930578" w14:textId="77777777" w:rsidR="00360825" w:rsidRDefault="00360825" w:rsidP="00C04569">
            <w:pPr>
              <w:keepNext/>
              <w:widowControl w:val="0"/>
              <w:spacing w:after="0" w:line="300" w:lineRule="auto"/>
              <w:rPr>
                <w:rFonts w:ascii="Arial" w:hAnsi="Arial" w:cs="Arial"/>
                <w:bCs/>
                <w:lang w:eastAsia="en-US"/>
              </w:rPr>
            </w:pPr>
            <w:r>
              <w:rPr>
                <w:rFonts w:ascii="Arial" w:hAnsi="Arial" w:cs="Arial"/>
                <w:bCs/>
                <w:lang w:eastAsia="en-US"/>
              </w:rPr>
              <w:t>Market</w:t>
            </w:r>
          </w:p>
        </w:tc>
        <w:tc>
          <w:tcPr>
            <w:tcW w:w="822" w:type="pct"/>
            <w:tcBorders>
              <w:top w:val="single" w:sz="4" w:space="0" w:color="auto"/>
              <w:left w:val="single" w:sz="4" w:space="0" w:color="auto"/>
              <w:bottom w:val="single" w:sz="4" w:space="0" w:color="auto"/>
              <w:right w:val="single" w:sz="4" w:space="0" w:color="auto"/>
            </w:tcBorders>
            <w:vAlign w:val="bottom"/>
            <w:hideMark/>
          </w:tcPr>
          <w:p w14:paraId="2B45840B"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5%</w:t>
            </w:r>
          </w:p>
        </w:tc>
        <w:tc>
          <w:tcPr>
            <w:tcW w:w="822" w:type="pct"/>
            <w:tcBorders>
              <w:top w:val="single" w:sz="4" w:space="0" w:color="auto"/>
              <w:left w:val="single" w:sz="4" w:space="0" w:color="auto"/>
              <w:bottom w:val="single" w:sz="4" w:space="0" w:color="auto"/>
              <w:right w:val="single" w:sz="4" w:space="0" w:color="auto"/>
            </w:tcBorders>
            <w:vAlign w:val="bottom"/>
            <w:hideMark/>
          </w:tcPr>
          <w:p w14:paraId="24E75D5C"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29%</w:t>
            </w:r>
          </w:p>
        </w:tc>
        <w:tc>
          <w:tcPr>
            <w:tcW w:w="822" w:type="pct"/>
            <w:tcBorders>
              <w:top w:val="single" w:sz="4" w:space="0" w:color="auto"/>
              <w:left w:val="single" w:sz="4" w:space="0" w:color="auto"/>
              <w:bottom w:val="single" w:sz="4" w:space="0" w:color="auto"/>
              <w:right w:val="single" w:sz="4" w:space="0" w:color="auto"/>
            </w:tcBorders>
            <w:vAlign w:val="bottom"/>
            <w:hideMark/>
          </w:tcPr>
          <w:p w14:paraId="5AF55136"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43%</w:t>
            </w:r>
          </w:p>
        </w:tc>
        <w:tc>
          <w:tcPr>
            <w:tcW w:w="820" w:type="pct"/>
            <w:tcBorders>
              <w:top w:val="single" w:sz="4" w:space="0" w:color="auto"/>
              <w:left w:val="single" w:sz="4" w:space="0" w:color="auto"/>
              <w:bottom w:val="single" w:sz="4" w:space="0" w:color="auto"/>
              <w:right w:val="single" w:sz="4" w:space="0" w:color="auto"/>
            </w:tcBorders>
            <w:vAlign w:val="bottom"/>
            <w:hideMark/>
          </w:tcPr>
          <w:p w14:paraId="103966B4"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23%</w:t>
            </w:r>
          </w:p>
        </w:tc>
      </w:tr>
      <w:tr w:rsidR="00360825" w14:paraId="1B07558C"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122897B7" w14:textId="77777777" w:rsidR="00360825" w:rsidRDefault="00360825" w:rsidP="00C04569">
            <w:pPr>
              <w:keepNext/>
              <w:widowControl w:val="0"/>
              <w:spacing w:after="0" w:line="300" w:lineRule="auto"/>
              <w:rPr>
                <w:rFonts w:ascii="Arial" w:hAnsi="Arial" w:cs="Arial"/>
                <w:bCs/>
                <w:lang w:eastAsia="en-US"/>
              </w:rPr>
            </w:pPr>
            <w:r>
              <w:rPr>
                <w:rFonts w:ascii="Arial" w:hAnsi="Arial" w:cs="Arial"/>
                <w:bCs/>
                <w:lang w:eastAsia="en-US"/>
              </w:rPr>
              <w:t>Affordable home ownership</w:t>
            </w:r>
          </w:p>
        </w:tc>
        <w:tc>
          <w:tcPr>
            <w:tcW w:w="822" w:type="pct"/>
            <w:tcBorders>
              <w:top w:val="single" w:sz="4" w:space="0" w:color="auto"/>
              <w:left w:val="single" w:sz="4" w:space="0" w:color="auto"/>
              <w:bottom w:val="single" w:sz="4" w:space="0" w:color="auto"/>
              <w:right w:val="single" w:sz="4" w:space="0" w:color="auto"/>
            </w:tcBorders>
            <w:vAlign w:val="bottom"/>
            <w:hideMark/>
          </w:tcPr>
          <w:p w14:paraId="3A50F231"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23%</w:t>
            </w:r>
          </w:p>
        </w:tc>
        <w:tc>
          <w:tcPr>
            <w:tcW w:w="822" w:type="pct"/>
            <w:tcBorders>
              <w:top w:val="single" w:sz="4" w:space="0" w:color="auto"/>
              <w:left w:val="single" w:sz="4" w:space="0" w:color="auto"/>
              <w:bottom w:val="single" w:sz="4" w:space="0" w:color="auto"/>
              <w:right w:val="single" w:sz="4" w:space="0" w:color="auto"/>
            </w:tcBorders>
            <w:vAlign w:val="bottom"/>
            <w:hideMark/>
          </w:tcPr>
          <w:p w14:paraId="4E6809CE"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38%</w:t>
            </w:r>
          </w:p>
        </w:tc>
        <w:tc>
          <w:tcPr>
            <w:tcW w:w="822" w:type="pct"/>
            <w:tcBorders>
              <w:top w:val="single" w:sz="4" w:space="0" w:color="auto"/>
              <w:left w:val="single" w:sz="4" w:space="0" w:color="auto"/>
              <w:bottom w:val="single" w:sz="4" w:space="0" w:color="auto"/>
              <w:right w:val="single" w:sz="4" w:space="0" w:color="auto"/>
            </w:tcBorders>
            <w:vAlign w:val="bottom"/>
            <w:hideMark/>
          </w:tcPr>
          <w:p w14:paraId="084D1309"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26%</w:t>
            </w:r>
          </w:p>
        </w:tc>
        <w:tc>
          <w:tcPr>
            <w:tcW w:w="820" w:type="pct"/>
            <w:tcBorders>
              <w:top w:val="single" w:sz="4" w:space="0" w:color="auto"/>
              <w:left w:val="single" w:sz="4" w:space="0" w:color="auto"/>
              <w:bottom w:val="single" w:sz="4" w:space="0" w:color="auto"/>
              <w:right w:val="single" w:sz="4" w:space="0" w:color="auto"/>
            </w:tcBorders>
            <w:vAlign w:val="bottom"/>
            <w:hideMark/>
          </w:tcPr>
          <w:p w14:paraId="0FDFE2AA"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14%</w:t>
            </w:r>
          </w:p>
        </w:tc>
      </w:tr>
      <w:tr w:rsidR="00360825" w14:paraId="60111A9B"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0369A1C6" w14:textId="77777777" w:rsidR="00360825" w:rsidRDefault="00360825" w:rsidP="00C04569">
            <w:pPr>
              <w:keepNext/>
              <w:widowControl w:val="0"/>
              <w:spacing w:after="0" w:line="300" w:lineRule="auto"/>
              <w:rPr>
                <w:rFonts w:ascii="Arial" w:hAnsi="Arial" w:cs="Arial"/>
                <w:bCs/>
                <w:lang w:eastAsia="en-US"/>
              </w:rPr>
            </w:pPr>
            <w:r>
              <w:rPr>
                <w:rFonts w:ascii="Arial" w:hAnsi="Arial" w:cs="Arial"/>
                <w:bCs/>
                <w:lang w:eastAsia="en-US"/>
              </w:rPr>
              <w:t>Affordable housing (rented)</w:t>
            </w:r>
          </w:p>
        </w:tc>
        <w:tc>
          <w:tcPr>
            <w:tcW w:w="822" w:type="pct"/>
            <w:tcBorders>
              <w:top w:val="single" w:sz="4" w:space="0" w:color="auto"/>
              <w:left w:val="single" w:sz="4" w:space="0" w:color="auto"/>
              <w:bottom w:val="single" w:sz="4" w:space="0" w:color="auto"/>
              <w:right w:val="single" w:sz="4" w:space="0" w:color="auto"/>
            </w:tcBorders>
            <w:vAlign w:val="bottom"/>
            <w:hideMark/>
          </w:tcPr>
          <w:p w14:paraId="066FC81B"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37%</w:t>
            </w:r>
          </w:p>
        </w:tc>
        <w:tc>
          <w:tcPr>
            <w:tcW w:w="822" w:type="pct"/>
            <w:tcBorders>
              <w:top w:val="single" w:sz="4" w:space="0" w:color="auto"/>
              <w:left w:val="single" w:sz="4" w:space="0" w:color="auto"/>
              <w:bottom w:val="single" w:sz="4" w:space="0" w:color="auto"/>
              <w:right w:val="single" w:sz="4" w:space="0" w:color="auto"/>
            </w:tcBorders>
            <w:vAlign w:val="bottom"/>
            <w:hideMark/>
          </w:tcPr>
          <w:p w14:paraId="095C5681"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38%</w:t>
            </w:r>
          </w:p>
        </w:tc>
        <w:tc>
          <w:tcPr>
            <w:tcW w:w="822" w:type="pct"/>
            <w:tcBorders>
              <w:top w:val="single" w:sz="4" w:space="0" w:color="auto"/>
              <w:left w:val="single" w:sz="4" w:space="0" w:color="auto"/>
              <w:bottom w:val="single" w:sz="4" w:space="0" w:color="auto"/>
              <w:right w:val="single" w:sz="4" w:space="0" w:color="auto"/>
            </w:tcBorders>
            <w:vAlign w:val="bottom"/>
            <w:hideMark/>
          </w:tcPr>
          <w:p w14:paraId="366F4A29"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22%</w:t>
            </w:r>
          </w:p>
        </w:tc>
        <w:tc>
          <w:tcPr>
            <w:tcW w:w="820" w:type="pct"/>
            <w:tcBorders>
              <w:top w:val="single" w:sz="4" w:space="0" w:color="auto"/>
              <w:left w:val="single" w:sz="4" w:space="0" w:color="auto"/>
              <w:bottom w:val="single" w:sz="4" w:space="0" w:color="auto"/>
              <w:right w:val="single" w:sz="4" w:space="0" w:color="auto"/>
            </w:tcBorders>
            <w:vAlign w:val="bottom"/>
            <w:hideMark/>
          </w:tcPr>
          <w:p w14:paraId="667CE2AE"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w:t>
            </w:r>
          </w:p>
        </w:tc>
      </w:tr>
    </w:tbl>
    <w:p w14:paraId="0B368DA5" w14:textId="77777777" w:rsidR="00360825" w:rsidRDefault="00360825" w:rsidP="00360825">
      <w:pPr>
        <w:pStyle w:val="BodyText"/>
        <w:numPr>
          <w:ilvl w:val="0"/>
          <w:numId w:val="0"/>
        </w:numPr>
        <w:tabs>
          <w:tab w:val="left" w:pos="720"/>
        </w:tabs>
        <w:spacing w:line="300" w:lineRule="auto"/>
        <w:rPr>
          <w:rFonts w:ascii="Arial" w:hAnsi="Arial" w:cs="Arial"/>
          <w:i/>
          <w:iCs/>
          <w:sz w:val="16"/>
          <w:szCs w:val="16"/>
        </w:rPr>
      </w:pPr>
      <w:r>
        <w:rPr>
          <w:rFonts w:ascii="Arial" w:hAnsi="Arial" w:cs="Arial"/>
          <w:i/>
          <w:iCs/>
          <w:sz w:val="16"/>
          <w:szCs w:val="16"/>
        </w:rPr>
        <w:t>Source: Housing Market Model</w:t>
      </w:r>
    </w:p>
    <w:p w14:paraId="46E4A48B" w14:textId="77777777" w:rsidR="00360825" w:rsidRDefault="00360825" w:rsidP="001A7584">
      <w:pPr>
        <w:pStyle w:val="Heading4"/>
        <w:numPr>
          <w:ilvl w:val="2"/>
          <w:numId w:val="44"/>
        </w:numPr>
        <w:ind w:left="1134"/>
      </w:pPr>
      <w:r>
        <w:t>Adjusted Modelled Mix of Housing by Size and Tenure – Chichester District – linking to 680 dpa across the District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1443"/>
        <w:gridCol w:w="1443"/>
        <w:gridCol w:w="1443"/>
        <w:gridCol w:w="1443"/>
      </w:tblGrid>
      <w:tr w:rsidR="00360825" w14:paraId="13EE74D6" w14:textId="77777777" w:rsidTr="00C04569">
        <w:tc>
          <w:tcPr>
            <w:tcW w:w="3005" w:type="dxa"/>
            <w:tcBorders>
              <w:top w:val="single" w:sz="4" w:space="0" w:color="auto"/>
              <w:left w:val="single" w:sz="4" w:space="0" w:color="auto"/>
              <w:bottom w:val="single" w:sz="4" w:space="0" w:color="auto"/>
              <w:right w:val="single" w:sz="4" w:space="0" w:color="auto"/>
            </w:tcBorders>
            <w:shd w:val="clear" w:color="auto" w:fill="002060"/>
            <w:vAlign w:val="center"/>
          </w:tcPr>
          <w:p w14:paraId="4C894BC7" w14:textId="77777777" w:rsidR="00360825" w:rsidRDefault="00360825" w:rsidP="00C04569">
            <w:pPr>
              <w:spacing w:after="0" w:line="300" w:lineRule="auto"/>
              <w:jc w:val="left"/>
              <w:rPr>
                <w:rFonts w:ascii="Arial" w:hAnsi="Arial" w:cs="Arial"/>
                <w:lang w:eastAsia="en-US"/>
              </w:rPr>
            </w:pP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A2CDE9E"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1-bedroom</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653E9F"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2-bedrooms</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52030D4"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3-bedrooms</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EFE1168" w14:textId="77777777" w:rsidR="00360825" w:rsidRDefault="00360825" w:rsidP="00C04569">
            <w:pPr>
              <w:keepNext/>
              <w:widowControl w:val="0"/>
              <w:spacing w:after="0" w:line="300" w:lineRule="auto"/>
              <w:jc w:val="center"/>
              <w:rPr>
                <w:rFonts w:ascii="Arial" w:hAnsi="Arial" w:cs="Arial"/>
                <w:spacing w:val="-6"/>
                <w:lang w:eastAsia="en-US"/>
              </w:rPr>
            </w:pPr>
            <w:r>
              <w:rPr>
                <w:rFonts w:ascii="Arial" w:hAnsi="Arial" w:cs="Arial"/>
                <w:spacing w:val="-6"/>
                <w:lang w:eastAsia="en-US"/>
              </w:rPr>
              <w:t>4+-bedrooms</w:t>
            </w:r>
          </w:p>
        </w:tc>
      </w:tr>
      <w:tr w:rsidR="00360825" w14:paraId="43F1F1D5"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3E04F61B" w14:textId="77777777" w:rsidR="00360825" w:rsidRDefault="00360825" w:rsidP="00C04569">
            <w:pPr>
              <w:keepNext/>
              <w:widowControl w:val="0"/>
              <w:spacing w:after="0" w:line="300" w:lineRule="auto"/>
              <w:rPr>
                <w:rFonts w:ascii="Arial" w:hAnsi="Arial" w:cs="Arial"/>
                <w:lang w:eastAsia="en-US"/>
              </w:rPr>
            </w:pPr>
            <w:r>
              <w:rPr>
                <w:rFonts w:ascii="Arial" w:hAnsi="Arial" w:cs="Arial"/>
                <w:lang w:eastAsia="en-US"/>
              </w:rPr>
              <w:t>Market</w:t>
            </w:r>
          </w:p>
        </w:tc>
        <w:tc>
          <w:tcPr>
            <w:tcW w:w="1443" w:type="dxa"/>
            <w:tcBorders>
              <w:top w:val="single" w:sz="4" w:space="0" w:color="auto"/>
              <w:left w:val="single" w:sz="4" w:space="0" w:color="auto"/>
              <w:bottom w:val="single" w:sz="4" w:space="0" w:color="auto"/>
              <w:right w:val="single" w:sz="4" w:space="0" w:color="auto"/>
            </w:tcBorders>
            <w:vAlign w:val="bottom"/>
            <w:hideMark/>
          </w:tcPr>
          <w:p w14:paraId="5F6244C5"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12%</w:t>
            </w:r>
          </w:p>
        </w:tc>
        <w:tc>
          <w:tcPr>
            <w:tcW w:w="1443" w:type="dxa"/>
            <w:tcBorders>
              <w:top w:val="single" w:sz="4" w:space="0" w:color="auto"/>
              <w:left w:val="single" w:sz="4" w:space="0" w:color="auto"/>
              <w:bottom w:val="single" w:sz="4" w:space="0" w:color="auto"/>
              <w:right w:val="single" w:sz="4" w:space="0" w:color="auto"/>
            </w:tcBorders>
            <w:vAlign w:val="bottom"/>
            <w:hideMark/>
          </w:tcPr>
          <w:p w14:paraId="57F52709"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39%</w:t>
            </w:r>
          </w:p>
        </w:tc>
        <w:tc>
          <w:tcPr>
            <w:tcW w:w="1443" w:type="dxa"/>
            <w:tcBorders>
              <w:top w:val="single" w:sz="4" w:space="0" w:color="auto"/>
              <w:left w:val="single" w:sz="4" w:space="0" w:color="auto"/>
              <w:bottom w:val="single" w:sz="4" w:space="0" w:color="auto"/>
              <w:right w:val="single" w:sz="4" w:space="0" w:color="auto"/>
            </w:tcBorders>
            <w:vAlign w:val="bottom"/>
            <w:hideMark/>
          </w:tcPr>
          <w:p w14:paraId="72E76C91"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35%</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33CF0E3"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14%</w:t>
            </w:r>
          </w:p>
        </w:tc>
      </w:tr>
      <w:tr w:rsidR="00360825" w14:paraId="5DCE932B"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33D74927" w14:textId="77777777" w:rsidR="00360825" w:rsidRDefault="00360825" w:rsidP="00C04569">
            <w:pPr>
              <w:keepNext/>
              <w:widowControl w:val="0"/>
              <w:spacing w:after="0" w:line="300" w:lineRule="auto"/>
              <w:rPr>
                <w:rFonts w:ascii="Arial" w:hAnsi="Arial" w:cs="Arial"/>
                <w:lang w:eastAsia="en-US"/>
              </w:rPr>
            </w:pPr>
            <w:r>
              <w:rPr>
                <w:rFonts w:ascii="Arial" w:hAnsi="Arial" w:cs="Arial"/>
                <w:lang w:eastAsia="en-US"/>
              </w:rPr>
              <w:t>Affordable home ownership</w:t>
            </w:r>
          </w:p>
        </w:tc>
        <w:tc>
          <w:tcPr>
            <w:tcW w:w="1443" w:type="dxa"/>
            <w:tcBorders>
              <w:top w:val="single" w:sz="4" w:space="0" w:color="auto"/>
              <w:left w:val="single" w:sz="4" w:space="0" w:color="auto"/>
              <w:bottom w:val="single" w:sz="4" w:space="0" w:color="auto"/>
              <w:right w:val="single" w:sz="4" w:space="0" w:color="auto"/>
            </w:tcBorders>
            <w:vAlign w:val="bottom"/>
            <w:hideMark/>
          </w:tcPr>
          <w:p w14:paraId="651E2FA9"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27%</w:t>
            </w:r>
          </w:p>
        </w:tc>
        <w:tc>
          <w:tcPr>
            <w:tcW w:w="1443" w:type="dxa"/>
            <w:tcBorders>
              <w:top w:val="single" w:sz="4" w:space="0" w:color="auto"/>
              <w:left w:val="single" w:sz="4" w:space="0" w:color="auto"/>
              <w:bottom w:val="single" w:sz="4" w:space="0" w:color="auto"/>
              <w:right w:val="single" w:sz="4" w:space="0" w:color="auto"/>
            </w:tcBorders>
            <w:vAlign w:val="bottom"/>
            <w:hideMark/>
          </w:tcPr>
          <w:p w14:paraId="52176612"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41%</w:t>
            </w:r>
          </w:p>
        </w:tc>
        <w:tc>
          <w:tcPr>
            <w:tcW w:w="1443" w:type="dxa"/>
            <w:tcBorders>
              <w:top w:val="single" w:sz="4" w:space="0" w:color="auto"/>
              <w:left w:val="single" w:sz="4" w:space="0" w:color="auto"/>
              <w:bottom w:val="single" w:sz="4" w:space="0" w:color="auto"/>
              <w:right w:val="single" w:sz="4" w:space="0" w:color="auto"/>
            </w:tcBorders>
            <w:vAlign w:val="bottom"/>
            <w:hideMark/>
          </w:tcPr>
          <w:p w14:paraId="66B3AE28"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21%</w:t>
            </w:r>
          </w:p>
        </w:tc>
        <w:tc>
          <w:tcPr>
            <w:tcW w:w="1443" w:type="dxa"/>
            <w:tcBorders>
              <w:top w:val="single" w:sz="4" w:space="0" w:color="auto"/>
              <w:left w:val="single" w:sz="4" w:space="0" w:color="auto"/>
              <w:bottom w:val="single" w:sz="4" w:space="0" w:color="auto"/>
              <w:right w:val="single" w:sz="4" w:space="0" w:color="auto"/>
            </w:tcBorders>
            <w:vAlign w:val="bottom"/>
            <w:hideMark/>
          </w:tcPr>
          <w:p w14:paraId="162D2AC5"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11%</w:t>
            </w:r>
          </w:p>
        </w:tc>
      </w:tr>
      <w:tr w:rsidR="00360825" w14:paraId="19C6AE0F"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58F0BD06" w14:textId="77777777" w:rsidR="00360825" w:rsidRDefault="00360825" w:rsidP="00C04569">
            <w:pPr>
              <w:keepNext/>
              <w:widowControl w:val="0"/>
              <w:spacing w:after="0" w:line="300" w:lineRule="auto"/>
              <w:rPr>
                <w:rFonts w:ascii="Arial" w:hAnsi="Arial" w:cs="Arial"/>
                <w:lang w:eastAsia="en-US"/>
              </w:rPr>
            </w:pPr>
            <w:r>
              <w:rPr>
                <w:rFonts w:ascii="Arial" w:hAnsi="Arial" w:cs="Arial"/>
                <w:lang w:eastAsia="en-US"/>
              </w:rPr>
              <w:t>Affordable housing (rented)</w:t>
            </w:r>
          </w:p>
        </w:tc>
        <w:tc>
          <w:tcPr>
            <w:tcW w:w="1443" w:type="dxa"/>
            <w:tcBorders>
              <w:top w:val="single" w:sz="4" w:space="0" w:color="auto"/>
              <w:left w:val="single" w:sz="4" w:space="0" w:color="auto"/>
              <w:bottom w:val="single" w:sz="4" w:space="0" w:color="auto"/>
              <w:right w:val="single" w:sz="4" w:space="0" w:color="auto"/>
            </w:tcBorders>
            <w:vAlign w:val="bottom"/>
            <w:hideMark/>
          </w:tcPr>
          <w:p w14:paraId="2690784E"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40%</w:t>
            </w:r>
          </w:p>
        </w:tc>
        <w:tc>
          <w:tcPr>
            <w:tcW w:w="1443" w:type="dxa"/>
            <w:tcBorders>
              <w:top w:val="single" w:sz="4" w:space="0" w:color="auto"/>
              <w:left w:val="single" w:sz="4" w:space="0" w:color="auto"/>
              <w:bottom w:val="single" w:sz="4" w:space="0" w:color="auto"/>
              <w:right w:val="single" w:sz="4" w:space="0" w:color="auto"/>
            </w:tcBorders>
            <w:vAlign w:val="bottom"/>
            <w:hideMark/>
          </w:tcPr>
          <w:p w14:paraId="0F641C1C"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38%</w:t>
            </w:r>
          </w:p>
        </w:tc>
        <w:tc>
          <w:tcPr>
            <w:tcW w:w="1443" w:type="dxa"/>
            <w:tcBorders>
              <w:top w:val="single" w:sz="4" w:space="0" w:color="auto"/>
              <w:left w:val="single" w:sz="4" w:space="0" w:color="auto"/>
              <w:bottom w:val="single" w:sz="4" w:space="0" w:color="auto"/>
              <w:right w:val="single" w:sz="4" w:space="0" w:color="auto"/>
            </w:tcBorders>
            <w:vAlign w:val="bottom"/>
            <w:hideMark/>
          </w:tcPr>
          <w:p w14:paraId="0E971480"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19%</w:t>
            </w:r>
          </w:p>
        </w:tc>
        <w:tc>
          <w:tcPr>
            <w:tcW w:w="1443" w:type="dxa"/>
            <w:tcBorders>
              <w:top w:val="single" w:sz="4" w:space="0" w:color="auto"/>
              <w:left w:val="single" w:sz="4" w:space="0" w:color="auto"/>
              <w:bottom w:val="single" w:sz="4" w:space="0" w:color="auto"/>
              <w:right w:val="single" w:sz="4" w:space="0" w:color="auto"/>
            </w:tcBorders>
            <w:vAlign w:val="bottom"/>
            <w:hideMark/>
          </w:tcPr>
          <w:p w14:paraId="54FA1A10"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3%</w:t>
            </w:r>
          </w:p>
        </w:tc>
      </w:tr>
    </w:tbl>
    <w:p w14:paraId="76102B8B" w14:textId="77777777" w:rsidR="00360825" w:rsidRDefault="00360825" w:rsidP="00360825">
      <w:pPr>
        <w:spacing w:line="300" w:lineRule="auto"/>
        <w:jc w:val="left"/>
        <w:rPr>
          <w:rFonts w:ascii="Arial" w:hAnsi="Arial" w:cs="Arial"/>
          <w:i/>
          <w:iCs/>
          <w:sz w:val="16"/>
          <w:szCs w:val="16"/>
        </w:rPr>
      </w:pPr>
      <w:r>
        <w:rPr>
          <w:rFonts w:ascii="Arial" w:hAnsi="Arial" w:cs="Arial"/>
          <w:i/>
          <w:iCs/>
          <w:sz w:val="16"/>
          <w:szCs w:val="16"/>
        </w:rPr>
        <w:t>Source: Housing Market Model (with adjustments)</w:t>
      </w:r>
    </w:p>
    <w:p w14:paraId="6563793E" w14:textId="77777777" w:rsidR="00360825" w:rsidRDefault="00360825" w:rsidP="00360825">
      <w:pPr>
        <w:pStyle w:val="BodytextAppendices"/>
        <w:numPr>
          <w:ilvl w:val="0"/>
          <w:numId w:val="0"/>
        </w:numPr>
        <w:rPr>
          <w:rFonts w:ascii="Arial" w:hAnsi="Arial" w:cs="Arial"/>
          <w:b/>
          <w:bCs/>
          <w:u w:val="single"/>
        </w:rPr>
      </w:pPr>
      <w:r>
        <w:rPr>
          <w:rFonts w:ascii="Arial" w:hAnsi="Arial" w:cs="Arial"/>
          <w:b/>
          <w:bCs/>
          <w:u w:val="single"/>
        </w:rPr>
        <w:t>Older People and People with Disabilities</w:t>
      </w:r>
    </w:p>
    <w:p w14:paraId="342F2234" w14:textId="4CBDF30E" w:rsidR="00360825" w:rsidRDefault="00360825" w:rsidP="001A7584">
      <w:pPr>
        <w:pStyle w:val="BodytextAppendices"/>
        <w:tabs>
          <w:tab w:val="clear" w:pos="0"/>
        </w:tabs>
        <w:ind w:hanging="567"/>
      </w:pPr>
      <w:r>
        <w:t xml:space="preserve">The final set of figures updated is in relation to older people and people with disabilities. As with other analysis the differences from linking to a different projection are not great but the tables do show some </w:t>
      </w:r>
      <w:r w:rsidR="002B1913">
        <w:t>small</w:t>
      </w:r>
      <w:r>
        <w:t xml:space="preserve"> shifts in numbers and estimates of need/disability.</w:t>
      </w:r>
    </w:p>
    <w:p w14:paraId="0F400733" w14:textId="77777777" w:rsidR="00360825" w:rsidRDefault="00360825" w:rsidP="001A7584">
      <w:pPr>
        <w:pStyle w:val="Heading5"/>
        <w:numPr>
          <w:ilvl w:val="5"/>
          <w:numId w:val="43"/>
        </w:numPr>
      </w:pPr>
      <w:r>
        <w:t>Projected Change in Population of Older Persons, 2021 to 2039 – Chichester District (based on 680 dpa)</w:t>
      </w:r>
    </w:p>
    <w:tbl>
      <w:tblPr>
        <w:tblStyle w:val="TableTheme"/>
        <w:tblW w:w="5000" w:type="pct"/>
        <w:tblInd w:w="0" w:type="dxa"/>
        <w:tblLook w:val="04A0" w:firstRow="1" w:lastRow="0" w:firstColumn="1" w:lastColumn="0" w:noHBand="0" w:noVBand="1"/>
      </w:tblPr>
      <w:tblGrid>
        <w:gridCol w:w="1755"/>
        <w:gridCol w:w="1755"/>
        <w:gridCol w:w="1756"/>
        <w:gridCol w:w="1755"/>
        <w:gridCol w:w="1756"/>
      </w:tblGrid>
      <w:tr w:rsidR="00360825" w14:paraId="45A113DA"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2660EEFE" w14:textId="77777777" w:rsidR="00360825" w:rsidRDefault="00360825" w:rsidP="00C04569">
            <w:pPr>
              <w:pStyle w:val="TableBodytext"/>
              <w:keepNext/>
              <w:spacing w:before="0" w:after="0" w:line="300" w:lineRule="auto"/>
              <w:rPr>
                <w:color w:val="FFFFFF" w:themeColor="background1"/>
                <w:sz w:val="20"/>
                <w:szCs w:val="20"/>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6FBD5A57"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4E3FB42A"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7CEF9322"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0DEC846D"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 change</w:t>
            </w:r>
          </w:p>
        </w:tc>
      </w:tr>
      <w:tr w:rsidR="00360825" w14:paraId="0DAE5E0F"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F836C42" w14:textId="77777777" w:rsidR="00360825" w:rsidRDefault="00360825" w:rsidP="00C04569">
            <w:pPr>
              <w:pStyle w:val="TableBodytext"/>
              <w:keepNext/>
              <w:spacing w:before="0" w:after="0" w:line="300" w:lineRule="auto"/>
              <w:rPr>
                <w:sz w:val="20"/>
                <w:szCs w:val="20"/>
              </w:rPr>
            </w:pPr>
            <w:r>
              <w:rPr>
                <w:sz w:val="20"/>
                <w:szCs w:val="20"/>
              </w:rPr>
              <w:t>Under 65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7FDD068D" w14:textId="77777777" w:rsidR="00360825" w:rsidRDefault="00360825" w:rsidP="00C04569">
            <w:pPr>
              <w:pStyle w:val="TableBodytext"/>
              <w:keepNext/>
              <w:spacing w:before="0" w:after="0" w:line="300" w:lineRule="auto"/>
              <w:jc w:val="center"/>
              <w:rPr>
                <w:sz w:val="20"/>
                <w:szCs w:val="20"/>
              </w:rPr>
            </w:pPr>
            <w:r>
              <w:rPr>
                <w:color w:val="000000"/>
                <w:sz w:val="20"/>
                <w:szCs w:val="20"/>
              </w:rPr>
              <w:t>88,087</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D51429C" w14:textId="77777777" w:rsidR="00360825" w:rsidRDefault="00360825" w:rsidP="00C04569">
            <w:pPr>
              <w:pStyle w:val="TableBodytext"/>
              <w:keepNext/>
              <w:spacing w:before="0" w:after="0" w:line="300" w:lineRule="auto"/>
              <w:jc w:val="center"/>
              <w:rPr>
                <w:sz w:val="20"/>
                <w:szCs w:val="20"/>
              </w:rPr>
            </w:pPr>
            <w:r>
              <w:rPr>
                <w:color w:val="000000"/>
                <w:sz w:val="20"/>
                <w:szCs w:val="20"/>
              </w:rPr>
              <w:t>92,199</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1755063" w14:textId="77777777" w:rsidR="00360825" w:rsidRDefault="00360825" w:rsidP="00C04569">
            <w:pPr>
              <w:pStyle w:val="TableBodytext"/>
              <w:keepNext/>
              <w:spacing w:before="0" w:after="0" w:line="300" w:lineRule="auto"/>
              <w:jc w:val="center"/>
              <w:rPr>
                <w:sz w:val="20"/>
                <w:szCs w:val="20"/>
              </w:rPr>
            </w:pPr>
            <w:r>
              <w:rPr>
                <w:color w:val="000000"/>
                <w:sz w:val="20"/>
                <w:szCs w:val="20"/>
              </w:rPr>
              <w:t>4,112</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C99A727" w14:textId="77777777" w:rsidR="00360825" w:rsidRDefault="00360825" w:rsidP="00C04569">
            <w:pPr>
              <w:pStyle w:val="TableBodytext"/>
              <w:keepNext/>
              <w:spacing w:before="0" w:after="0" w:line="300" w:lineRule="auto"/>
              <w:jc w:val="center"/>
              <w:rPr>
                <w:sz w:val="20"/>
                <w:szCs w:val="20"/>
              </w:rPr>
            </w:pPr>
            <w:r>
              <w:rPr>
                <w:color w:val="000000"/>
                <w:sz w:val="20"/>
                <w:szCs w:val="20"/>
              </w:rPr>
              <w:t>4.7%</w:t>
            </w:r>
          </w:p>
        </w:tc>
      </w:tr>
      <w:tr w:rsidR="00360825" w14:paraId="55E48FCE"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755B2596" w14:textId="77777777" w:rsidR="00360825" w:rsidRDefault="00360825" w:rsidP="00C04569">
            <w:pPr>
              <w:pStyle w:val="TableBodytext"/>
              <w:keepNext/>
              <w:spacing w:before="0" w:after="0" w:line="300" w:lineRule="auto"/>
              <w:rPr>
                <w:sz w:val="20"/>
                <w:szCs w:val="20"/>
              </w:rPr>
            </w:pPr>
            <w:r>
              <w:rPr>
                <w:sz w:val="20"/>
                <w:szCs w:val="20"/>
              </w:rPr>
              <w:t>65-74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44BDD7EA" w14:textId="77777777" w:rsidR="00360825" w:rsidRDefault="00360825" w:rsidP="00C04569">
            <w:pPr>
              <w:pStyle w:val="TableBodytext"/>
              <w:keepNext/>
              <w:spacing w:before="0" w:after="0" w:line="300" w:lineRule="auto"/>
              <w:jc w:val="center"/>
              <w:rPr>
                <w:sz w:val="20"/>
                <w:szCs w:val="20"/>
              </w:rPr>
            </w:pPr>
            <w:r>
              <w:rPr>
                <w:color w:val="000000"/>
                <w:sz w:val="20"/>
                <w:szCs w:val="20"/>
              </w:rPr>
              <w:t>17,044</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210FF8E" w14:textId="77777777" w:rsidR="00360825" w:rsidRDefault="00360825" w:rsidP="00C04569">
            <w:pPr>
              <w:pStyle w:val="TableBodytext"/>
              <w:keepNext/>
              <w:spacing w:before="0" w:after="0" w:line="300" w:lineRule="auto"/>
              <w:jc w:val="center"/>
              <w:rPr>
                <w:sz w:val="20"/>
                <w:szCs w:val="20"/>
              </w:rPr>
            </w:pPr>
            <w:r>
              <w:rPr>
                <w:color w:val="000000"/>
                <w:sz w:val="20"/>
                <w:szCs w:val="20"/>
              </w:rPr>
              <w:t>21,659</w:t>
            </w:r>
          </w:p>
        </w:tc>
        <w:tc>
          <w:tcPr>
            <w:tcW w:w="1755" w:type="dxa"/>
            <w:tcBorders>
              <w:top w:val="single" w:sz="4" w:space="0" w:color="auto"/>
              <w:left w:val="single" w:sz="4" w:space="0" w:color="auto"/>
              <w:bottom w:val="single" w:sz="4" w:space="0" w:color="auto"/>
              <w:right w:val="single" w:sz="4" w:space="0" w:color="auto"/>
            </w:tcBorders>
            <w:vAlign w:val="center"/>
            <w:hideMark/>
          </w:tcPr>
          <w:p w14:paraId="2128B25F" w14:textId="77777777" w:rsidR="00360825" w:rsidRDefault="00360825" w:rsidP="00C04569">
            <w:pPr>
              <w:pStyle w:val="TableBodytext"/>
              <w:keepNext/>
              <w:spacing w:before="0" w:after="0" w:line="300" w:lineRule="auto"/>
              <w:jc w:val="center"/>
              <w:rPr>
                <w:sz w:val="20"/>
                <w:szCs w:val="20"/>
              </w:rPr>
            </w:pPr>
            <w:r>
              <w:rPr>
                <w:color w:val="000000"/>
                <w:sz w:val="20"/>
                <w:szCs w:val="20"/>
              </w:rPr>
              <w:t>4,615</w:t>
            </w:r>
          </w:p>
        </w:tc>
        <w:tc>
          <w:tcPr>
            <w:tcW w:w="1756" w:type="dxa"/>
            <w:tcBorders>
              <w:top w:val="single" w:sz="4" w:space="0" w:color="auto"/>
              <w:left w:val="single" w:sz="4" w:space="0" w:color="auto"/>
              <w:bottom w:val="single" w:sz="4" w:space="0" w:color="auto"/>
              <w:right w:val="single" w:sz="4" w:space="0" w:color="auto"/>
            </w:tcBorders>
            <w:vAlign w:val="center"/>
            <w:hideMark/>
          </w:tcPr>
          <w:p w14:paraId="314F9A70" w14:textId="77777777" w:rsidR="00360825" w:rsidRDefault="00360825" w:rsidP="00C04569">
            <w:pPr>
              <w:pStyle w:val="TableBodytext"/>
              <w:keepNext/>
              <w:spacing w:before="0" w:after="0" w:line="300" w:lineRule="auto"/>
              <w:jc w:val="center"/>
              <w:rPr>
                <w:sz w:val="20"/>
                <w:szCs w:val="20"/>
              </w:rPr>
            </w:pPr>
            <w:r>
              <w:rPr>
                <w:color w:val="000000"/>
                <w:sz w:val="20"/>
                <w:szCs w:val="20"/>
              </w:rPr>
              <w:t>27.1%</w:t>
            </w:r>
          </w:p>
        </w:tc>
      </w:tr>
      <w:tr w:rsidR="00360825" w14:paraId="3BDAEFB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3C6DB8DD" w14:textId="77777777" w:rsidR="00360825" w:rsidRDefault="00360825" w:rsidP="00C04569">
            <w:pPr>
              <w:pStyle w:val="TableBodytext"/>
              <w:keepNext/>
              <w:spacing w:before="0" w:after="0" w:line="300" w:lineRule="auto"/>
              <w:rPr>
                <w:sz w:val="20"/>
                <w:szCs w:val="20"/>
              </w:rPr>
            </w:pPr>
            <w:r>
              <w:rPr>
                <w:sz w:val="20"/>
                <w:szCs w:val="20"/>
              </w:rPr>
              <w:t>75-84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859C6C2" w14:textId="77777777" w:rsidR="00360825" w:rsidRDefault="00360825" w:rsidP="00C04569">
            <w:pPr>
              <w:pStyle w:val="TableBodytext"/>
              <w:keepNext/>
              <w:spacing w:before="0" w:after="0" w:line="300" w:lineRule="auto"/>
              <w:jc w:val="center"/>
              <w:rPr>
                <w:sz w:val="20"/>
                <w:szCs w:val="20"/>
              </w:rPr>
            </w:pPr>
            <w:r>
              <w:rPr>
                <w:color w:val="000000"/>
                <w:sz w:val="20"/>
                <w:szCs w:val="20"/>
              </w:rPr>
              <w:t>11,973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72ADD77" w14:textId="77777777" w:rsidR="00360825" w:rsidRDefault="00360825" w:rsidP="00C04569">
            <w:pPr>
              <w:pStyle w:val="TableBodytext"/>
              <w:keepNext/>
              <w:spacing w:before="0" w:after="0" w:line="300" w:lineRule="auto"/>
              <w:jc w:val="center"/>
              <w:rPr>
                <w:sz w:val="20"/>
                <w:szCs w:val="20"/>
              </w:rPr>
            </w:pPr>
            <w:r>
              <w:rPr>
                <w:color w:val="000000"/>
                <w:sz w:val="20"/>
                <w:szCs w:val="20"/>
              </w:rPr>
              <w:t>17,674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27EE1AB" w14:textId="77777777" w:rsidR="00360825" w:rsidRDefault="00360825" w:rsidP="00C04569">
            <w:pPr>
              <w:pStyle w:val="TableBodytext"/>
              <w:keepNext/>
              <w:spacing w:before="0" w:after="0" w:line="300" w:lineRule="auto"/>
              <w:jc w:val="center"/>
              <w:rPr>
                <w:sz w:val="20"/>
                <w:szCs w:val="20"/>
              </w:rPr>
            </w:pPr>
            <w:r>
              <w:rPr>
                <w:color w:val="000000"/>
                <w:sz w:val="20"/>
                <w:szCs w:val="20"/>
              </w:rPr>
              <w:t>5,701</w:t>
            </w:r>
          </w:p>
        </w:tc>
        <w:tc>
          <w:tcPr>
            <w:tcW w:w="1756" w:type="dxa"/>
            <w:tcBorders>
              <w:top w:val="single" w:sz="4" w:space="0" w:color="auto"/>
              <w:left w:val="single" w:sz="4" w:space="0" w:color="auto"/>
              <w:bottom w:val="single" w:sz="4" w:space="0" w:color="auto"/>
              <w:right w:val="single" w:sz="4" w:space="0" w:color="auto"/>
            </w:tcBorders>
            <w:vAlign w:val="center"/>
            <w:hideMark/>
          </w:tcPr>
          <w:p w14:paraId="28A422E2" w14:textId="77777777" w:rsidR="00360825" w:rsidRDefault="00360825" w:rsidP="00C04569">
            <w:pPr>
              <w:pStyle w:val="TableBodytext"/>
              <w:keepNext/>
              <w:spacing w:before="0" w:after="0" w:line="300" w:lineRule="auto"/>
              <w:jc w:val="center"/>
              <w:rPr>
                <w:sz w:val="20"/>
                <w:szCs w:val="20"/>
              </w:rPr>
            </w:pPr>
            <w:r>
              <w:rPr>
                <w:color w:val="000000"/>
                <w:sz w:val="20"/>
                <w:szCs w:val="20"/>
              </w:rPr>
              <w:t>47.6%</w:t>
            </w:r>
          </w:p>
        </w:tc>
      </w:tr>
      <w:tr w:rsidR="00360825" w14:paraId="28F59232"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92A7753" w14:textId="77777777" w:rsidR="00360825" w:rsidRDefault="00360825" w:rsidP="00C04569">
            <w:pPr>
              <w:pStyle w:val="TableBodytext"/>
              <w:keepNext/>
              <w:spacing w:before="0" w:after="0" w:line="300" w:lineRule="auto"/>
              <w:rPr>
                <w:sz w:val="20"/>
                <w:szCs w:val="20"/>
              </w:rPr>
            </w:pPr>
            <w:r>
              <w:rPr>
                <w:sz w:val="20"/>
                <w:szCs w:val="20"/>
              </w:rPr>
              <w:t>85+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4D308810" w14:textId="77777777" w:rsidR="00360825" w:rsidRDefault="00360825" w:rsidP="00C04569">
            <w:pPr>
              <w:pStyle w:val="TableBodytext"/>
              <w:keepNext/>
              <w:spacing w:before="0" w:after="0" w:line="300" w:lineRule="auto"/>
              <w:jc w:val="center"/>
              <w:rPr>
                <w:sz w:val="20"/>
                <w:szCs w:val="20"/>
              </w:rPr>
            </w:pPr>
            <w:r>
              <w:rPr>
                <w:color w:val="000000"/>
                <w:sz w:val="20"/>
                <w:szCs w:val="20"/>
              </w:rPr>
              <w:t>5,238</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9E0B0A4" w14:textId="77777777" w:rsidR="00360825" w:rsidRDefault="00360825" w:rsidP="00C04569">
            <w:pPr>
              <w:pStyle w:val="TableBodytext"/>
              <w:keepNext/>
              <w:spacing w:before="0" w:after="0" w:line="300" w:lineRule="auto"/>
              <w:jc w:val="center"/>
              <w:rPr>
                <w:sz w:val="20"/>
                <w:szCs w:val="20"/>
              </w:rPr>
            </w:pPr>
            <w:r>
              <w:rPr>
                <w:color w:val="000000"/>
                <w:sz w:val="20"/>
                <w:szCs w:val="20"/>
              </w:rPr>
              <w:t>8,939</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BE573D3" w14:textId="77777777" w:rsidR="00360825" w:rsidRDefault="00360825" w:rsidP="00C04569">
            <w:pPr>
              <w:pStyle w:val="TableBodytext"/>
              <w:keepNext/>
              <w:spacing w:before="0" w:after="0" w:line="300" w:lineRule="auto"/>
              <w:jc w:val="center"/>
              <w:rPr>
                <w:sz w:val="20"/>
                <w:szCs w:val="20"/>
              </w:rPr>
            </w:pPr>
            <w:r>
              <w:rPr>
                <w:color w:val="000000"/>
                <w:sz w:val="20"/>
                <w:szCs w:val="20"/>
              </w:rPr>
              <w:t>3,700</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C991CE0" w14:textId="77777777" w:rsidR="00360825" w:rsidRDefault="00360825" w:rsidP="00C04569">
            <w:pPr>
              <w:pStyle w:val="TableBodytext"/>
              <w:keepNext/>
              <w:spacing w:before="0" w:after="0" w:line="300" w:lineRule="auto"/>
              <w:jc w:val="center"/>
              <w:rPr>
                <w:sz w:val="20"/>
                <w:szCs w:val="20"/>
              </w:rPr>
            </w:pPr>
            <w:r>
              <w:rPr>
                <w:color w:val="000000"/>
                <w:sz w:val="20"/>
                <w:szCs w:val="20"/>
              </w:rPr>
              <w:t>70.6%</w:t>
            </w:r>
          </w:p>
        </w:tc>
      </w:tr>
      <w:tr w:rsidR="00360825" w14:paraId="6A68D2AC"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6FF65351" w14:textId="77777777" w:rsidR="00360825" w:rsidRDefault="00360825" w:rsidP="00C04569">
            <w:pPr>
              <w:pStyle w:val="TableBodytext"/>
              <w:keepNext/>
              <w:spacing w:before="0" w:after="0" w:line="300" w:lineRule="auto"/>
              <w:rPr>
                <w:sz w:val="20"/>
                <w:szCs w:val="20"/>
              </w:rPr>
            </w:pPr>
            <w:r>
              <w:rPr>
                <w:sz w:val="20"/>
                <w:szCs w:val="20"/>
              </w:rPr>
              <w:t>Total</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7E72B62" w14:textId="77777777" w:rsidR="00360825" w:rsidRDefault="00360825" w:rsidP="00C04569">
            <w:pPr>
              <w:pStyle w:val="TableBodytext"/>
              <w:keepNext/>
              <w:spacing w:before="0" w:after="0" w:line="300" w:lineRule="auto"/>
              <w:jc w:val="center"/>
              <w:rPr>
                <w:sz w:val="20"/>
                <w:szCs w:val="20"/>
              </w:rPr>
            </w:pPr>
            <w:r>
              <w:rPr>
                <w:color w:val="000000"/>
                <w:sz w:val="20"/>
                <w:szCs w:val="20"/>
              </w:rPr>
              <w:t>122,343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A782A3D" w14:textId="77777777" w:rsidR="00360825" w:rsidRDefault="00360825" w:rsidP="00C04569">
            <w:pPr>
              <w:pStyle w:val="TableBodytext"/>
              <w:keepNext/>
              <w:spacing w:before="0" w:after="0" w:line="300" w:lineRule="auto"/>
              <w:jc w:val="center"/>
              <w:rPr>
                <w:sz w:val="20"/>
                <w:szCs w:val="20"/>
              </w:rPr>
            </w:pPr>
            <w:r>
              <w:rPr>
                <w:color w:val="000000"/>
                <w:sz w:val="20"/>
                <w:szCs w:val="20"/>
              </w:rPr>
              <w:t>140,471</w:t>
            </w:r>
          </w:p>
        </w:tc>
        <w:tc>
          <w:tcPr>
            <w:tcW w:w="1755" w:type="dxa"/>
            <w:tcBorders>
              <w:top w:val="single" w:sz="4" w:space="0" w:color="auto"/>
              <w:left w:val="single" w:sz="4" w:space="0" w:color="auto"/>
              <w:bottom w:val="single" w:sz="4" w:space="0" w:color="auto"/>
              <w:right w:val="single" w:sz="4" w:space="0" w:color="auto"/>
            </w:tcBorders>
            <w:vAlign w:val="center"/>
            <w:hideMark/>
          </w:tcPr>
          <w:p w14:paraId="4EF9459E" w14:textId="77777777" w:rsidR="00360825" w:rsidRDefault="00360825" w:rsidP="00C04569">
            <w:pPr>
              <w:pStyle w:val="TableBodytext"/>
              <w:keepNext/>
              <w:spacing w:before="0" w:after="0" w:line="300" w:lineRule="auto"/>
              <w:jc w:val="center"/>
              <w:rPr>
                <w:sz w:val="20"/>
                <w:szCs w:val="20"/>
              </w:rPr>
            </w:pPr>
            <w:r>
              <w:rPr>
                <w:color w:val="000000"/>
                <w:sz w:val="20"/>
                <w:szCs w:val="20"/>
              </w:rPr>
              <w:t>18,127</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BF0A7F9" w14:textId="77777777" w:rsidR="00360825" w:rsidRDefault="00360825" w:rsidP="00C04569">
            <w:pPr>
              <w:pStyle w:val="TableBodytext"/>
              <w:keepNext/>
              <w:spacing w:before="0" w:after="0" w:line="300" w:lineRule="auto"/>
              <w:jc w:val="center"/>
              <w:rPr>
                <w:sz w:val="20"/>
                <w:szCs w:val="20"/>
              </w:rPr>
            </w:pPr>
            <w:r>
              <w:rPr>
                <w:color w:val="000000"/>
                <w:sz w:val="20"/>
                <w:szCs w:val="20"/>
              </w:rPr>
              <w:t>14.8%</w:t>
            </w:r>
          </w:p>
        </w:tc>
      </w:tr>
      <w:tr w:rsidR="00360825" w14:paraId="4A03574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266FACF" w14:textId="77777777" w:rsidR="00360825" w:rsidRDefault="00360825" w:rsidP="00C04569">
            <w:pPr>
              <w:pStyle w:val="TableBodytext"/>
              <w:keepNext/>
              <w:spacing w:before="0" w:after="0" w:line="300" w:lineRule="auto"/>
              <w:rPr>
                <w:sz w:val="20"/>
                <w:szCs w:val="20"/>
              </w:rPr>
            </w:pPr>
            <w:r>
              <w:rPr>
                <w:sz w:val="20"/>
                <w:szCs w:val="20"/>
              </w:rPr>
              <w:t>Total 65+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3B0A75F" w14:textId="77777777" w:rsidR="00360825" w:rsidRDefault="00360825" w:rsidP="00C04569">
            <w:pPr>
              <w:pStyle w:val="TableBodytext"/>
              <w:keepNext/>
              <w:spacing w:before="0" w:after="0" w:line="300" w:lineRule="auto"/>
              <w:jc w:val="center"/>
              <w:rPr>
                <w:sz w:val="20"/>
                <w:szCs w:val="20"/>
              </w:rPr>
            </w:pPr>
            <w:r>
              <w:rPr>
                <w:color w:val="000000"/>
                <w:sz w:val="20"/>
                <w:szCs w:val="20"/>
              </w:rPr>
              <w:t>34,256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3B11CEFD" w14:textId="77777777" w:rsidR="00360825" w:rsidRDefault="00360825" w:rsidP="00C04569">
            <w:pPr>
              <w:pStyle w:val="TableBodytext"/>
              <w:keepNext/>
              <w:spacing w:before="0" w:after="0" w:line="300" w:lineRule="auto"/>
              <w:jc w:val="center"/>
              <w:rPr>
                <w:sz w:val="20"/>
                <w:szCs w:val="20"/>
              </w:rPr>
            </w:pPr>
            <w:r>
              <w:rPr>
                <w:color w:val="000000"/>
                <w:sz w:val="20"/>
                <w:szCs w:val="20"/>
              </w:rPr>
              <w:t>48,272</w:t>
            </w:r>
          </w:p>
        </w:tc>
        <w:tc>
          <w:tcPr>
            <w:tcW w:w="1755" w:type="dxa"/>
            <w:tcBorders>
              <w:top w:val="single" w:sz="4" w:space="0" w:color="auto"/>
              <w:left w:val="single" w:sz="4" w:space="0" w:color="auto"/>
              <w:bottom w:val="single" w:sz="4" w:space="0" w:color="auto"/>
              <w:right w:val="single" w:sz="4" w:space="0" w:color="auto"/>
            </w:tcBorders>
            <w:vAlign w:val="center"/>
            <w:hideMark/>
          </w:tcPr>
          <w:p w14:paraId="353E93D5" w14:textId="77777777" w:rsidR="00360825" w:rsidRDefault="00360825" w:rsidP="00C04569">
            <w:pPr>
              <w:pStyle w:val="TableBodytext"/>
              <w:keepNext/>
              <w:spacing w:before="0" w:after="0" w:line="300" w:lineRule="auto"/>
              <w:jc w:val="center"/>
              <w:rPr>
                <w:sz w:val="20"/>
                <w:szCs w:val="20"/>
              </w:rPr>
            </w:pPr>
            <w:r>
              <w:rPr>
                <w:color w:val="000000"/>
                <w:sz w:val="20"/>
                <w:szCs w:val="20"/>
              </w:rPr>
              <w:t>14,016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3CBA16A4" w14:textId="77777777" w:rsidR="00360825" w:rsidRDefault="00360825" w:rsidP="00C04569">
            <w:pPr>
              <w:pStyle w:val="TableBodytext"/>
              <w:keepNext/>
              <w:spacing w:before="0" w:after="0" w:line="300" w:lineRule="auto"/>
              <w:jc w:val="center"/>
              <w:rPr>
                <w:sz w:val="20"/>
                <w:szCs w:val="20"/>
              </w:rPr>
            </w:pPr>
            <w:r>
              <w:rPr>
                <w:color w:val="000000"/>
                <w:sz w:val="20"/>
                <w:szCs w:val="20"/>
              </w:rPr>
              <w:t>40.9%</w:t>
            </w:r>
          </w:p>
        </w:tc>
      </w:tr>
      <w:tr w:rsidR="00360825" w14:paraId="6B388C25"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7D377C54" w14:textId="77777777" w:rsidR="00360825" w:rsidRDefault="00360825" w:rsidP="00C04569">
            <w:pPr>
              <w:pStyle w:val="TableBodytext"/>
              <w:keepNext/>
              <w:spacing w:before="0" w:after="0" w:line="300" w:lineRule="auto"/>
              <w:rPr>
                <w:sz w:val="20"/>
                <w:szCs w:val="20"/>
              </w:rPr>
            </w:pPr>
            <w:r>
              <w:rPr>
                <w:sz w:val="20"/>
                <w:szCs w:val="20"/>
              </w:rPr>
              <w:t>Total 75+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4A99E4C" w14:textId="77777777" w:rsidR="00360825" w:rsidRDefault="00360825" w:rsidP="00C04569">
            <w:pPr>
              <w:pStyle w:val="TableBodytext"/>
              <w:keepNext/>
              <w:spacing w:before="0" w:after="0" w:line="300" w:lineRule="auto"/>
              <w:jc w:val="center"/>
              <w:rPr>
                <w:sz w:val="20"/>
                <w:szCs w:val="20"/>
              </w:rPr>
            </w:pPr>
            <w:r>
              <w:rPr>
                <w:color w:val="000000"/>
                <w:sz w:val="20"/>
                <w:szCs w:val="20"/>
              </w:rPr>
              <w:t>17,212</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A2AA626" w14:textId="77777777" w:rsidR="00360825" w:rsidRDefault="00360825" w:rsidP="00C04569">
            <w:pPr>
              <w:pStyle w:val="TableBodytext"/>
              <w:keepNext/>
              <w:spacing w:before="0" w:after="0" w:line="300" w:lineRule="auto"/>
              <w:jc w:val="center"/>
              <w:rPr>
                <w:sz w:val="20"/>
                <w:szCs w:val="20"/>
              </w:rPr>
            </w:pPr>
            <w:r>
              <w:rPr>
                <w:color w:val="000000"/>
                <w:sz w:val="20"/>
                <w:szCs w:val="20"/>
              </w:rPr>
              <w:t>26,613</w:t>
            </w:r>
          </w:p>
        </w:tc>
        <w:tc>
          <w:tcPr>
            <w:tcW w:w="1755" w:type="dxa"/>
            <w:tcBorders>
              <w:top w:val="single" w:sz="4" w:space="0" w:color="auto"/>
              <w:left w:val="single" w:sz="4" w:space="0" w:color="auto"/>
              <w:bottom w:val="single" w:sz="4" w:space="0" w:color="auto"/>
              <w:right w:val="single" w:sz="4" w:space="0" w:color="auto"/>
            </w:tcBorders>
            <w:vAlign w:val="center"/>
            <w:hideMark/>
          </w:tcPr>
          <w:p w14:paraId="2134BFCC" w14:textId="77777777" w:rsidR="00360825" w:rsidRDefault="00360825" w:rsidP="00C04569">
            <w:pPr>
              <w:pStyle w:val="TableBodytext"/>
              <w:keepNext/>
              <w:spacing w:before="0" w:after="0" w:line="300" w:lineRule="auto"/>
              <w:jc w:val="center"/>
              <w:rPr>
                <w:sz w:val="20"/>
                <w:szCs w:val="20"/>
              </w:rPr>
            </w:pPr>
            <w:r>
              <w:rPr>
                <w:color w:val="000000"/>
                <w:sz w:val="20"/>
                <w:szCs w:val="20"/>
              </w:rPr>
              <w:t>9,401</w:t>
            </w:r>
          </w:p>
        </w:tc>
        <w:tc>
          <w:tcPr>
            <w:tcW w:w="1756" w:type="dxa"/>
            <w:tcBorders>
              <w:top w:val="single" w:sz="4" w:space="0" w:color="auto"/>
              <w:left w:val="single" w:sz="4" w:space="0" w:color="auto"/>
              <w:bottom w:val="single" w:sz="4" w:space="0" w:color="auto"/>
              <w:right w:val="single" w:sz="4" w:space="0" w:color="auto"/>
            </w:tcBorders>
            <w:vAlign w:val="center"/>
            <w:hideMark/>
          </w:tcPr>
          <w:p w14:paraId="7FAEAD3A" w14:textId="77777777" w:rsidR="00360825" w:rsidRDefault="00360825" w:rsidP="00C04569">
            <w:pPr>
              <w:pStyle w:val="TableBodytext"/>
              <w:keepNext/>
              <w:spacing w:before="0" w:after="0" w:line="300" w:lineRule="auto"/>
              <w:jc w:val="center"/>
              <w:rPr>
                <w:sz w:val="20"/>
                <w:szCs w:val="20"/>
              </w:rPr>
            </w:pPr>
            <w:r>
              <w:rPr>
                <w:color w:val="000000"/>
                <w:sz w:val="20"/>
                <w:szCs w:val="20"/>
              </w:rPr>
              <w:t>54.6%</w:t>
            </w:r>
          </w:p>
        </w:tc>
      </w:tr>
    </w:tbl>
    <w:p w14:paraId="73654DDE" w14:textId="77777777" w:rsidR="00360825" w:rsidRDefault="00360825" w:rsidP="00360825">
      <w:pPr>
        <w:pStyle w:val="BodyText"/>
        <w:numPr>
          <w:ilvl w:val="0"/>
          <w:numId w:val="0"/>
        </w:numPr>
        <w:tabs>
          <w:tab w:val="left" w:pos="720"/>
        </w:tabs>
        <w:spacing w:line="300" w:lineRule="auto"/>
        <w:ind w:left="1134" w:hanging="1134"/>
        <w:rPr>
          <w:rFonts w:ascii="Arial" w:hAnsi="Arial" w:cs="Arial"/>
          <w:i/>
          <w:iCs/>
          <w:sz w:val="16"/>
          <w:szCs w:val="16"/>
        </w:rPr>
      </w:pPr>
      <w:r>
        <w:rPr>
          <w:rFonts w:ascii="Arial" w:hAnsi="Arial" w:cs="Arial"/>
          <w:i/>
          <w:iCs/>
          <w:sz w:val="16"/>
          <w:szCs w:val="16"/>
        </w:rPr>
        <w:t>Source: Demographic Projections</w:t>
      </w:r>
    </w:p>
    <w:p w14:paraId="4C18AABA" w14:textId="77777777" w:rsidR="00D3291F" w:rsidRDefault="00D3291F">
      <w:pPr>
        <w:spacing w:after="0" w:line="240" w:lineRule="auto"/>
        <w:jc w:val="left"/>
        <w:rPr>
          <w:rFonts w:asciiTheme="majorHAnsi" w:eastAsiaTheme="majorEastAsia" w:hAnsiTheme="majorHAnsi" w:cstheme="majorBidi"/>
          <w:b/>
          <w:color w:val="646464" w:themeColor="background2"/>
        </w:rPr>
      </w:pPr>
      <w:r>
        <w:br w:type="page"/>
      </w:r>
    </w:p>
    <w:p w14:paraId="1069232E" w14:textId="419D56D3" w:rsidR="00360825" w:rsidRDefault="00360825" w:rsidP="001A7584">
      <w:pPr>
        <w:pStyle w:val="Heading5"/>
        <w:numPr>
          <w:ilvl w:val="5"/>
          <w:numId w:val="43"/>
        </w:numPr>
      </w:pPr>
      <w:r>
        <w:lastRenderedPageBreak/>
        <w:t>Projected Changes to Population with a Range of Disabilities – Chichester District (linked to 680 dpa)</w:t>
      </w:r>
    </w:p>
    <w:tbl>
      <w:tblPr>
        <w:tblStyle w:val="TableTheme"/>
        <w:tblW w:w="5000" w:type="pct"/>
        <w:tblInd w:w="0" w:type="dxa"/>
        <w:tblLook w:val="04A0" w:firstRow="1" w:lastRow="0" w:firstColumn="1" w:lastColumn="0" w:noHBand="0" w:noVBand="1"/>
      </w:tblPr>
      <w:tblGrid>
        <w:gridCol w:w="2830"/>
        <w:gridCol w:w="1189"/>
        <w:gridCol w:w="1189"/>
        <w:gridCol w:w="1190"/>
        <w:gridCol w:w="1189"/>
        <w:gridCol w:w="1190"/>
      </w:tblGrid>
      <w:tr w:rsidR="00360825" w14:paraId="0E8387EA" w14:textId="77777777" w:rsidTr="00C04569">
        <w:tc>
          <w:tcPr>
            <w:tcW w:w="2830" w:type="dxa"/>
            <w:tcBorders>
              <w:top w:val="single" w:sz="4" w:space="0" w:color="auto"/>
              <w:left w:val="single" w:sz="4" w:space="0" w:color="auto"/>
              <w:bottom w:val="single" w:sz="4" w:space="0" w:color="auto"/>
              <w:right w:val="single" w:sz="4" w:space="0" w:color="auto"/>
            </w:tcBorders>
            <w:shd w:val="clear" w:color="auto" w:fill="002060"/>
            <w:hideMark/>
          </w:tcPr>
          <w:p w14:paraId="2C7753FC" w14:textId="77777777" w:rsidR="00360825" w:rsidRDefault="00360825" w:rsidP="00C04569">
            <w:pPr>
              <w:pStyle w:val="TableBodytext"/>
              <w:keepNext/>
              <w:spacing w:before="0" w:after="0" w:line="300" w:lineRule="auto"/>
              <w:rPr>
                <w:color w:val="FFFFFF" w:themeColor="background1"/>
                <w:sz w:val="20"/>
                <w:szCs w:val="20"/>
              </w:rPr>
            </w:pPr>
            <w:r>
              <w:rPr>
                <w:color w:val="FFFFFF" w:themeColor="background1"/>
                <w:sz w:val="20"/>
                <w:szCs w:val="20"/>
              </w:rPr>
              <w:t>Disability</w:t>
            </w: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78DDADD4" w14:textId="77777777" w:rsidR="00360825" w:rsidRDefault="00360825" w:rsidP="00C04569">
            <w:pPr>
              <w:pStyle w:val="TableBodytext"/>
              <w:keepNext/>
              <w:spacing w:before="0" w:after="0" w:line="300" w:lineRule="auto"/>
              <w:rPr>
                <w:color w:val="FFFFFF" w:themeColor="background1"/>
                <w:sz w:val="20"/>
                <w:szCs w:val="20"/>
              </w:rPr>
            </w:pPr>
            <w:r>
              <w:rPr>
                <w:color w:val="FFFFFF" w:themeColor="background1"/>
                <w:sz w:val="20"/>
                <w:szCs w:val="20"/>
              </w:rPr>
              <w:t>Age Range</w:t>
            </w: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6B62A290"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2021</w:t>
            </w:r>
          </w:p>
        </w:tc>
        <w:tc>
          <w:tcPr>
            <w:tcW w:w="1190" w:type="dxa"/>
            <w:tcBorders>
              <w:top w:val="single" w:sz="4" w:space="0" w:color="auto"/>
              <w:left w:val="single" w:sz="4" w:space="0" w:color="auto"/>
              <w:bottom w:val="single" w:sz="4" w:space="0" w:color="auto"/>
              <w:right w:val="single" w:sz="4" w:space="0" w:color="auto"/>
            </w:tcBorders>
            <w:shd w:val="clear" w:color="auto" w:fill="002060"/>
            <w:hideMark/>
          </w:tcPr>
          <w:p w14:paraId="42035497"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2039</w:t>
            </w: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14D0FC73"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Change</w:t>
            </w:r>
          </w:p>
        </w:tc>
        <w:tc>
          <w:tcPr>
            <w:tcW w:w="1190" w:type="dxa"/>
            <w:tcBorders>
              <w:top w:val="single" w:sz="4" w:space="0" w:color="auto"/>
              <w:left w:val="single" w:sz="4" w:space="0" w:color="auto"/>
              <w:bottom w:val="single" w:sz="4" w:space="0" w:color="auto"/>
              <w:right w:val="single" w:sz="4" w:space="0" w:color="auto"/>
            </w:tcBorders>
            <w:shd w:val="clear" w:color="auto" w:fill="002060"/>
            <w:hideMark/>
          </w:tcPr>
          <w:p w14:paraId="30718838"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 Change</w:t>
            </w:r>
          </w:p>
        </w:tc>
      </w:tr>
      <w:tr w:rsidR="00360825" w14:paraId="430ED538" w14:textId="77777777" w:rsidTr="00C04569">
        <w:tc>
          <w:tcPr>
            <w:tcW w:w="2830" w:type="dxa"/>
            <w:tcBorders>
              <w:top w:val="single" w:sz="4" w:space="0" w:color="auto"/>
              <w:left w:val="single" w:sz="4" w:space="0" w:color="auto"/>
              <w:bottom w:val="single" w:sz="4" w:space="0" w:color="auto"/>
              <w:right w:val="single" w:sz="4" w:space="0" w:color="auto"/>
            </w:tcBorders>
            <w:hideMark/>
          </w:tcPr>
          <w:p w14:paraId="6701DEFE" w14:textId="77777777" w:rsidR="00360825" w:rsidRDefault="00360825" w:rsidP="00C04569">
            <w:pPr>
              <w:pStyle w:val="TableBodytext"/>
              <w:keepNext/>
              <w:spacing w:before="0" w:after="0" w:line="300" w:lineRule="auto"/>
              <w:rPr>
                <w:sz w:val="20"/>
                <w:szCs w:val="20"/>
              </w:rPr>
            </w:pPr>
            <w:r>
              <w:rPr>
                <w:sz w:val="20"/>
                <w:szCs w:val="20"/>
              </w:rPr>
              <w:t>Dementia</w:t>
            </w:r>
          </w:p>
        </w:tc>
        <w:tc>
          <w:tcPr>
            <w:tcW w:w="1189" w:type="dxa"/>
            <w:tcBorders>
              <w:top w:val="single" w:sz="4" w:space="0" w:color="auto"/>
              <w:left w:val="single" w:sz="4" w:space="0" w:color="auto"/>
              <w:bottom w:val="single" w:sz="4" w:space="0" w:color="auto"/>
              <w:right w:val="single" w:sz="4" w:space="0" w:color="auto"/>
            </w:tcBorders>
            <w:hideMark/>
          </w:tcPr>
          <w:p w14:paraId="4DD49EF3" w14:textId="77777777" w:rsidR="00360825" w:rsidRDefault="00360825" w:rsidP="00C04569">
            <w:pPr>
              <w:pStyle w:val="TableBodytext"/>
              <w:keepNext/>
              <w:spacing w:before="0" w:after="0" w:line="300" w:lineRule="auto"/>
              <w:rPr>
                <w:sz w:val="20"/>
                <w:szCs w:val="20"/>
              </w:rPr>
            </w:pPr>
            <w:r>
              <w:rPr>
                <w:sz w:val="20"/>
                <w:szCs w:val="20"/>
              </w:rPr>
              <w:t>65+</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0E2A099" w14:textId="77777777" w:rsidR="00360825" w:rsidRDefault="00360825" w:rsidP="00C04569">
            <w:pPr>
              <w:pStyle w:val="TableBodytext"/>
              <w:keepNext/>
              <w:spacing w:before="0" w:after="0" w:line="300" w:lineRule="auto"/>
              <w:jc w:val="center"/>
              <w:rPr>
                <w:sz w:val="20"/>
                <w:szCs w:val="20"/>
              </w:rPr>
            </w:pPr>
            <w:r>
              <w:rPr>
                <w:color w:val="000000"/>
                <w:sz w:val="20"/>
                <w:szCs w:val="20"/>
              </w:rPr>
              <w:t>2,132</w:t>
            </w:r>
          </w:p>
        </w:tc>
        <w:tc>
          <w:tcPr>
            <w:tcW w:w="1190" w:type="dxa"/>
            <w:tcBorders>
              <w:top w:val="single" w:sz="4" w:space="0" w:color="auto"/>
              <w:left w:val="single" w:sz="4" w:space="0" w:color="auto"/>
              <w:bottom w:val="single" w:sz="4" w:space="0" w:color="auto"/>
              <w:right w:val="single" w:sz="4" w:space="0" w:color="auto"/>
            </w:tcBorders>
            <w:vAlign w:val="center"/>
            <w:hideMark/>
          </w:tcPr>
          <w:p w14:paraId="413802FF" w14:textId="77777777" w:rsidR="00360825" w:rsidRDefault="00360825" w:rsidP="00C04569">
            <w:pPr>
              <w:pStyle w:val="TableBodytext"/>
              <w:keepNext/>
              <w:spacing w:before="0" w:after="0" w:line="300" w:lineRule="auto"/>
              <w:jc w:val="center"/>
              <w:rPr>
                <w:sz w:val="20"/>
                <w:szCs w:val="20"/>
              </w:rPr>
            </w:pPr>
            <w:r>
              <w:rPr>
                <w:color w:val="000000"/>
                <w:sz w:val="20"/>
                <w:szCs w:val="20"/>
              </w:rPr>
              <w:t>3,344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1CD7BC64" w14:textId="77777777" w:rsidR="00360825" w:rsidRDefault="00360825" w:rsidP="00C04569">
            <w:pPr>
              <w:pStyle w:val="TableBodytext"/>
              <w:keepNext/>
              <w:spacing w:before="0" w:after="0" w:line="300" w:lineRule="auto"/>
              <w:jc w:val="center"/>
              <w:rPr>
                <w:sz w:val="20"/>
                <w:szCs w:val="20"/>
              </w:rPr>
            </w:pPr>
            <w:r>
              <w:rPr>
                <w:color w:val="000000"/>
                <w:sz w:val="20"/>
                <w:szCs w:val="20"/>
              </w:rPr>
              <w:t>1,212</w:t>
            </w:r>
          </w:p>
        </w:tc>
        <w:tc>
          <w:tcPr>
            <w:tcW w:w="1190" w:type="dxa"/>
            <w:tcBorders>
              <w:top w:val="single" w:sz="4" w:space="0" w:color="auto"/>
              <w:left w:val="single" w:sz="4" w:space="0" w:color="auto"/>
              <w:bottom w:val="single" w:sz="4" w:space="0" w:color="auto"/>
              <w:right w:val="single" w:sz="4" w:space="0" w:color="auto"/>
            </w:tcBorders>
            <w:vAlign w:val="center"/>
            <w:hideMark/>
          </w:tcPr>
          <w:p w14:paraId="1B63144F" w14:textId="77777777" w:rsidR="00360825" w:rsidRDefault="00360825" w:rsidP="00C04569">
            <w:pPr>
              <w:pStyle w:val="TableBodytext"/>
              <w:keepNext/>
              <w:spacing w:before="0" w:after="0" w:line="300" w:lineRule="auto"/>
              <w:jc w:val="center"/>
              <w:rPr>
                <w:sz w:val="20"/>
                <w:szCs w:val="20"/>
              </w:rPr>
            </w:pPr>
            <w:r>
              <w:rPr>
                <w:color w:val="000000"/>
                <w:sz w:val="20"/>
                <w:szCs w:val="20"/>
              </w:rPr>
              <w:t>56.9%</w:t>
            </w:r>
          </w:p>
        </w:tc>
      </w:tr>
      <w:tr w:rsidR="00360825" w14:paraId="354EE2C3" w14:textId="77777777" w:rsidTr="00C04569">
        <w:tc>
          <w:tcPr>
            <w:tcW w:w="2830" w:type="dxa"/>
            <w:tcBorders>
              <w:top w:val="single" w:sz="4" w:space="0" w:color="auto"/>
              <w:left w:val="single" w:sz="4" w:space="0" w:color="auto"/>
              <w:bottom w:val="single" w:sz="4" w:space="0" w:color="auto"/>
              <w:right w:val="single" w:sz="4" w:space="0" w:color="auto"/>
            </w:tcBorders>
            <w:hideMark/>
          </w:tcPr>
          <w:p w14:paraId="2B1699DD" w14:textId="77777777" w:rsidR="00360825" w:rsidRDefault="00360825" w:rsidP="00C04569">
            <w:pPr>
              <w:pStyle w:val="TableBodytext"/>
              <w:keepNext/>
              <w:spacing w:before="0" w:after="0" w:line="300" w:lineRule="auto"/>
              <w:rPr>
                <w:sz w:val="20"/>
                <w:szCs w:val="20"/>
              </w:rPr>
            </w:pPr>
            <w:r>
              <w:rPr>
                <w:sz w:val="20"/>
                <w:szCs w:val="20"/>
              </w:rPr>
              <w:t>Mobility problems</w:t>
            </w:r>
          </w:p>
        </w:tc>
        <w:tc>
          <w:tcPr>
            <w:tcW w:w="1189" w:type="dxa"/>
            <w:tcBorders>
              <w:top w:val="single" w:sz="4" w:space="0" w:color="auto"/>
              <w:left w:val="single" w:sz="4" w:space="0" w:color="auto"/>
              <w:bottom w:val="single" w:sz="4" w:space="0" w:color="auto"/>
              <w:right w:val="single" w:sz="4" w:space="0" w:color="auto"/>
            </w:tcBorders>
            <w:hideMark/>
          </w:tcPr>
          <w:p w14:paraId="1D1988EE" w14:textId="77777777" w:rsidR="00360825" w:rsidRDefault="00360825" w:rsidP="00C04569">
            <w:pPr>
              <w:pStyle w:val="TableBodytext"/>
              <w:keepNext/>
              <w:spacing w:before="0" w:after="0" w:line="300" w:lineRule="auto"/>
              <w:rPr>
                <w:sz w:val="20"/>
                <w:szCs w:val="20"/>
              </w:rPr>
            </w:pPr>
            <w:r>
              <w:rPr>
                <w:sz w:val="20"/>
                <w:szCs w:val="20"/>
              </w:rPr>
              <w:t>65+</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7A6DD89" w14:textId="77777777" w:rsidR="00360825" w:rsidRDefault="00360825" w:rsidP="00C04569">
            <w:pPr>
              <w:pStyle w:val="TableBodytext"/>
              <w:keepNext/>
              <w:spacing w:before="0" w:after="0" w:line="300" w:lineRule="auto"/>
              <w:jc w:val="center"/>
              <w:rPr>
                <w:sz w:val="20"/>
                <w:szCs w:val="20"/>
              </w:rPr>
            </w:pPr>
            <w:r>
              <w:rPr>
                <w:color w:val="000000"/>
                <w:sz w:val="20"/>
                <w:szCs w:val="20"/>
              </w:rPr>
              <w:t>5,493</w:t>
            </w:r>
          </w:p>
        </w:tc>
        <w:tc>
          <w:tcPr>
            <w:tcW w:w="1190" w:type="dxa"/>
            <w:tcBorders>
              <w:top w:val="single" w:sz="4" w:space="0" w:color="auto"/>
              <w:left w:val="single" w:sz="4" w:space="0" w:color="auto"/>
              <w:bottom w:val="single" w:sz="4" w:space="0" w:color="auto"/>
              <w:right w:val="single" w:sz="4" w:space="0" w:color="auto"/>
            </w:tcBorders>
            <w:vAlign w:val="center"/>
            <w:hideMark/>
          </w:tcPr>
          <w:p w14:paraId="578DD11F" w14:textId="77777777" w:rsidR="00360825" w:rsidRDefault="00360825" w:rsidP="00C04569">
            <w:pPr>
              <w:pStyle w:val="TableBodytext"/>
              <w:keepNext/>
              <w:spacing w:before="0" w:after="0" w:line="300" w:lineRule="auto"/>
              <w:jc w:val="center"/>
              <w:rPr>
                <w:sz w:val="20"/>
                <w:szCs w:val="20"/>
              </w:rPr>
            </w:pPr>
            <w:r>
              <w:rPr>
                <w:color w:val="000000"/>
                <w:sz w:val="20"/>
                <w:szCs w:val="20"/>
              </w:rPr>
              <w:t>8,194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69C71F1" w14:textId="77777777" w:rsidR="00360825" w:rsidRDefault="00360825" w:rsidP="00C04569">
            <w:pPr>
              <w:pStyle w:val="TableBodytext"/>
              <w:keepNext/>
              <w:spacing w:before="0" w:after="0" w:line="300" w:lineRule="auto"/>
              <w:jc w:val="center"/>
              <w:rPr>
                <w:sz w:val="20"/>
                <w:szCs w:val="20"/>
              </w:rPr>
            </w:pPr>
            <w:r>
              <w:rPr>
                <w:color w:val="000000"/>
                <w:sz w:val="20"/>
                <w:szCs w:val="20"/>
              </w:rPr>
              <w:t>2,701</w:t>
            </w:r>
          </w:p>
        </w:tc>
        <w:tc>
          <w:tcPr>
            <w:tcW w:w="1190" w:type="dxa"/>
            <w:tcBorders>
              <w:top w:val="single" w:sz="4" w:space="0" w:color="auto"/>
              <w:left w:val="single" w:sz="4" w:space="0" w:color="auto"/>
              <w:bottom w:val="single" w:sz="4" w:space="0" w:color="auto"/>
              <w:right w:val="single" w:sz="4" w:space="0" w:color="auto"/>
            </w:tcBorders>
            <w:vAlign w:val="center"/>
            <w:hideMark/>
          </w:tcPr>
          <w:p w14:paraId="6ACC2907" w14:textId="77777777" w:rsidR="00360825" w:rsidRDefault="00360825" w:rsidP="00C04569">
            <w:pPr>
              <w:pStyle w:val="TableBodytext"/>
              <w:keepNext/>
              <w:spacing w:before="0" w:after="0" w:line="300" w:lineRule="auto"/>
              <w:jc w:val="center"/>
              <w:rPr>
                <w:sz w:val="20"/>
                <w:szCs w:val="20"/>
              </w:rPr>
            </w:pPr>
            <w:r>
              <w:rPr>
                <w:color w:val="000000"/>
                <w:sz w:val="20"/>
                <w:szCs w:val="20"/>
              </w:rPr>
              <w:t>49.2%</w:t>
            </w:r>
          </w:p>
        </w:tc>
      </w:tr>
      <w:tr w:rsidR="00360825" w14:paraId="66A5EAE2" w14:textId="77777777" w:rsidTr="00C04569">
        <w:trPr>
          <w:trHeight w:val="288"/>
        </w:trPr>
        <w:tc>
          <w:tcPr>
            <w:tcW w:w="2830" w:type="dxa"/>
            <w:vMerge w:val="restart"/>
            <w:tcBorders>
              <w:top w:val="single" w:sz="4" w:space="0" w:color="auto"/>
              <w:left w:val="single" w:sz="4" w:space="0" w:color="auto"/>
              <w:bottom w:val="single" w:sz="4" w:space="0" w:color="auto"/>
              <w:right w:val="single" w:sz="4" w:space="0" w:color="auto"/>
            </w:tcBorders>
            <w:hideMark/>
          </w:tcPr>
          <w:p w14:paraId="2E5E1800" w14:textId="77777777" w:rsidR="00360825" w:rsidRDefault="00360825" w:rsidP="00C04569">
            <w:pPr>
              <w:pStyle w:val="TableBodytext"/>
              <w:keepNext/>
              <w:spacing w:before="0" w:after="0" w:line="300" w:lineRule="auto"/>
              <w:rPr>
                <w:sz w:val="20"/>
                <w:szCs w:val="20"/>
              </w:rPr>
            </w:pPr>
            <w:r>
              <w:rPr>
                <w:color w:val="000000"/>
                <w:sz w:val="20"/>
                <w:szCs w:val="20"/>
              </w:rPr>
              <w:t>Autistic Spectrum Disorders</w:t>
            </w:r>
          </w:p>
        </w:tc>
        <w:tc>
          <w:tcPr>
            <w:tcW w:w="1189" w:type="dxa"/>
            <w:tcBorders>
              <w:top w:val="single" w:sz="4" w:space="0" w:color="auto"/>
              <w:left w:val="single" w:sz="4" w:space="0" w:color="auto"/>
              <w:bottom w:val="single" w:sz="4" w:space="0" w:color="auto"/>
              <w:right w:val="single" w:sz="4" w:space="0" w:color="auto"/>
            </w:tcBorders>
            <w:hideMark/>
          </w:tcPr>
          <w:p w14:paraId="6ACB8493" w14:textId="77777777" w:rsidR="00360825" w:rsidRDefault="00360825" w:rsidP="00C04569">
            <w:pPr>
              <w:pStyle w:val="TableBodytext"/>
              <w:keepNext/>
              <w:spacing w:before="0" w:after="0" w:line="300" w:lineRule="auto"/>
              <w:rPr>
                <w:color w:val="000000"/>
                <w:sz w:val="20"/>
                <w:szCs w:val="20"/>
              </w:rPr>
            </w:pPr>
            <w:r>
              <w:rPr>
                <w:color w:val="000000"/>
                <w:sz w:val="20"/>
                <w:szCs w:val="20"/>
              </w:rPr>
              <w:t>18-64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1CA9EDAC"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486</w:t>
            </w:r>
          </w:p>
        </w:tc>
        <w:tc>
          <w:tcPr>
            <w:tcW w:w="1190" w:type="dxa"/>
            <w:tcBorders>
              <w:top w:val="single" w:sz="4" w:space="0" w:color="auto"/>
              <w:left w:val="single" w:sz="4" w:space="0" w:color="auto"/>
              <w:bottom w:val="single" w:sz="4" w:space="0" w:color="auto"/>
              <w:right w:val="single" w:sz="4" w:space="0" w:color="auto"/>
            </w:tcBorders>
            <w:vAlign w:val="center"/>
            <w:hideMark/>
          </w:tcPr>
          <w:p w14:paraId="3E0F931C"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517</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68B78C7"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31</w:t>
            </w:r>
          </w:p>
        </w:tc>
        <w:tc>
          <w:tcPr>
            <w:tcW w:w="1190" w:type="dxa"/>
            <w:tcBorders>
              <w:top w:val="single" w:sz="4" w:space="0" w:color="auto"/>
              <w:left w:val="single" w:sz="4" w:space="0" w:color="auto"/>
              <w:bottom w:val="single" w:sz="4" w:space="0" w:color="auto"/>
              <w:right w:val="single" w:sz="4" w:space="0" w:color="auto"/>
            </w:tcBorders>
            <w:vAlign w:val="center"/>
            <w:hideMark/>
          </w:tcPr>
          <w:p w14:paraId="5FA561CD"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6.4%</w:t>
            </w:r>
          </w:p>
        </w:tc>
      </w:tr>
      <w:tr w:rsidR="00360825" w14:paraId="4F0C72BF" w14:textId="77777777" w:rsidTr="00C0456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30D225" w14:textId="77777777" w:rsidR="00360825" w:rsidRDefault="00360825" w:rsidP="00C04569">
            <w:pPr>
              <w:spacing w:after="0" w:line="256" w:lineRule="auto"/>
              <w:jc w:val="left"/>
              <w:rPr>
                <w:rFonts w:ascii="Arial" w:eastAsiaTheme="minorEastAsia" w:hAnsi="Arial" w:cs="Arial"/>
                <w:color w:val="000000" w:themeColor="text1"/>
                <w:lang w:eastAsia="ja-JP"/>
              </w:rPr>
            </w:pPr>
          </w:p>
        </w:tc>
        <w:tc>
          <w:tcPr>
            <w:tcW w:w="1189" w:type="dxa"/>
            <w:tcBorders>
              <w:top w:val="single" w:sz="4" w:space="0" w:color="auto"/>
              <w:left w:val="single" w:sz="4" w:space="0" w:color="auto"/>
              <w:bottom w:val="single" w:sz="4" w:space="0" w:color="auto"/>
              <w:right w:val="single" w:sz="4" w:space="0" w:color="auto"/>
            </w:tcBorders>
            <w:hideMark/>
          </w:tcPr>
          <w:p w14:paraId="19FA9A74" w14:textId="77777777" w:rsidR="00360825" w:rsidRDefault="00360825" w:rsidP="00C04569">
            <w:pPr>
              <w:pStyle w:val="TableBodytext"/>
              <w:keepNext/>
              <w:spacing w:before="0" w:after="0" w:line="300" w:lineRule="auto"/>
              <w:rPr>
                <w:color w:val="000000"/>
                <w:sz w:val="20"/>
                <w:szCs w:val="20"/>
              </w:rPr>
            </w:pPr>
            <w:r>
              <w:rPr>
                <w:color w:val="000000"/>
                <w:sz w:val="20"/>
                <w:szCs w:val="20"/>
              </w:rPr>
              <w:t>65+</w:t>
            </w:r>
          </w:p>
        </w:tc>
        <w:tc>
          <w:tcPr>
            <w:tcW w:w="1189" w:type="dxa"/>
            <w:tcBorders>
              <w:top w:val="single" w:sz="4" w:space="0" w:color="auto"/>
              <w:left w:val="single" w:sz="4" w:space="0" w:color="auto"/>
              <w:bottom w:val="single" w:sz="4" w:space="0" w:color="auto"/>
              <w:right w:val="single" w:sz="4" w:space="0" w:color="auto"/>
            </w:tcBorders>
            <w:vAlign w:val="center"/>
            <w:hideMark/>
          </w:tcPr>
          <w:p w14:paraId="3E0412C8"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265</w:t>
            </w:r>
          </w:p>
        </w:tc>
        <w:tc>
          <w:tcPr>
            <w:tcW w:w="1190" w:type="dxa"/>
            <w:tcBorders>
              <w:top w:val="single" w:sz="4" w:space="0" w:color="auto"/>
              <w:left w:val="single" w:sz="4" w:space="0" w:color="auto"/>
              <w:bottom w:val="single" w:sz="4" w:space="0" w:color="auto"/>
              <w:right w:val="single" w:sz="4" w:space="0" w:color="auto"/>
            </w:tcBorders>
            <w:vAlign w:val="center"/>
            <w:hideMark/>
          </w:tcPr>
          <w:p w14:paraId="3D5156CD"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380</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47BCFA2"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115</w:t>
            </w:r>
          </w:p>
        </w:tc>
        <w:tc>
          <w:tcPr>
            <w:tcW w:w="1190" w:type="dxa"/>
            <w:tcBorders>
              <w:top w:val="single" w:sz="4" w:space="0" w:color="auto"/>
              <w:left w:val="single" w:sz="4" w:space="0" w:color="auto"/>
              <w:bottom w:val="single" w:sz="4" w:space="0" w:color="auto"/>
              <w:right w:val="single" w:sz="4" w:space="0" w:color="auto"/>
            </w:tcBorders>
            <w:vAlign w:val="center"/>
            <w:hideMark/>
          </w:tcPr>
          <w:p w14:paraId="4CD97FE6"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43.2%</w:t>
            </w:r>
          </w:p>
        </w:tc>
      </w:tr>
      <w:tr w:rsidR="00360825" w14:paraId="0EE712AF" w14:textId="77777777" w:rsidTr="00C04569">
        <w:trPr>
          <w:trHeight w:val="174"/>
        </w:trPr>
        <w:tc>
          <w:tcPr>
            <w:tcW w:w="2830" w:type="dxa"/>
            <w:vMerge w:val="restart"/>
            <w:tcBorders>
              <w:top w:val="single" w:sz="4" w:space="0" w:color="auto"/>
              <w:left w:val="single" w:sz="4" w:space="0" w:color="auto"/>
              <w:bottom w:val="single" w:sz="4" w:space="0" w:color="auto"/>
              <w:right w:val="single" w:sz="4" w:space="0" w:color="auto"/>
            </w:tcBorders>
            <w:hideMark/>
          </w:tcPr>
          <w:p w14:paraId="2B9ADB36" w14:textId="77777777" w:rsidR="00360825" w:rsidRDefault="00360825" w:rsidP="00C04569">
            <w:pPr>
              <w:pStyle w:val="TableBodytext"/>
              <w:keepNext/>
              <w:spacing w:before="0" w:after="0" w:line="300" w:lineRule="auto"/>
              <w:rPr>
                <w:sz w:val="20"/>
                <w:szCs w:val="20"/>
              </w:rPr>
            </w:pPr>
            <w:r>
              <w:rPr>
                <w:sz w:val="20"/>
                <w:szCs w:val="20"/>
              </w:rPr>
              <w:t>Learning Disabilities</w:t>
            </w:r>
          </w:p>
        </w:tc>
        <w:tc>
          <w:tcPr>
            <w:tcW w:w="1189" w:type="dxa"/>
            <w:tcBorders>
              <w:top w:val="single" w:sz="4" w:space="0" w:color="auto"/>
              <w:left w:val="single" w:sz="4" w:space="0" w:color="auto"/>
              <w:bottom w:val="single" w:sz="4" w:space="0" w:color="auto"/>
              <w:right w:val="single" w:sz="4" w:space="0" w:color="auto"/>
            </w:tcBorders>
            <w:hideMark/>
          </w:tcPr>
          <w:p w14:paraId="6ED86794" w14:textId="77777777" w:rsidR="00360825" w:rsidRDefault="00360825" w:rsidP="00C04569">
            <w:pPr>
              <w:pStyle w:val="TableBodytext"/>
              <w:keepNext/>
              <w:spacing w:before="0" w:after="0" w:line="300" w:lineRule="auto"/>
              <w:rPr>
                <w:sz w:val="20"/>
                <w:szCs w:val="20"/>
              </w:rPr>
            </w:pPr>
            <w:r>
              <w:rPr>
                <w:sz w:val="20"/>
                <w:szCs w:val="20"/>
              </w:rPr>
              <w:t>15-64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F0A851C" w14:textId="77777777" w:rsidR="00360825" w:rsidRDefault="00360825" w:rsidP="00C04569">
            <w:pPr>
              <w:pStyle w:val="TableBodytext"/>
              <w:keepNext/>
              <w:spacing w:before="0" w:after="0" w:line="300" w:lineRule="auto"/>
              <w:jc w:val="center"/>
              <w:rPr>
                <w:sz w:val="20"/>
                <w:szCs w:val="20"/>
              </w:rPr>
            </w:pPr>
            <w:r>
              <w:rPr>
                <w:color w:val="000000"/>
                <w:sz w:val="20"/>
                <w:szCs w:val="20"/>
              </w:rPr>
              <w:t>1,279</w:t>
            </w:r>
          </w:p>
        </w:tc>
        <w:tc>
          <w:tcPr>
            <w:tcW w:w="1190" w:type="dxa"/>
            <w:tcBorders>
              <w:top w:val="single" w:sz="4" w:space="0" w:color="auto"/>
              <w:left w:val="single" w:sz="4" w:space="0" w:color="auto"/>
              <w:bottom w:val="single" w:sz="4" w:space="0" w:color="auto"/>
              <w:right w:val="single" w:sz="4" w:space="0" w:color="auto"/>
            </w:tcBorders>
            <w:vAlign w:val="center"/>
            <w:hideMark/>
          </w:tcPr>
          <w:p w14:paraId="51A17630" w14:textId="77777777" w:rsidR="00360825" w:rsidRDefault="00360825" w:rsidP="00C04569">
            <w:pPr>
              <w:pStyle w:val="TableBodytext"/>
              <w:keepNext/>
              <w:spacing w:before="0" w:after="0" w:line="300" w:lineRule="auto"/>
              <w:jc w:val="center"/>
              <w:rPr>
                <w:sz w:val="20"/>
                <w:szCs w:val="20"/>
              </w:rPr>
            </w:pPr>
            <w:r>
              <w:rPr>
                <w:color w:val="000000"/>
                <w:sz w:val="20"/>
                <w:szCs w:val="20"/>
              </w:rPr>
              <w:t>1,357</w:t>
            </w:r>
          </w:p>
        </w:tc>
        <w:tc>
          <w:tcPr>
            <w:tcW w:w="1189" w:type="dxa"/>
            <w:tcBorders>
              <w:top w:val="single" w:sz="4" w:space="0" w:color="auto"/>
              <w:left w:val="single" w:sz="4" w:space="0" w:color="auto"/>
              <w:bottom w:val="single" w:sz="4" w:space="0" w:color="auto"/>
              <w:right w:val="single" w:sz="4" w:space="0" w:color="auto"/>
            </w:tcBorders>
            <w:vAlign w:val="center"/>
            <w:hideMark/>
          </w:tcPr>
          <w:p w14:paraId="3A3FE262" w14:textId="77777777" w:rsidR="00360825" w:rsidRDefault="00360825" w:rsidP="00C04569">
            <w:pPr>
              <w:pStyle w:val="TableBodytext"/>
              <w:keepNext/>
              <w:spacing w:before="0" w:after="0" w:line="300" w:lineRule="auto"/>
              <w:jc w:val="center"/>
              <w:rPr>
                <w:sz w:val="20"/>
                <w:szCs w:val="20"/>
              </w:rPr>
            </w:pPr>
            <w:r>
              <w:rPr>
                <w:color w:val="000000"/>
                <w:sz w:val="20"/>
                <w:szCs w:val="20"/>
              </w:rPr>
              <w:t>79</w:t>
            </w:r>
          </w:p>
        </w:tc>
        <w:tc>
          <w:tcPr>
            <w:tcW w:w="1190" w:type="dxa"/>
            <w:tcBorders>
              <w:top w:val="single" w:sz="4" w:space="0" w:color="auto"/>
              <w:left w:val="single" w:sz="4" w:space="0" w:color="auto"/>
              <w:bottom w:val="single" w:sz="4" w:space="0" w:color="auto"/>
              <w:right w:val="single" w:sz="4" w:space="0" w:color="auto"/>
            </w:tcBorders>
            <w:vAlign w:val="center"/>
            <w:hideMark/>
          </w:tcPr>
          <w:p w14:paraId="3FDCA65D" w14:textId="77777777" w:rsidR="00360825" w:rsidRDefault="00360825" w:rsidP="00C04569">
            <w:pPr>
              <w:pStyle w:val="TableBodytext"/>
              <w:keepNext/>
              <w:spacing w:before="0" w:after="0" w:line="300" w:lineRule="auto"/>
              <w:jc w:val="center"/>
              <w:rPr>
                <w:sz w:val="20"/>
                <w:szCs w:val="20"/>
              </w:rPr>
            </w:pPr>
            <w:r>
              <w:rPr>
                <w:color w:val="000000"/>
                <w:sz w:val="20"/>
                <w:szCs w:val="20"/>
              </w:rPr>
              <w:t>6.2%</w:t>
            </w:r>
          </w:p>
        </w:tc>
      </w:tr>
      <w:tr w:rsidR="00360825" w14:paraId="7FBD8902" w14:textId="77777777" w:rsidTr="00C04569">
        <w:trPr>
          <w:trHeight w:val="1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C46F55" w14:textId="77777777" w:rsidR="00360825" w:rsidRDefault="00360825" w:rsidP="00C04569">
            <w:pPr>
              <w:spacing w:after="0" w:line="256" w:lineRule="auto"/>
              <w:jc w:val="left"/>
              <w:rPr>
                <w:rFonts w:ascii="Arial" w:eastAsiaTheme="minorEastAsia" w:hAnsi="Arial" w:cs="Arial"/>
                <w:color w:val="000000" w:themeColor="text1"/>
                <w:lang w:eastAsia="ja-JP"/>
              </w:rPr>
            </w:pPr>
          </w:p>
        </w:tc>
        <w:tc>
          <w:tcPr>
            <w:tcW w:w="1189" w:type="dxa"/>
            <w:tcBorders>
              <w:top w:val="single" w:sz="4" w:space="0" w:color="auto"/>
              <w:left w:val="single" w:sz="4" w:space="0" w:color="auto"/>
              <w:bottom w:val="single" w:sz="4" w:space="0" w:color="auto"/>
              <w:right w:val="single" w:sz="4" w:space="0" w:color="auto"/>
            </w:tcBorders>
            <w:hideMark/>
          </w:tcPr>
          <w:p w14:paraId="77EFECB6" w14:textId="77777777" w:rsidR="00360825" w:rsidRDefault="00360825" w:rsidP="00C04569">
            <w:pPr>
              <w:pStyle w:val="TableBodytext"/>
              <w:keepNext/>
              <w:spacing w:before="0" w:after="0" w:line="300" w:lineRule="auto"/>
              <w:rPr>
                <w:sz w:val="20"/>
                <w:szCs w:val="20"/>
              </w:rPr>
            </w:pPr>
            <w:r>
              <w:rPr>
                <w:sz w:val="20"/>
                <w:szCs w:val="20"/>
              </w:rPr>
              <w:t>65+</w:t>
            </w:r>
          </w:p>
        </w:tc>
        <w:tc>
          <w:tcPr>
            <w:tcW w:w="1189" w:type="dxa"/>
            <w:tcBorders>
              <w:top w:val="single" w:sz="4" w:space="0" w:color="auto"/>
              <w:left w:val="single" w:sz="4" w:space="0" w:color="auto"/>
              <w:bottom w:val="single" w:sz="4" w:space="0" w:color="auto"/>
              <w:right w:val="single" w:sz="4" w:space="0" w:color="auto"/>
            </w:tcBorders>
            <w:vAlign w:val="center"/>
            <w:hideMark/>
          </w:tcPr>
          <w:p w14:paraId="4A590458" w14:textId="77777777" w:rsidR="00360825" w:rsidRDefault="00360825" w:rsidP="00C04569">
            <w:pPr>
              <w:pStyle w:val="TableBodytext"/>
              <w:keepNext/>
              <w:spacing w:before="0" w:after="0" w:line="300" w:lineRule="auto"/>
              <w:jc w:val="center"/>
              <w:rPr>
                <w:sz w:val="20"/>
                <w:szCs w:val="20"/>
              </w:rPr>
            </w:pPr>
            <w:r>
              <w:rPr>
                <w:color w:val="000000"/>
                <w:sz w:val="20"/>
                <w:szCs w:val="20"/>
              </w:rPr>
              <w:t>597</w:t>
            </w:r>
          </w:p>
        </w:tc>
        <w:tc>
          <w:tcPr>
            <w:tcW w:w="1190" w:type="dxa"/>
            <w:tcBorders>
              <w:top w:val="single" w:sz="4" w:space="0" w:color="auto"/>
              <w:left w:val="single" w:sz="4" w:space="0" w:color="auto"/>
              <w:bottom w:val="single" w:sz="4" w:space="0" w:color="auto"/>
              <w:right w:val="single" w:sz="4" w:space="0" w:color="auto"/>
            </w:tcBorders>
            <w:vAlign w:val="center"/>
            <w:hideMark/>
          </w:tcPr>
          <w:p w14:paraId="5408721E" w14:textId="77777777" w:rsidR="00360825" w:rsidRDefault="00360825" w:rsidP="00C04569">
            <w:pPr>
              <w:pStyle w:val="TableBodytext"/>
              <w:keepNext/>
              <w:spacing w:before="0" w:after="0" w:line="300" w:lineRule="auto"/>
              <w:jc w:val="center"/>
              <w:rPr>
                <w:sz w:val="20"/>
                <w:szCs w:val="20"/>
              </w:rPr>
            </w:pPr>
            <w:r>
              <w:rPr>
                <w:color w:val="000000"/>
                <w:sz w:val="20"/>
                <w:szCs w:val="20"/>
              </w:rPr>
              <w:t>836</w:t>
            </w:r>
          </w:p>
        </w:tc>
        <w:tc>
          <w:tcPr>
            <w:tcW w:w="1189" w:type="dxa"/>
            <w:tcBorders>
              <w:top w:val="single" w:sz="4" w:space="0" w:color="auto"/>
              <w:left w:val="single" w:sz="4" w:space="0" w:color="auto"/>
              <w:bottom w:val="single" w:sz="4" w:space="0" w:color="auto"/>
              <w:right w:val="single" w:sz="4" w:space="0" w:color="auto"/>
            </w:tcBorders>
            <w:vAlign w:val="center"/>
            <w:hideMark/>
          </w:tcPr>
          <w:p w14:paraId="630ED40B" w14:textId="77777777" w:rsidR="00360825" w:rsidRDefault="00360825" w:rsidP="00C04569">
            <w:pPr>
              <w:pStyle w:val="TableBodytext"/>
              <w:keepNext/>
              <w:spacing w:before="0" w:after="0" w:line="300" w:lineRule="auto"/>
              <w:jc w:val="center"/>
              <w:rPr>
                <w:sz w:val="20"/>
                <w:szCs w:val="20"/>
              </w:rPr>
            </w:pPr>
            <w:r>
              <w:rPr>
                <w:color w:val="000000"/>
                <w:sz w:val="20"/>
                <w:szCs w:val="20"/>
              </w:rPr>
              <w:t>239</w:t>
            </w:r>
          </w:p>
        </w:tc>
        <w:tc>
          <w:tcPr>
            <w:tcW w:w="1190" w:type="dxa"/>
            <w:tcBorders>
              <w:top w:val="single" w:sz="4" w:space="0" w:color="auto"/>
              <w:left w:val="single" w:sz="4" w:space="0" w:color="auto"/>
              <w:bottom w:val="single" w:sz="4" w:space="0" w:color="auto"/>
              <w:right w:val="single" w:sz="4" w:space="0" w:color="auto"/>
            </w:tcBorders>
            <w:vAlign w:val="center"/>
            <w:hideMark/>
          </w:tcPr>
          <w:p w14:paraId="4AE9A075" w14:textId="77777777" w:rsidR="00360825" w:rsidRDefault="00360825" w:rsidP="00C04569">
            <w:pPr>
              <w:pStyle w:val="TableBodytext"/>
              <w:keepNext/>
              <w:spacing w:before="0" w:after="0" w:line="300" w:lineRule="auto"/>
              <w:jc w:val="center"/>
              <w:rPr>
                <w:sz w:val="20"/>
                <w:szCs w:val="20"/>
              </w:rPr>
            </w:pPr>
            <w:r>
              <w:rPr>
                <w:color w:val="000000"/>
                <w:sz w:val="20"/>
                <w:szCs w:val="20"/>
              </w:rPr>
              <w:t>40.0%</w:t>
            </w:r>
          </w:p>
        </w:tc>
      </w:tr>
      <w:tr w:rsidR="00360825" w14:paraId="748E67AF" w14:textId="77777777" w:rsidTr="00C04569">
        <w:tc>
          <w:tcPr>
            <w:tcW w:w="2830" w:type="dxa"/>
            <w:tcBorders>
              <w:top w:val="single" w:sz="4" w:space="0" w:color="auto"/>
              <w:left w:val="single" w:sz="4" w:space="0" w:color="auto"/>
              <w:bottom w:val="single" w:sz="4" w:space="0" w:color="auto"/>
              <w:right w:val="single" w:sz="4" w:space="0" w:color="auto"/>
            </w:tcBorders>
            <w:hideMark/>
          </w:tcPr>
          <w:p w14:paraId="253E1022" w14:textId="77777777" w:rsidR="00360825" w:rsidRDefault="00360825" w:rsidP="00C04569">
            <w:pPr>
              <w:pStyle w:val="TableBodytext"/>
              <w:keepNext/>
              <w:spacing w:before="0" w:after="0" w:line="300" w:lineRule="auto"/>
              <w:rPr>
                <w:sz w:val="20"/>
                <w:szCs w:val="20"/>
              </w:rPr>
            </w:pPr>
            <w:r>
              <w:rPr>
                <w:sz w:val="20"/>
                <w:szCs w:val="20"/>
              </w:rPr>
              <w:t>Challenging behaviour</w:t>
            </w:r>
          </w:p>
        </w:tc>
        <w:tc>
          <w:tcPr>
            <w:tcW w:w="1189" w:type="dxa"/>
            <w:tcBorders>
              <w:top w:val="single" w:sz="4" w:space="0" w:color="auto"/>
              <w:left w:val="single" w:sz="4" w:space="0" w:color="auto"/>
              <w:bottom w:val="single" w:sz="4" w:space="0" w:color="auto"/>
              <w:right w:val="single" w:sz="4" w:space="0" w:color="auto"/>
            </w:tcBorders>
            <w:hideMark/>
          </w:tcPr>
          <w:p w14:paraId="58FDAC4F" w14:textId="77777777" w:rsidR="00360825" w:rsidRDefault="00360825" w:rsidP="00C04569">
            <w:pPr>
              <w:pStyle w:val="TableBodytext"/>
              <w:keepNext/>
              <w:spacing w:before="0" w:after="0" w:line="300" w:lineRule="auto"/>
              <w:rPr>
                <w:sz w:val="20"/>
                <w:szCs w:val="20"/>
              </w:rPr>
            </w:pPr>
            <w:r>
              <w:rPr>
                <w:sz w:val="20"/>
                <w:szCs w:val="20"/>
              </w:rPr>
              <w:t>15-64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16C8493D" w14:textId="77777777" w:rsidR="00360825" w:rsidRDefault="00360825" w:rsidP="00C04569">
            <w:pPr>
              <w:pStyle w:val="TableBodytext"/>
              <w:keepNext/>
              <w:spacing w:before="0" w:after="0" w:line="300" w:lineRule="auto"/>
              <w:jc w:val="center"/>
              <w:rPr>
                <w:sz w:val="20"/>
                <w:szCs w:val="20"/>
              </w:rPr>
            </w:pPr>
            <w:r>
              <w:rPr>
                <w:color w:val="000000"/>
                <w:sz w:val="20"/>
                <w:szCs w:val="20"/>
              </w:rPr>
              <w:t>24</w:t>
            </w:r>
          </w:p>
        </w:tc>
        <w:tc>
          <w:tcPr>
            <w:tcW w:w="1190" w:type="dxa"/>
            <w:tcBorders>
              <w:top w:val="single" w:sz="4" w:space="0" w:color="auto"/>
              <w:left w:val="single" w:sz="4" w:space="0" w:color="auto"/>
              <w:bottom w:val="single" w:sz="4" w:space="0" w:color="auto"/>
              <w:right w:val="single" w:sz="4" w:space="0" w:color="auto"/>
            </w:tcBorders>
            <w:vAlign w:val="center"/>
            <w:hideMark/>
          </w:tcPr>
          <w:p w14:paraId="1CAE6A46" w14:textId="77777777" w:rsidR="00360825" w:rsidRDefault="00360825" w:rsidP="00C04569">
            <w:pPr>
              <w:pStyle w:val="TableBodytext"/>
              <w:keepNext/>
              <w:spacing w:before="0" w:after="0" w:line="300" w:lineRule="auto"/>
              <w:jc w:val="center"/>
              <w:rPr>
                <w:sz w:val="20"/>
                <w:szCs w:val="20"/>
              </w:rPr>
            </w:pPr>
            <w:r>
              <w:rPr>
                <w:color w:val="000000"/>
                <w:sz w:val="20"/>
                <w:szCs w:val="20"/>
              </w:rPr>
              <w:t>25</w:t>
            </w:r>
          </w:p>
        </w:tc>
        <w:tc>
          <w:tcPr>
            <w:tcW w:w="1189" w:type="dxa"/>
            <w:tcBorders>
              <w:top w:val="single" w:sz="4" w:space="0" w:color="auto"/>
              <w:left w:val="single" w:sz="4" w:space="0" w:color="auto"/>
              <w:bottom w:val="single" w:sz="4" w:space="0" w:color="auto"/>
              <w:right w:val="single" w:sz="4" w:space="0" w:color="auto"/>
            </w:tcBorders>
            <w:vAlign w:val="center"/>
            <w:hideMark/>
          </w:tcPr>
          <w:p w14:paraId="6A2FD359" w14:textId="77777777" w:rsidR="00360825" w:rsidRDefault="00360825" w:rsidP="00C04569">
            <w:pPr>
              <w:pStyle w:val="TableBodytext"/>
              <w:keepNext/>
              <w:spacing w:before="0" w:after="0" w:line="300" w:lineRule="auto"/>
              <w:jc w:val="center"/>
              <w:rPr>
                <w:sz w:val="20"/>
                <w:szCs w:val="20"/>
              </w:rPr>
            </w:pPr>
            <w:r>
              <w:rPr>
                <w:color w:val="000000"/>
                <w:sz w:val="20"/>
                <w:szCs w:val="20"/>
              </w:rPr>
              <w:t>1</w:t>
            </w:r>
          </w:p>
        </w:tc>
        <w:tc>
          <w:tcPr>
            <w:tcW w:w="1190" w:type="dxa"/>
            <w:tcBorders>
              <w:top w:val="single" w:sz="4" w:space="0" w:color="auto"/>
              <w:left w:val="single" w:sz="4" w:space="0" w:color="auto"/>
              <w:bottom w:val="single" w:sz="4" w:space="0" w:color="auto"/>
              <w:right w:val="single" w:sz="4" w:space="0" w:color="auto"/>
            </w:tcBorders>
            <w:vAlign w:val="center"/>
            <w:hideMark/>
          </w:tcPr>
          <w:p w14:paraId="47CBE7F4" w14:textId="77777777" w:rsidR="00360825" w:rsidRDefault="00360825" w:rsidP="00C04569">
            <w:pPr>
              <w:pStyle w:val="TableBodytext"/>
              <w:keepNext/>
              <w:spacing w:before="0" w:after="0" w:line="300" w:lineRule="auto"/>
              <w:jc w:val="center"/>
              <w:rPr>
                <w:sz w:val="20"/>
                <w:szCs w:val="20"/>
              </w:rPr>
            </w:pPr>
            <w:r>
              <w:rPr>
                <w:color w:val="000000"/>
                <w:sz w:val="20"/>
                <w:szCs w:val="20"/>
              </w:rPr>
              <w:t>5.7%</w:t>
            </w:r>
          </w:p>
        </w:tc>
      </w:tr>
      <w:tr w:rsidR="00360825" w14:paraId="4EC58CB7" w14:textId="77777777" w:rsidTr="00C04569">
        <w:tc>
          <w:tcPr>
            <w:tcW w:w="2830" w:type="dxa"/>
            <w:tcBorders>
              <w:top w:val="single" w:sz="4" w:space="0" w:color="auto"/>
              <w:left w:val="single" w:sz="4" w:space="0" w:color="auto"/>
              <w:bottom w:val="single" w:sz="4" w:space="0" w:color="auto"/>
              <w:right w:val="single" w:sz="4" w:space="0" w:color="auto"/>
            </w:tcBorders>
            <w:hideMark/>
          </w:tcPr>
          <w:p w14:paraId="162CA1EF" w14:textId="77777777" w:rsidR="00360825" w:rsidRDefault="00360825" w:rsidP="00C04569">
            <w:pPr>
              <w:pStyle w:val="TableBodytext"/>
              <w:keepNext/>
              <w:spacing w:before="0" w:after="0" w:line="300" w:lineRule="auto"/>
              <w:rPr>
                <w:sz w:val="20"/>
                <w:szCs w:val="20"/>
              </w:rPr>
            </w:pPr>
            <w:r>
              <w:rPr>
                <w:sz w:val="20"/>
                <w:szCs w:val="20"/>
              </w:rPr>
              <w:t>Impaired mobility</w:t>
            </w:r>
          </w:p>
        </w:tc>
        <w:tc>
          <w:tcPr>
            <w:tcW w:w="1189" w:type="dxa"/>
            <w:tcBorders>
              <w:top w:val="single" w:sz="4" w:space="0" w:color="auto"/>
              <w:left w:val="single" w:sz="4" w:space="0" w:color="auto"/>
              <w:bottom w:val="single" w:sz="4" w:space="0" w:color="auto"/>
              <w:right w:val="single" w:sz="4" w:space="0" w:color="auto"/>
            </w:tcBorders>
            <w:hideMark/>
          </w:tcPr>
          <w:p w14:paraId="494CFCF4" w14:textId="77777777" w:rsidR="00360825" w:rsidRDefault="00360825" w:rsidP="00C04569">
            <w:pPr>
              <w:pStyle w:val="TableBodytext"/>
              <w:keepNext/>
              <w:spacing w:before="0" w:after="0" w:line="300" w:lineRule="auto"/>
              <w:rPr>
                <w:sz w:val="20"/>
                <w:szCs w:val="20"/>
              </w:rPr>
            </w:pPr>
            <w:r>
              <w:rPr>
                <w:sz w:val="20"/>
                <w:szCs w:val="20"/>
              </w:rPr>
              <w:t>16-64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29910026" w14:textId="77777777" w:rsidR="00360825" w:rsidRDefault="00360825" w:rsidP="00C04569">
            <w:pPr>
              <w:pStyle w:val="TableBodytext"/>
              <w:keepNext/>
              <w:spacing w:before="0" w:after="0" w:line="300" w:lineRule="auto"/>
              <w:jc w:val="center"/>
              <w:rPr>
                <w:sz w:val="20"/>
                <w:szCs w:val="20"/>
              </w:rPr>
            </w:pPr>
            <w:r>
              <w:rPr>
                <w:color w:val="000000"/>
                <w:sz w:val="20"/>
                <w:szCs w:val="20"/>
              </w:rPr>
              <w:t>3,172</w:t>
            </w:r>
          </w:p>
        </w:tc>
        <w:tc>
          <w:tcPr>
            <w:tcW w:w="1190" w:type="dxa"/>
            <w:tcBorders>
              <w:top w:val="single" w:sz="4" w:space="0" w:color="auto"/>
              <w:left w:val="single" w:sz="4" w:space="0" w:color="auto"/>
              <w:bottom w:val="single" w:sz="4" w:space="0" w:color="auto"/>
              <w:right w:val="single" w:sz="4" w:space="0" w:color="auto"/>
            </w:tcBorders>
            <w:vAlign w:val="center"/>
            <w:hideMark/>
          </w:tcPr>
          <w:p w14:paraId="3ABF6DAC" w14:textId="77777777" w:rsidR="00360825" w:rsidRDefault="00360825" w:rsidP="00C04569">
            <w:pPr>
              <w:pStyle w:val="TableBodytext"/>
              <w:keepNext/>
              <w:spacing w:before="0" w:after="0" w:line="300" w:lineRule="auto"/>
              <w:jc w:val="center"/>
              <w:rPr>
                <w:sz w:val="20"/>
                <w:szCs w:val="20"/>
              </w:rPr>
            </w:pPr>
            <w:r>
              <w:rPr>
                <w:color w:val="000000"/>
                <w:sz w:val="20"/>
                <w:szCs w:val="20"/>
              </w:rPr>
              <w:t>3,129</w:t>
            </w:r>
          </w:p>
        </w:tc>
        <w:tc>
          <w:tcPr>
            <w:tcW w:w="1189" w:type="dxa"/>
            <w:tcBorders>
              <w:top w:val="single" w:sz="4" w:space="0" w:color="auto"/>
              <w:left w:val="single" w:sz="4" w:space="0" w:color="auto"/>
              <w:bottom w:val="single" w:sz="4" w:space="0" w:color="auto"/>
              <w:right w:val="single" w:sz="4" w:space="0" w:color="auto"/>
            </w:tcBorders>
            <w:vAlign w:val="center"/>
            <w:hideMark/>
          </w:tcPr>
          <w:p w14:paraId="5CDF3E58" w14:textId="77777777" w:rsidR="00360825" w:rsidRDefault="00360825" w:rsidP="00C04569">
            <w:pPr>
              <w:pStyle w:val="TableBodytext"/>
              <w:keepNext/>
              <w:spacing w:before="0" w:after="0" w:line="300" w:lineRule="auto"/>
              <w:jc w:val="center"/>
              <w:rPr>
                <w:sz w:val="20"/>
                <w:szCs w:val="20"/>
              </w:rPr>
            </w:pPr>
            <w:r>
              <w:rPr>
                <w:color w:val="000000"/>
                <w:sz w:val="20"/>
                <w:szCs w:val="20"/>
              </w:rPr>
              <w:t>-44</w:t>
            </w:r>
          </w:p>
        </w:tc>
        <w:tc>
          <w:tcPr>
            <w:tcW w:w="1190" w:type="dxa"/>
            <w:tcBorders>
              <w:top w:val="single" w:sz="4" w:space="0" w:color="auto"/>
              <w:left w:val="single" w:sz="4" w:space="0" w:color="auto"/>
              <w:bottom w:val="single" w:sz="4" w:space="0" w:color="auto"/>
              <w:right w:val="single" w:sz="4" w:space="0" w:color="auto"/>
            </w:tcBorders>
            <w:vAlign w:val="center"/>
            <w:hideMark/>
          </w:tcPr>
          <w:p w14:paraId="7B678E28" w14:textId="77777777" w:rsidR="00360825" w:rsidRDefault="00360825" w:rsidP="00C04569">
            <w:pPr>
              <w:pStyle w:val="TableBodytext"/>
              <w:keepNext/>
              <w:spacing w:before="0" w:after="0" w:line="300" w:lineRule="auto"/>
              <w:jc w:val="center"/>
              <w:rPr>
                <w:sz w:val="20"/>
                <w:szCs w:val="20"/>
              </w:rPr>
            </w:pPr>
            <w:r>
              <w:rPr>
                <w:color w:val="000000"/>
                <w:sz w:val="20"/>
                <w:szCs w:val="20"/>
              </w:rPr>
              <w:t>-1.4%</w:t>
            </w:r>
          </w:p>
        </w:tc>
      </w:tr>
    </w:tbl>
    <w:p w14:paraId="0BB42FCF" w14:textId="77777777" w:rsidR="00360825" w:rsidRDefault="00360825" w:rsidP="00360825">
      <w:pPr>
        <w:pStyle w:val="BodyText"/>
        <w:numPr>
          <w:ilvl w:val="0"/>
          <w:numId w:val="0"/>
        </w:numPr>
        <w:tabs>
          <w:tab w:val="left" w:pos="720"/>
        </w:tabs>
        <w:spacing w:line="300" w:lineRule="auto"/>
        <w:ind w:left="1134" w:hanging="1134"/>
        <w:rPr>
          <w:rFonts w:ascii="Arial" w:hAnsi="Arial" w:cs="Arial"/>
          <w:i/>
          <w:iCs/>
          <w:sz w:val="16"/>
          <w:szCs w:val="16"/>
        </w:rPr>
      </w:pPr>
      <w:r>
        <w:rPr>
          <w:rFonts w:ascii="Arial" w:hAnsi="Arial" w:cs="Arial"/>
          <w:i/>
          <w:iCs/>
          <w:sz w:val="16"/>
          <w:szCs w:val="16"/>
        </w:rPr>
        <w:t>Source: POPPI/PANSI and Demographic Projections</w:t>
      </w:r>
    </w:p>
    <w:p w14:paraId="5DA6E93E" w14:textId="49168563" w:rsidR="00D3291F" w:rsidRPr="00D3291F" w:rsidRDefault="00D3291F" w:rsidP="00D3291F">
      <w:pPr>
        <w:pStyle w:val="Heading5"/>
        <w:numPr>
          <w:ilvl w:val="5"/>
          <w:numId w:val="43"/>
        </w:numPr>
      </w:pPr>
      <w:bookmarkStart w:id="77" w:name="_Hlk97673753"/>
      <w:r w:rsidRPr="00D3291F">
        <w:t xml:space="preserve">Specialist Housing Need using adjusted </w:t>
      </w:r>
      <w:proofErr w:type="spellStart"/>
      <w:r w:rsidRPr="00D3291F">
        <w:t>SHOP@Review</w:t>
      </w:r>
      <w:proofErr w:type="spellEnd"/>
      <w:r w:rsidRPr="00D3291F">
        <w:t xml:space="preserve"> Assumptions, 2021-39 – Chichester (linked to 555 dpa outside SDNP)</w:t>
      </w:r>
      <w:r>
        <w:t xml:space="preserve"> – National Rates</w:t>
      </w:r>
    </w:p>
    <w:tbl>
      <w:tblPr>
        <w:tblW w:w="9645" w:type="dxa"/>
        <w:tblInd w:w="-709" w:type="dxa"/>
        <w:tblLayout w:type="fixed"/>
        <w:tblLook w:val="04A0" w:firstRow="1" w:lastRow="0" w:firstColumn="1" w:lastColumn="0" w:noHBand="0" w:noVBand="1"/>
      </w:tblPr>
      <w:tblGrid>
        <w:gridCol w:w="1843"/>
        <w:gridCol w:w="1146"/>
        <w:gridCol w:w="1109"/>
        <w:gridCol w:w="1109"/>
        <w:gridCol w:w="1110"/>
        <w:gridCol w:w="1109"/>
        <w:gridCol w:w="1109"/>
        <w:gridCol w:w="1110"/>
      </w:tblGrid>
      <w:tr w:rsidR="00D3291F" w14:paraId="25B24B90" w14:textId="77777777" w:rsidTr="00D3291F">
        <w:trPr>
          <w:trHeight w:val="264"/>
        </w:trPr>
        <w:tc>
          <w:tcPr>
            <w:tcW w:w="1843" w:type="dxa"/>
            <w:tcBorders>
              <w:top w:val="single" w:sz="4" w:space="0" w:color="auto"/>
              <w:left w:val="single" w:sz="4" w:space="0" w:color="auto"/>
              <w:bottom w:val="single" w:sz="4" w:space="0" w:color="auto"/>
              <w:right w:val="single" w:sz="4" w:space="0" w:color="auto"/>
            </w:tcBorders>
            <w:shd w:val="clear" w:color="auto" w:fill="002060"/>
            <w:noWrap/>
          </w:tcPr>
          <w:p w14:paraId="674EDF04" w14:textId="77777777" w:rsidR="00D3291F" w:rsidRDefault="00D3291F">
            <w:pPr>
              <w:keepNext/>
              <w:spacing w:after="0" w:line="300" w:lineRule="auto"/>
              <w:rPr>
                <w:rFonts w:ascii="Arial" w:hAnsi="Arial" w:cs="Arial"/>
                <w:color w:val="FFFFFF" w:themeColor="background1"/>
                <w:lang w:eastAsia="en-US"/>
              </w:rPr>
            </w:pPr>
          </w:p>
        </w:tc>
        <w:tc>
          <w:tcPr>
            <w:tcW w:w="1146" w:type="dxa"/>
            <w:tcBorders>
              <w:top w:val="single" w:sz="4" w:space="0" w:color="auto"/>
              <w:left w:val="single" w:sz="4" w:space="0" w:color="auto"/>
              <w:bottom w:val="single" w:sz="4" w:space="0" w:color="auto"/>
              <w:right w:val="single" w:sz="4" w:space="0" w:color="auto"/>
            </w:tcBorders>
            <w:shd w:val="clear" w:color="auto" w:fill="002060"/>
            <w:noWrap/>
          </w:tcPr>
          <w:p w14:paraId="57CE8115" w14:textId="77777777" w:rsidR="00D3291F" w:rsidRDefault="00D3291F">
            <w:pPr>
              <w:keepNext/>
              <w:spacing w:after="0" w:line="300" w:lineRule="auto"/>
              <w:rPr>
                <w:rFonts w:ascii="Arial" w:hAnsi="Arial" w:cs="Arial"/>
                <w:color w:val="FFFFFF" w:themeColor="background1"/>
                <w:lang w:eastAsia="en-US"/>
              </w:rPr>
            </w:pP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283ADA4C"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Housing demand per 1,000 75+</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74D55D03"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supply</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385E4044"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demand</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12D43411"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shortfall/ surplus (-</w:t>
            </w:r>
            <w:proofErr w:type="spellStart"/>
            <w:r>
              <w:rPr>
                <w:rFonts w:ascii="Arial" w:hAnsi="Arial" w:cs="Arial"/>
                <w:color w:val="FFFFFF" w:themeColor="background1"/>
                <w:lang w:eastAsia="en-US"/>
              </w:rPr>
              <w:t>ve</w:t>
            </w:r>
            <w:proofErr w:type="spellEnd"/>
            <w:r>
              <w:rPr>
                <w:rFonts w:ascii="Arial" w:hAnsi="Arial" w:cs="Arial"/>
                <w:color w:val="FFFFFF" w:themeColor="background1"/>
                <w:lang w:eastAsia="en-US"/>
              </w:rPr>
              <w:t>)</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71DE2EF7"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Addition-al demand to 2039</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73BC9BCF"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Shortfall /surplus by 2039</w:t>
            </w:r>
          </w:p>
        </w:tc>
      </w:tr>
      <w:tr w:rsidR="00D3291F" w14:paraId="660858AB" w14:textId="77777777" w:rsidTr="00D3291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4409946D"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Housing with support</w:t>
            </w:r>
          </w:p>
        </w:tc>
        <w:tc>
          <w:tcPr>
            <w:tcW w:w="1146" w:type="dxa"/>
            <w:tcBorders>
              <w:top w:val="single" w:sz="4" w:space="0" w:color="auto"/>
              <w:left w:val="single" w:sz="4" w:space="0" w:color="auto"/>
              <w:bottom w:val="single" w:sz="4" w:space="0" w:color="auto"/>
              <w:right w:val="single" w:sz="4" w:space="0" w:color="auto"/>
            </w:tcBorders>
            <w:noWrap/>
            <w:hideMark/>
          </w:tcPr>
          <w:p w14:paraId="3E8FED85"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297CB9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469B274"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864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5EFBCC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1,083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929A6F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219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DF7EE1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591</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B7581F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810</w:t>
            </w:r>
          </w:p>
        </w:tc>
      </w:tr>
      <w:tr w:rsidR="00D3291F" w14:paraId="33B9A728" w14:textId="77777777" w:rsidTr="00D3291F">
        <w:trPr>
          <w:trHeight w:val="264"/>
        </w:trPr>
        <w:tc>
          <w:tcPr>
            <w:tcW w:w="2989" w:type="dxa"/>
            <w:vMerge/>
            <w:tcBorders>
              <w:top w:val="single" w:sz="4" w:space="0" w:color="auto"/>
              <w:left w:val="single" w:sz="4" w:space="0" w:color="auto"/>
              <w:bottom w:val="single" w:sz="4" w:space="0" w:color="auto"/>
              <w:right w:val="single" w:sz="4" w:space="0" w:color="auto"/>
            </w:tcBorders>
            <w:vAlign w:val="center"/>
            <w:hideMark/>
          </w:tcPr>
          <w:p w14:paraId="693E73E8" w14:textId="77777777" w:rsidR="00D3291F" w:rsidRDefault="00D3291F">
            <w:pPr>
              <w:spacing w:after="0" w:line="256" w:lineRule="auto"/>
              <w:jc w:val="left"/>
              <w:rPr>
                <w:rFonts w:ascii="Arial" w:hAnsi="Arial" w:cs="Arial"/>
                <w:color w:val="000000"/>
                <w:lang w:eastAsia="en-US"/>
              </w:rPr>
            </w:pPr>
          </w:p>
        </w:tc>
        <w:tc>
          <w:tcPr>
            <w:tcW w:w="1146" w:type="dxa"/>
            <w:tcBorders>
              <w:top w:val="single" w:sz="4" w:space="0" w:color="auto"/>
              <w:left w:val="single" w:sz="4" w:space="0" w:color="auto"/>
              <w:bottom w:val="single" w:sz="4" w:space="0" w:color="auto"/>
              <w:right w:val="single" w:sz="4" w:space="0" w:color="auto"/>
            </w:tcBorders>
            <w:noWrap/>
            <w:hideMark/>
          </w:tcPr>
          <w:p w14:paraId="1BF178AE"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9AF662F"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8EFCAAC"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758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23F322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1,069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D72E963"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311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C706D27"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30186A7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895</w:t>
            </w:r>
          </w:p>
        </w:tc>
      </w:tr>
      <w:tr w:rsidR="00D3291F" w14:paraId="3878C508"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744E8564"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Total (housing with support)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36041B2"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125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EC50097"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1,622</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6B459C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2,151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FE5E91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529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22CB6A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1,175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867281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1,705</w:t>
            </w:r>
          </w:p>
        </w:tc>
      </w:tr>
      <w:tr w:rsidR="00D3291F" w14:paraId="5969477C" w14:textId="77777777" w:rsidTr="00D3291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0C2B87DF"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Housing with care</w:t>
            </w:r>
          </w:p>
        </w:tc>
        <w:tc>
          <w:tcPr>
            <w:tcW w:w="1146" w:type="dxa"/>
            <w:tcBorders>
              <w:top w:val="single" w:sz="4" w:space="0" w:color="auto"/>
              <w:left w:val="single" w:sz="4" w:space="0" w:color="auto"/>
              <w:bottom w:val="single" w:sz="4" w:space="0" w:color="auto"/>
              <w:right w:val="single" w:sz="4" w:space="0" w:color="auto"/>
            </w:tcBorders>
            <w:noWrap/>
            <w:hideMark/>
          </w:tcPr>
          <w:p w14:paraId="7D081FD1"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BB9A2C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BA60D32"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C5528C2"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520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A095C0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520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41CC30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E71A8E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804</w:t>
            </w:r>
          </w:p>
        </w:tc>
      </w:tr>
      <w:tr w:rsidR="00D3291F" w14:paraId="49860D5E" w14:textId="77777777" w:rsidTr="00D3291F">
        <w:trPr>
          <w:trHeight w:val="264"/>
        </w:trPr>
        <w:tc>
          <w:tcPr>
            <w:tcW w:w="2989" w:type="dxa"/>
            <w:vMerge/>
            <w:tcBorders>
              <w:top w:val="single" w:sz="4" w:space="0" w:color="auto"/>
              <w:left w:val="single" w:sz="4" w:space="0" w:color="auto"/>
              <w:bottom w:val="single" w:sz="4" w:space="0" w:color="auto"/>
              <w:right w:val="single" w:sz="4" w:space="0" w:color="auto"/>
            </w:tcBorders>
            <w:vAlign w:val="center"/>
            <w:hideMark/>
          </w:tcPr>
          <w:p w14:paraId="36E84846" w14:textId="77777777" w:rsidR="00D3291F" w:rsidRDefault="00D3291F">
            <w:pPr>
              <w:spacing w:after="0" w:line="256" w:lineRule="auto"/>
              <w:jc w:val="left"/>
              <w:rPr>
                <w:rFonts w:ascii="Arial" w:hAnsi="Arial" w:cs="Arial"/>
                <w:color w:val="000000"/>
                <w:lang w:eastAsia="en-US"/>
              </w:rPr>
            </w:pPr>
          </w:p>
        </w:tc>
        <w:tc>
          <w:tcPr>
            <w:tcW w:w="1146" w:type="dxa"/>
            <w:tcBorders>
              <w:top w:val="single" w:sz="4" w:space="0" w:color="auto"/>
              <w:left w:val="single" w:sz="4" w:space="0" w:color="auto"/>
              <w:bottom w:val="single" w:sz="4" w:space="0" w:color="auto"/>
              <w:right w:val="single" w:sz="4" w:space="0" w:color="auto"/>
            </w:tcBorders>
            <w:noWrap/>
            <w:hideMark/>
          </w:tcPr>
          <w:p w14:paraId="0829724F"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913021D"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944DBF7"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1B76CD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254</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4D86E33"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180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E083D1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139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D1BAB4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319</w:t>
            </w:r>
          </w:p>
        </w:tc>
      </w:tr>
      <w:tr w:rsidR="00D3291F" w14:paraId="5FA5F922"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36BBBBCC"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Total (housing with care)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B20431F"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FBBD712"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436D36F"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65A39F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701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E6DAC9D"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423</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083E99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1,124</w:t>
            </w:r>
          </w:p>
        </w:tc>
      </w:tr>
      <w:tr w:rsidR="00D3291F" w14:paraId="36FFB44D"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7D538A08"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Residential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8E343C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1ACE2B9"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840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30827F1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688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953665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-152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F88B852"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376</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B13F08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225</w:t>
            </w:r>
          </w:p>
        </w:tc>
      </w:tr>
      <w:tr w:rsidR="00D3291F" w14:paraId="2929DDB1"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0AB4C378"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Nursing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3BB8FB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D860187"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644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8F576E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BDF541B"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131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1AA8812"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423</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632E28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554</w:t>
            </w:r>
          </w:p>
        </w:tc>
      </w:tr>
      <w:tr w:rsidR="00D3291F" w14:paraId="484CFE43"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462A980E"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Total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B18393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85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B589F12"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1,484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31DB3B2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1,463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278F0D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4BBCE8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799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3EFF9C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778</w:t>
            </w:r>
          </w:p>
        </w:tc>
      </w:tr>
    </w:tbl>
    <w:p w14:paraId="4CC31D11" w14:textId="77777777" w:rsidR="00D3291F" w:rsidRDefault="00D3291F" w:rsidP="00D3291F">
      <w:pPr>
        <w:pStyle w:val="BodyText"/>
        <w:numPr>
          <w:ilvl w:val="0"/>
          <w:numId w:val="0"/>
        </w:numPr>
        <w:tabs>
          <w:tab w:val="left" w:pos="720"/>
        </w:tabs>
        <w:spacing w:line="300" w:lineRule="auto"/>
        <w:rPr>
          <w:rFonts w:ascii="Arial" w:hAnsi="Arial" w:cs="Arial"/>
          <w:i/>
          <w:iCs/>
          <w:sz w:val="16"/>
          <w:szCs w:val="16"/>
        </w:rPr>
      </w:pPr>
      <w:r>
        <w:rPr>
          <w:rFonts w:ascii="Arial" w:hAnsi="Arial" w:cs="Arial"/>
          <w:i/>
          <w:iCs/>
          <w:sz w:val="16"/>
          <w:szCs w:val="16"/>
        </w:rPr>
        <w:t>Source: Derived from Demographic Projections and Housing LIN/EAC</w:t>
      </w:r>
    </w:p>
    <w:p w14:paraId="1DCE5C3F" w14:textId="77777777" w:rsidR="00D3291F" w:rsidRDefault="00D3291F">
      <w:pPr>
        <w:spacing w:after="0" w:line="240" w:lineRule="auto"/>
        <w:jc w:val="left"/>
        <w:rPr>
          <w:rFonts w:asciiTheme="majorHAnsi" w:eastAsiaTheme="majorEastAsia" w:hAnsiTheme="majorHAnsi" w:cstheme="majorBidi"/>
          <w:b/>
          <w:color w:val="646464" w:themeColor="background2"/>
        </w:rPr>
      </w:pPr>
      <w:r>
        <w:br w:type="page"/>
      </w:r>
    </w:p>
    <w:p w14:paraId="743EEF03" w14:textId="5AFC3DAE" w:rsidR="00D3291F" w:rsidRPr="00D3291F" w:rsidRDefault="00D3291F" w:rsidP="00D3291F">
      <w:pPr>
        <w:pStyle w:val="Heading5"/>
        <w:numPr>
          <w:ilvl w:val="5"/>
          <w:numId w:val="43"/>
        </w:numPr>
      </w:pPr>
      <w:r w:rsidRPr="00D3291F">
        <w:lastRenderedPageBreak/>
        <w:t xml:space="preserve">Specialist Housing Need using adjusted </w:t>
      </w:r>
      <w:proofErr w:type="spellStart"/>
      <w:r w:rsidRPr="00D3291F">
        <w:t>SHOP@Review</w:t>
      </w:r>
      <w:proofErr w:type="spellEnd"/>
      <w:r w:rsidRPr="00D3291F">
        <w:t xml:space="preserve"> Assumptions, 2021-39 – Chichester (linked to 555 dpa outside SDNP) and with a </w:t>
      </w:r>
      <w:r>
        <w:t xml:space="preserve">local </w:t>
      </w:r>
      <w:r w:rsidRPr="00D3291F">
        <w:t>health adjustment</w:t>
      </w:r>
    </w:p>
    <w:tbl>
      <w:tblPr>
        <w:tblW w:w="9645" w:type="dxa"/>
        <w:tblInd w:w="-709" w:type="dxa"/>
        <w:tblLayout w:type="fixed"/>
        <w:tblLook w:val="04A0" w:firstRow="1" w:lastRow="0" w:firstColumn="1" w:lastColumn="0" w:noHBand="0" w:noVBand="1"/>
      </w:tblPr>
      <w:tblGrid>
        <w:gridCol w:w="1843"/>
        <w:gridCol w:w="1146"/>
        <w:gridCol w:w="1109"/>
        <w:gridCol w:w="1109"/>
        <w:gridCol w:w="1110"/>
        <w:gridCol w:w="1109"/>
        <w:gridCol w:w="1109"/>
        <w:gridCol w:w="1110"/>
      </w:tblGrid>
      <w:tr w:rsidR="00D3291F" w14:paraId="6BCE30AC" w14:textId="77777777" w:rsidTr="00D3291F">
        <w:trPr>
          <w:trHeight w:val="264"/>
        </w:trPr>
        <w:tc>
          <w:tcPr>
            <w:tcW w:w="1843" w:type="dxa"/>
            <w:tcBorders>
              <w:top w:val="single" w:sz="4" w:space="0" w:color="auto"/>
              <w:left w:val="single" w:sz="4" w:space="0" w:color="auto"/>
              <w:bottom w:val="single" w:sz="4" w:space="0" w:color="auto"/>
              <w:right w:val="single" w:sz="4" w:space="0" w:color="auto"/>
            </w:tcBorders>
            <w:shd w:val="clear" w:color="auto" w:fill="002060"/>
            <w:noWrap/>
          </w:tcPr>
          <w:p w14:paraId="2D643E20" w14:textId="77777777" w:rsidR="00D3291F" w:rsidRDefault="00D3291F">
            <w:pPr>
              <w:keepNext/>
              <w:spacing w:after="0" w:line="300" w:lineRule="auto"/>
              <w:rPr>
                <w:rFonts w:ascii="Arial" w:hAnsi="Arial" w:cs="Arial"/>
                <w:color w:val="FFFFFF" w:themeColor="background1"/>
                <w:lang w:eastAsia="en-US"/>
              </w:rPr>
            </w:pPr>
          </w:p>
        </w:tc>
        <w:tc>
          <w:tcPr>
            <w:tcW w:w="1146" w:type="dxa"/>
            <w:tcBorders>
              <w:top w:val="single" w:sz="4" w:space="0" w:color="auto"/>
              <w:left w:val="single" w:sz="4" w:space="0" w:color="auto"/>
              <w:bottom w:val="single" w:sz="4" w:space="0" w:color="auto"/>
              <w:right w:val="single" w:sz="4" w:space="0" w:color="auto"/>
            </w:tcBorders>
            <w:shd w:val="clear" w:color="auto" w:fill="002060"/>
            <w:noWrap/>
          </w:tcPr>
          <w:p w14:paraId="79B02B29" w14:textId="77777777" w:rsidR="00D3291F" w:rsidRDefault="00D3291F">
            <w:pPr>
              <w:keepNext/>
              <w:spacing w:after="0" w:line="300" w:lineRule="auto"/>
              <w:rPr>
                <w:rFonts w:ascii="Arial" w:hAnsi="Arial" w:cs="Arial"/>
                <w:color w:val="FFFFFF" w:themeColor="background1"/>
                <w:lang w:eastAsia="en-US"/>
              </w:rPr>
            </w:pP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7674C66B"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Housing demand per 1,000 75+</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78ECE0E4"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supply</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327C8BEE"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demand</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6F110219"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shortfall/ surplus (-</w:t>
            </w:r>
            <w:proofErr w:type="spellStart"/>
            <w:r>
              <w:rPr>
                <w:rFonts w:ascii="Arial" w:hAnsi="Arial" w:cs="Arial"/>
                <w:color w:val="FFFFFF" w:themeColor="background1"/>
                <w:lang w:eastAsia="en-US"/>
              </w:rPr>
              <w:t>ve</w:t>
            </w:r>
            <w:proofErr w:type="spellEnd"/>
            <w:r>
              <w:rPr>
                <w:rFonts w:ascii="Arial" w:hAnsi="Arial" w:cs="Arial"/>
                <w:color w:val="FFFFFF" w:themeColor="background1"/>
                <w:lang w:eastAsia="en-US"/>
              </w:rPr>
              <w:t>)</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7A8A74B6"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Addition-al demand to 2039</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2CAC5F3B"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Shortfall /surplus by 2039</w:t>
            </w:r>
          </w:p>
        </w:tc>
      </w:tr>
      <w:tr w:rsidR="00D3291F" w14:paraId="27426DE2" w14:textId="77777777" w:rsidTr="00D3291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602E394F"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Housing with support</w:t>
            </w:r>
          </w:p>
        </w:tc>
        <w:tc>
          <w:tcPr>
            <w:tcW w:w="1146" w:type="dxa"/>
            <w:tcBorders>
              <w:top w:val="single" w:sz="4" w:space="0" w:color="auto"/>
              <w:left w:val="single" w:sz="4" w:space="0" w:color="auto"/>
              <w:bottom w:val="single" w:sz="4" w:space="0" w:color="auto"/>
              <w:right w:val="single" w:sz="4" w:space="0" w:color="auto"/>
            </w:tcBorders>
            <w:noWrap/>
            <w:hideMark/>
          </w:tcPr>
          <w:p w14:paraId="68596B3B"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973A6F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4D997EA"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864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AA5D6B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907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72AAA6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AD82AA7"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495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1E91E7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538</w:t>
            </w:r>
          </w:p>
        </w:tc>
      </w:tr>
      <w:tr w:rsidR="00D3291F" w14:paraId="5761F1B2" w14:textId="77777777" w:rsidTr="00D3291F">
        <w:trPr>
          <w:trHeight w:val="264"/>
        </w:trPr>
        <w:tc>
          <w:tcPr>
            <w:tcW w:w="2989" w:type="dxa"/>
            <w:vMerge/>
            <w:tcBorders>
              <w:top w:val="single" w:sz="4" w:space="0" w:color="auto"/>
              <w:left w:val="single" w:sz="4" w:space="0" w:color="auto"/>
              <w:bottom w:val="single" w:sz="4" w:space="0" w:color="auto"/>
              <w:right w:val="single" w:sz="4" w:space="0" w:color="auto"/>
            </w:tcBorders>
            <w:vAlign w:val="center"/>
            <w:hideMark/>
          </w:tcPr>
          <w:p w14:paraId="3A7E48D9" w14:textId="77777777" w:rsidR="00D3291F" w:rsidRDefault="00D3291F">
            <w:pPr>
              <w:spacing w:after="0" w:line="256" w:lineRule="auto"/>
              <w:jc w:val="left"/>
              <w:rPr>
                <w:rFonts w:ascii="Arial" w:hAnsi="Arial" w:cs="Arial"/>
                <w:color w:val="000000"/>
                <w:lang w:eastAsia="en-US"/>
              </w:rPr>
            </w:pPr>
          </w:p>
        </w:tc>
        <w:tc>
          <w:tcPr>
            <w:tcW w:w="1146" w:type="dxa"/>
            <w:tcBorders>
              <w:top w:val="single" w:sz="4" w:space="0" w:color="auto"/>
              <w:left w:val="single" w:sz="4" w:space="0" w:color="auto"/>
              <w:bottom w:val="single" w:sz="4" w:space="0" w:color="auto"/>
              <w:right w:val="single" w:sz="4" w:space="0" w:color="auto"/>
            </w:tcBorders>
            <w:noWrap/>
            <w:hideMark/>
          </w:tcPr>
          <w:p w14:paraId="19BD8D31"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7DE5AE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8524269"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758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6CA7E9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895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167A63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137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060AF1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489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82A3C8F"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626</w:t>
            </w:r>
          </w:p>
        </w:tc>
      </w:tr>
      <w:tr w:rsidR="00D3291F" w14:paraId="1BCFA258"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638218E5"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Total (housing with support)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102043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105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568E24A"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1,622</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3BDF3B7"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1,802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93BB495"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180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28B90C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984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F3DAAD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1,165</w:t>
            </w:r>
          </w:p>
        </w:tc>
      </w:tr>
      <w:tr w:rsidR="00D3291F" w14:paraId="60F97EDC" w14:textId="77777777" w:rsidTr="00D3291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0793D234"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Housing with care</w:t>
            </w:r>
          </w:p>
        </w:tc>
        <w:tc>
          <w:tcPr>
            <w:tcW w:w="1146" w:type="dxa"/>
            <w:tcBorders>
              <w:top w:val="single" w:sz="4" w:space="0" w:color="auto"/>
              <w:left w:val="single" w:sz="4" w:space="0" w:color="auto"/>
              <w:bottom w:val="single" w:sz="4" w:space="0" w:color="auto"/>
              <w:right w:val="single" w:sz="4" w:space="0" w:color="auto"/>
            </w:tcBorders>
            <w:noWrap/>
            <w:hideMark/>
          </w:tcPr>
          <w:p w14:paraId="4CF3CC43"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FF0091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699C6FD"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473DFF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436</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C6474A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436</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4DB1329"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238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37B019B"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674</w:t>
            </w:r>
          </w:p>
        </w:tc>
      </w:tr>
      <w:tr w:rsidR="00D3291F" w14:paraId="2E9DD64B" w14:textId="77777777" w:rsidTr="00D3291F">
        <w:trPr>
          <w:trHeight w:val="264"/>
        </w:trPr>
        <w:tc>
          <w:tcPr>
            <w:tcW w:w="2989" w:type="dxa"/>
            <w:vMerge/>
            <w:tcBorders>
              <w:top w:val="single" w:sz="4" w:space="0" w:color="auto"/>
              <w:left w:val="single" w:sz="4" w:space="0" w:color="auto"/>
              <w:bottom w:val="single" w:sz="4" w:space="0" w:color="auto"/>
              <w:right w:val="single" w:sz="4" w:space="0" w:color="auto"/>
            </w:tcBorders>
            <w:vAlign w:val="center"/>
            <w:hideMark/>
          </w:tcPr>
          <w:p w14:paraId="5E8498CF" w14:textId="77777777" w:rsidR="00D3291F" w:rsidRDefault="00D3291F">
            <w:pPr>
              <w:spacing w:after="0" w:line="256" w:lineRule="auto"/>
              <w:jc w:val="left"/>
              <w:rPr>
                <w:rFonts w:ascii="Arial" w:hAnsi="Arial" w:cs="Arial"/>
                <w:color w:val="000000"/>
                <w:lang w:eastAsia="en-US"/>
              </w:rPr>
            </w:pPr>
          </w:p>
        </w:tc>
        <w:tc>
          <w:tcPr>
            <w:tcW w:w="1146" w:type="dxa"/>
            <w:tcBorders>
              <w:top w:val="single" w:sz="4" w:space="0" w:color="auto"/>
              <w:left w:val="single" w:sz="4" w:space="0" w:color="auto"/>
              <w:bottom w:val="single" w:sz="4" w:space="0" w:color="auto"/>
              <w:right w:val="single" w:sz="4" w:space="0" w:color="auto"/>
            </w:tcBorders>
            <w:noWrap/>
            <w:hideMark/>
          </w:tcPr>
          <w:p w14:paraId="1FE723B4"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151767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D39ED40"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24F711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213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CB15CB9"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139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B3F089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116</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C39C09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256</w:t>
            </w:r>
          </w:p>
        </w:tc>
      </w:tr>
      <w:tr w:rsidR="00D3291F" w14:paraId="7919482F"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7832BDA1"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Total (housing with care)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DA1C72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261A172"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67B657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649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6EF370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21FE4DB"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354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C9B9E6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929</w:t>
            </w:r>
          </w:p>
        </w:tc>
      </w:tr>
      <w:tr w:rsidR="00D3291F" w14:paraId="0E1B8676"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59F320B1"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Residential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F3A1C9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34</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368859B"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840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BDA6B97"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577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55E695B"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1FC985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315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26BD6C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52</w:t>
            </w:r>
          </w:p>
        </w:tc>
      </w:tr>
      <w:tr w:rsidR="00D3291F" w14:paraId="5DE54CAB"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51021224"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Nursing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77ECE89"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6C64758"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644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FABD22F"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649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DAB3F6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DABFC4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354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9FB046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359</w:t>
            </w:r>
          </w:p>
        </w:tc>
      </w:tr>
      <w:tr w:rsidR="00D3291F" w14:paraId="6B1873D8"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40BB271E"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Total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6D8926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D7621FD"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1,484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80297D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1,225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687DE0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-259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55DCB52"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669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A4DF0B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411</w:t>
            </w:r>
          </w:p>
        </w:tc>
      </w:tr>
    </w:tbl>
    <w:p w14:paraId="24211DBB" w14:textId="77777777" w:rsidR="00D3291F" w:rsidRDefault="00D3291F" w:rsidP="00D3291F">
      <w:pPr>
        <w:pStyle w:val="BodyText"/>
        <w:numPr>
          <w:ilvl w:val="0"/>
          <w:numId w:val="0"/>
        </w:numPr>
        <w:tabs>
          <w:tab w:val="left" w:pos="720"/>
        </w:tabs>
        <w:spacing w:line="300" w:lineRule="auto"/>
        <w:rPr>
          <w:rFonts w:ascii="Arial" w:hAnsi="Arial" w:cs="Arial"/>
          <w:i/>
          <w:iCs/>
          <w:sz w:val="16"/>
          <w:szCs w:val="16"/>
        </w:rPr>
      </w:pPr>
      <w:r>
        <w:rPr>
          <w:rFonts w:ascii="Arial" w:hAnsi="Arial" w:cs="Arial"/>
          <w:i/>
          <w:iCs/>
          <w:sz w:val="16"/>
          <w:szCs w:val="16"/>
        </w:rPr>
        <w:t>Source: Derived from Demographic Projections and Housing LIN/EAC</w:t>
      </w:r>
    </w:p>
    <w:bookmarkEnd w:id="77"/>
    <w:p w14:paraId="5C116231" w14:textId="77777777" w:rsidR="00360825" w:rsidRDefault="00360825" w:rsidP="001A7584">
      <w:pPr>
        <w:pStyle w:val="Heading5"/>
        <w:numPr>
          <w:ilvl w:val="5"/>
          <w:numId w:val="43"/>
        </w:numPr>
      </w:pPr>
      <w:r>
        <w:t>Estimated number of wheelchair user households (2021-39) – Chichester District (linked to 680 dpa)</w:t>
      </w:r>
    </w:p>
    <w:tbl>
      <w:tblPr>
        <w:tblStyle w:val="TableTheme"/>
        <w:tblW w:w="5000" w:type="pct"/>
        <w:tblInd w:w="0" w:type="dxa"/>
        <w:tblLayout w:type="fixed"/>
        <w:tblLook w:val="04A0" w:firstRow="1" w:lastRow="0" w:firstColumn="1" w:lastColumn="0" w:noHBand="0" w:noVBand="1"/>
      </w:tblPr>
      <w:tblGrid>
        <w:gridCol w:w="1729"/>
        <w:gridCol w:w="1434"/>
        <w:gridCol w:w="1403"/>
        <w:gridCol w:w="1404"/>
        <w:gridCol w:w="1403"/>
        <w:gridCol w:w="1404"/>
      </w:tblGrid>
      <w:tr w:rsidR="00360825" w14:paraId="06CDA03E" w14:textId="77777777" w:rsidTr="00C04569">
        <w:tc>
          <w:tcPr>
            <w:tcW w:w="1729" w:type="dxa"/>
            <w:tcBorders>
              <w:top w:val="single" w:sz="4" w:space="0" w:color="auto"/>
              <w:left w:val="single" w:sz="4" w:space="0" w:color="auto"/>
              <w:bottom w:val="single" w:sz="4" w:space="0" w:color="auto"/>
              <w:right w:val="single" w:sz="4" w:space="0" w:color="auto"/>
            </w:tcBorders>
            <w:shd w:val="clear" w:color="auto" w:fill="002060"/>
            <w:vAlign w:val="center"/>
          </w:tcPr>
          <w:p w14:paraId="21F0E558" w14:textId="77777777" w:rsidR="00360825" w:rsidRDefault="00360825" w:rsidP="00C04569">
            <w:pPr>
              <w:keepNext/>
              <w:spacing w:after="0" w:line="300" w:lineRule="auto"/>
              <w:rPr>
                <w:rFonts w:ascii="Arial" w:hAnsi="Arial" w:cs="Arial"/>
                <w:color w:val="FFFFFF" w:themeColor="background1"/>
                <w:lang w:eastAsia="en-US"/>
              </w:rPr>
            </w:pPr>
          </w:p>
        </w:tc>
        <w:tc>
          <w:tcPr>
            <w:tcW w:w="143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19B17E4" w14:textId="77777777" w:rsidR="00360825" w:rsidRDefault="00360825" w:rsidP="00C04569">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Prevalence rate (per 1,000 population)</w:t>
            </w:r>
          </w:p>
        </w:tc>
        <w:tc>
          <w:tcPr>
            <w:tcW w:w="140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5F06524" w14:textId="77777777" w:rsidR="00360825" w:rsidRDefault="00360825" w:rsidP="00C04569">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Population 2021</w:t>
            </w:r>
          </w:p>
        </w:tc>
        <w:tc>
          <w:tcPr>
            <w:tcW w:w="140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264CB5B" w14:textId="77777777" w:rsidR="00360825" w:rsidRDefault="00360825" w:rsidP="00C04569">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Population 2039</w:t>
            </w:r>
          </w:p>
        </w:tc>
        <w:tc>
          <w:tcPr>
            <w:tcW w:w="140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FDA1B27" w14:textId="77777777" w:rsidR="00360825" w:rsidRDefault="00360825" w:rsidP="00C04569">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Wheelchair user households (2021)</w:t>
            </w:r>
          </w:p>
        </w:tc>
        <w:tc>
          <w:tcPr>
            <w:tcW w:w="140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D5090BE" w14:textId="77777777" w:rsidR="00360825" w:rsidRDefault="00360825" w:rsidP="00C04569">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Wheelchair user households (2039)</w:t>
            </w:r>
          </w:p>
        </w:tc>
      </w:tr>
      <w:tr w:rsidR="00360825" w14:paraId="6E6C1839" w14:textId="77777777" w:rsidTr="00C04569">
        <w:tc>
          <w:tcPr>
            <w:tcW w:w="1729" w:type="dxa"/>
            <w:tcBorders>
              <w:top w:val="single" w:sz="4" w:space="0" w:color="auto"/>
              <w:left w:val="single" w:sz="4" w:space="0" w:color="auto"/>
              <w:bottom w:val="single" w:sz="4" w:space="0" w:color="auto"/>
              <w:right w:val="single" w:sz="4" w:space="0" w:color="auto"/>
            </w:tcBorders>
            <w:vAlign w:val="center"/>
            <w:hideMark/>
          </w:tcPr>
          <w:p w14:paraId="19892E7C" w14:textId="77777777" w:rsidR="00360825" w:rsidRDefault="00360825" w:rsidP="00C04569">
            <w:pPr>
              <w:keepNext/>
              <w:spacing w:after="0" w:line="300" w:lineRule="auto"/>
              <w:rPr>
                <w:rFonts w:ascii="Arial" w:hAnsi="Arial" w:cs="Arial"/>
                <w:color w:val="000000"/>
                <w:lang w:eastAsia="en-US"/>
              </w:rPr>
            </w:pPr>
            <w:r>
              <w:rPr>
                <w:rFonts w:ascii="Arial" w:hAnsi="Arial" w:cs="Arial"/>
                <w:color w:val="000000"/>
                <w:lang w:eastAsia="en-US"/>
              </w:rPr>
              <w:t>under 60 years</w:t>
            </w:r>
          </w:p>
        </w:tc>
        <w:tc>
          <w:tcPr>
            <w:tcW w:w="1434" w:type="dxa"/>
            <w:tcBorders>
              <w:top w:val="single" w:sz="4" w:space="0" w:color="auto"/>
              <w:left w:val="single" w:sz="4" w:space="0" w:color="auto"/>
              <w:bottom w:val="single" w:sz="4" w:space="0" w:color="auto"/>
              <w:right w:val="single" w:sz="4" w:space="0" w:color="auto"/>
            </w:tcBorders>
            <w:noWrap/>
            <w:vAlign w:val="bottom"/>
            <w:hideMark/>
          </w:tcPr>
          <w:p w14:paraId="3EC91B38"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3</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44261AD2"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77,547</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04DFBE36"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81,563</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1690E1E1"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252</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4F363A6C"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265</w:t>
            </w:r>
          </w:p>
        </w:tc>
      </w:tr>
      <w:tr w:rsidR="00360825" w14:paraId="355597F6" w14:textId="77777777" w:rsidTr="00C04569">
        <w:tc>
          <w:tcPr>
            <w:tcW w:w="1729" w:type="dxa"/>
            <w:tcBorders>
              <w:top w:val="single" w:sz="4" w:space="0" w:color="auto"/>
              <w:left w:val="single" w:sz="4" w:space="0" w:color="auto"/>
              <w:bottom w:val="single" w:sz="4" w:space="0" w:color="auto"/>
              <w:right w:val="single" w:sz="4" w:space="0" w:color="auto"/>
            </w:tcBorders>
            <w:vAlign w:val="center"/>
            <w:hideMark/>
          </w:tcPr>
          <w:p w14:paraId="43EA3E7D" w14:textId="77777777" w:rsidR="00360825" w:rsidRDefault="00360825" w:rsidP="00C04569">
            <w:pPr>
              <w:keepNext/>
              <w:spacing w:after="0" w:line="300" w:lineRule="auto"/>
              <w:rPr>
                <w:rFonts w:ascii="Arial" w:hAnsi="Arial" w:cs="Arial"/>
                <w:color w:val="000000"/>
                <w:lang w:eastAsia="en-US"/>
              </w:rPr>
            </w:pPr>
            <w:r>
              <w:rPr>
                <w:rFonts w:ascii="Arial" w:hAnsi="Arial" w:cs="Arial"/>
                <w:color w:val="000000"/>
                <w:lang w:eastAsia="en-US"/>
              </w:rPr>
              <w:t>60 - 74 years</w:t>
            </w:r>
          </w:p>
        </w:tc>
        <w:tc>
          <w:tcPr>
            <w:tcW w:w="1434" w:type="dxa"/>
            <w:tcBorders>
              <w:top w:val="single" w:sz="4" w:space="0" w:color="auto"/>
              <w:left w:val="single" w:sz="4" w:space="0" w:color="auto"/>
              <w:bottom w:val="single" w:sz="4" w:space="0" w:color="auto"/>
              <w:right w:val="single" w:sz="4" w:space="0" w:color="auto"/>
            </w:tcBorders>
            <w:noWrap/>
            <w:vAlign w:val="bottom"/>
            <w:hideMark/>
          </w:tcPr>
          <w:p w14:paraId="0C6C1DF3"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15</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2AC5B345"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25,736</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7D7B162F"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30,447</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760F0B26"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384</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3A2B973B"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454</w:t>
            </w:r>
          </w:p>
        </w:tc>
      </w:tr>
      <w:tr w:rsidR="00360825" w14:paraId="36CBA927" w14:textId="77777777" w:rsidTr="00C04569">
        <w:tc>
          <w:tcPr>
            <w:tcW w:w="1729" w:type="dxa"/>
            <w:tcBorders>
              <w:top w:val="single" w:sz="4" w:space="0" w:color="auto"/>
              <w:left w:val="single" w:sz="4" w:space="0" w:color="auto"/>
              <w:bottom w:val="single" w:sz="4" w:space="0" w:color="auto"/>
              <w:right w:val="single" w:sz="4" w:space="0" w:color="auto"/>
            </w:tcBorders>
            <w:vAlign w:val="center"/>
            <w:hideMark/>
          </w:tcPr>
          <w:p w14:paraId="2FB396EE" w14:textId="77777777" w:rsidR="00360825" w:rsidRDefault="00360825" w:rsidP="00C04569">
            <w:pPr>
              <w:keepNext/>
              <w:spacing w:after="0" w:line="300" w:lineRule="auto"/>
              <w:rPr>
                <w:rFonts w:ascii="Arial" w:hAnsi="Arial" w:cs="Arial"/>
                <w:color w:val="000000"/>
                <w:lang w:eastAsia="en-US"/>
              </w:rPr>
            </w:pPr>
            <w:r>
              <w:rPr>
                <w:rFonts w:ascii="Arial" w:hAnsi="Arial" w:cs="Arial"/>
                <w:color w:val="000000"/>
                <w:lang w:eastAsia="en-US"/>
              </w:rPr>
              <w:t>75 - 84 years</w:t>
            </w:r>
          </w:p>
        </w:tc>
        <w:tc>
          <w:tcPr>
            <w:tcW w:w="1434" w:type="dxa"/>
            <w:tcBorders>
              <w:top w:val="single" w:sz="4" w:space="0" w:color="auto"/>
              <w:left w:val="single" w:sz="4" w:space="0" w:color="auto"/>
              <w:bottom w:val="single" w:sz="4" w:space="0" w:color="auto"/>
              <w:right w:val="single" w:sz="4" w:space="0" w:color="auto"/>
            </w:tcBorders>
            <w:noWrap/>
            <w:vAlign w:val="bottom"/>
            <w:hideMark/>
          </w:tcPr>
          <w:p w14:paraId="17B1E4C8"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44</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1EA2889A"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11,540</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5C5F3B68"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16,990</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4C76FF37"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512</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0C29B32E"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754</w:t>
            </w:r>
          </w:p>
        </w:tc>
      </w:tr>
      <w:tr w:rsidR="00360825" w14:paraId="75E8E31D" w14:textId="77777777" w:rsidTr="00C04569">
        <w:tc>
          <w:tcPr>
            <w:tcW w:w="1729" w:type="dxa"/>
            <w:tcBorders>
              <w:top w:val="single" w:sz="4" w:space="0" w:color="auto"/>
              <w:left w:val="single" w:sz="4" w:space="0" w:color="auto"/>
              <w:bottom w:val="single" w:sz="4" w:space="0" w:color="auto"/>
              <w:right w:val="single" w:sz="4" w:space="0" w:color="auto"/>
            </w:tcBorders>
            <w:vAlign w:val="center"/>
            <w:hideMark/>
          </w:tcPr>
          <w:p w14:paraId="3E2514E9" w14:textId="77777777" w:rsidR="00360825" w:rsidRDefault="00360825" w:rsidP="00C04569">
            <w:pPr>
              <w:keepNext/>
              <w:spacing w:after="0" w:line="300" w:lineRule="auto"/>
              <w:rPr>
                <w:rFonts w:ascii="Arial" w:hAnsi="Arial" w:cs="Arial"/>
                <w:color w:val="000000"/>
                <w:lang w:eastAsia="en-US"/>
              </w:rPr>
            </w:pPr>
            <w:r>
              <w:rPr>
                <w:rFonts w:ascii="Arial" w:hAnsi="Arial" w:cs="Arial"/>
                <w:color w:val="000000"/>
                <w:lang w:eastAsia="en-US"/>
              </w:rPr>
              <w:t>85 years or over</w:t>
            </w:r>
          </w:p>
        </w:tc>
        <w:tc>
          <w:tcPr>
            <w:tcW w:w="1434" w:type="dxa"/>
            <w:tcBorders>
              <w:top w:val="single" w:sz="4" w:space="0" w:color="auto"/>
              <w:left w:val="single" w:sz="4" w:space="0" w:color="auto"/>
              <w:bottom w:val="single" w:sz="4" w:space="0" w:color="auto"/>
              <w:right w:val="single" w:sz="4" w:space="0" w:color="auto"/>
            </w:tcBorders>
            <w:noWrap/>
            <w:vAlign w:val="bottom"/>
            <w:hideMark/>
          </w:tcPr>
          <w:p w14:paraId="2F9FFD05"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119</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27BA8282"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4,378</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392D78F6"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7,556</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20865700"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523</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5CC46879"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902</w:t>
            </w:r>
          </w:p>
        </w:tc>
      </w:tr>
      <w:tr w:rsidR="00360825" w14:paraId="4DF2A42A" w14:textId="77777777" w:rsidTr="00C04569">
        <w:tc>
          <w:tcPr>
            <w:tcW w:w="3163" w:type="dxa"/>
            <w:gridSpan w:val="2"/>
            <w:tcBorders>
              <w:top w:val="single" w:sz="4" w:space="0" w:color="auto"/>
              <w:left w:val="single" w:sz="4" w:space="0" w:color="auto"/>
              <w:bottom w:val="single" w:sz="4" w:space="0" w:color="auto"/>
              <w:right w:val="single" w:sz="4" w:space="0" w:color="auto"/>
            </w:tcBorders>
            <w:vAlign w:val="center"/>
            <w:hideMark/>
          </w:tcPr>
          <w:p w14:paraId="025DC4BA" w14:textId="77777777" w:rsidR="00360825" w:rsidRDefault="00360825" w:rsidP="00C04569">
            <w:pPr>
              <w:keepNext/>
              <w:spacing w:after="0" w:line="300" w:lineRule="auto"/>
              <w:rPr>
                <w:rFonts w:ascii="Arial" w:hAnsi="Arial" w:cs="Arial"/>
                <w:color w:val="000000"/>
                <w:lang w:eastAsia="en-US"/>
              </w:rPr>
            </w:pPr>
            <w:r>
              <w:rPr>
                <w:rFonts w:ascii="Arial" w:hAnsi="Arial" w:cs="Arial"/>
                <w:color w:val="000000"/>
                <w:lang w:eastAsia="en-US"/>
              </w:rPr>
              <w:t>TOTAL</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6250CA57"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119,202</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506F6358"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136,556</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5C42FB7D"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1,671</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10B6C00E"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2,376</w:t>
            </w:r>
          </w:p>
        </w:tc>
      </w:tr>
    </w:tbl>
    <w:p w14:paraId="7090B93E" w14:textId="77777777" w:rsidR="00360825" w:rsidRDefault="00360825" w:rsidP="00360825">
      <w:pPr>
        <w:pStyle w:val="BodyText"/>
        <w:numPr>
          <w:ilvl w:val="0"/>
          <w:numId w:val="0"/>
        </w:numPr>
        <w:tabs>
          <w:tab w:val="left" w:pos="720"/>
        </w:tabs>
        <w:spacing w:line="300" w:lineRule="auto"/>
        <w:ind w:left="1134" w:hanging="1134"/>
        <w:rPr>
          <w:rFonts w:ascii="Arial" w:hAnsi="Arial" w:cs="Arial"/>
          <w:i/>
          <w:iCs/>
          <w:sz w:val="16"/>
          <w:szCs w:val="16"/>
        </w:rPr>
      </w:pPr>
      <w:r>
        <w:rPr>
          <w:rFonts w:ascii="Arial" w:hAnsi="Arial" w:cs="Arial"/>
          <w:i/>
          <w:iCs/>
          <w:sz w:val="16"/>
          <w:szCs w:val="16"/>
        </w:rPr>
        <w:t>Source: Derived from a range of sources</w:t>
      </w:r>
    </w:p>
    <w:p w14:paraId="7B1F857E" w14:textId="77777777" w:rsidR="00360825" w:rsidRDefault="00360825" w:rsidP="001A7584">
      <w:pPr>
        <w:pStyle w:val="Heading5"/>
        <w:numPr>
          <w:ilvl w:val="5"/>
          <w:numId w:val="43"/>
        </w:numPr>
      </w:pPr>
      <w:r>
        <w:t>Estimated need for wheelchair user homes, 2021-2039 – Chichester District (linked to 680 dpa)</w:t>
      </w:r>
    </w:p>
    <w:tbl>
      <w:tblPr>
        <w:tblStyle w:val="TableTheme"/>
        <w:tblW w:w="5000" w:type="pct"/>
        <w:tblInd w:w="0" w:type="dxa"/>
        <w:tblLayout w:type="fixed"/>
        <w:tblLook w:val="04A0" w:firstRow="1" w:lastRow="0" w:firstColumn="1" w:lastColumn="0" w:noHBand="0" w:noVBand="1"/>
      </w:tblPr>
      <w:tblGrid>
        <w:gridCol w:w="1462"/>
        <w:gridCol w:w="1463"/>
        <w:gridCol w:w="1463"/>
        <w:gridCol w:w="1463"/>
        <w:gridCol w:w="1463"/>
        <w:gridCol w:w="1463"/>
      </w:tblGrid>
      <w:tr w:rsidR="00360825" w14:paraId="239198E7" w14:textId="77777777" w:rsidTr="00C04569">
        <w:tc>
          <w:tcPr>
            <w:tcW w:w="1462" w:type="dxa"/>
            <w:tcBorders>
              <w:top w:val="single" w:sz="4" w:space="0" w:color="auto"/>
              <w:left w:val="single" w:sz="4" w:space="0" w:color="auto"/>
              <w:bottom w:val="single" w:sz="4" w:space="0" w:color="auto"/>
              <w:right w:val="single" w:sz="4" w:space="0" w:color="auto"/>
            </w:tcBorders>
            <w:shd w:val="clear" w:color="auto" w:fill="002060"/>
          </w:tcPr>
          <w:p w14:paraId="03512A4A" w14:textId="77777777" w:rsidR="00360825" w:rsidRDefault="00360825" w:rsidP="00C04569">
            <w:pPr>
              <w:pStyle w:val="TableBodytext"/>
              <w:keepNext/>
              <w:spacing w:before="0" w:after="0" w:line="300" w:lineRule="auto"/>
              <w:rPr>
                <w:color w:val="FFFFFF" w:themeColor="background1"/>
                <w:sz w:val="20"/>
                <w:szCs w:val="20"/>
              </w:rPr>
            </w:pP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5BD00191"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Current need</w:t>
            </w: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55D909B8"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Projected need (2021-39)</w:t>
            </w: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0256B3DC"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Total current and future need</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533EB47F"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Housing need (2021-39)</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279F411C"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 of Housing Need</w:t>
            </w:r>
          </w:p>
        </w:tc>
      </w:tr>
      <w:tr w:rsidR="00360825" w14:paraId="2C19F956"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23A3A592" w14:textId="77777777" w:rsidR="00360825" w:rsidRDefault="00360825" w:rsidP="00C04569">
            <w:pPr>
              <w:pStyle w:val="TableBodytext"/>
              <w:keepNext/>
              <w:spacing w:before="0" w:after="0" w:line="300" w:lineRule="auto"/>
              <w:rPr>
                <w:color w:val="000000"/>
                <w:sz w:val="20"/>
                <w:szCs w:val="20"/>
              </w:rPr>
            </w:pPr>
            <w:r>
              <w:rPr>
                <w:color w:val="000000"/>
                <w:sz w:val="20"/>
                <w:szCs w:val="20"/>
              </w:rPr>
              <w:t xml:space="preserve">680 dpa </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581388BC"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411</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00718511"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705</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1E0A9ED1"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1,115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187B6FE7"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12,240</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280A3D5"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9.1%</w:t>
            </w:r>
          </w:p>
        </w:tc>
      </w:tr>
    </w:tbl>
    <w:p w14:paraId="7B7F1707" w14:textId="77777777" w:rsidR="00360825" w:rsidRDefault="00360825" w:rsidP="00360825">
      <w:pPr>
        <w:pStyle w:val="BodyText"/>
        <w:numPr>
          <w:ilvl w:val="0"/>
          <w:numId w:val="0"/>
        </w:numPr>
        <w:tabs>
          <w:tab w:val="left" w:pos="720"/>
        </w:tabs>
        <w:spacing w:line="300" w:lineRule="auto"/>
        <w:ind w:left="1134" w:hanging="1134"/>
        <w:rPr>
          <w:rFonts w:ascii="Arial" w:hAnsi="Arial" w:cs="Arial"/>
          <w:i/>
          <w:iCs/>
          <w:sz w:val="16"/>
          <w:szCs w:val="16"/>
        </w:rPr>
      </w:pPr>
      <w:r>
        <w:rPr>
          <w:rFonts w:ascii="Arial" w:hAnsi="Arial" w:cs="Arial"/>
          <w:i/>
          <w:iCs/>
          <w:sz w:val="16"/>
          <w:szCs w:val="16"/>
        </w:rPr>
        <w:t>Source: Derived from a range of sources</w:t>
      </w:r>
    </w:p>
    <w:p w14:paraId="55A36FFD" w14:textId="77777777" w:rsidR="00360825" w:rsidRDefault="00360825" w:rsidP="001A7584">
      <w:pPr>
        <w:pStyle w:val="Heading5"/>
        <w:numPr>
          <w:ilvl w:val="5"/>
          <w:numId w:val="43"/>
        </w:numPr>
      </w:pPr>
      <w:r>
        <w:t>Estimated need for wheelchair user homes by tenure, 2021-2039 – Chichester District (linked to 680 dpa)</w:t>
      </w:r>
    </w:p>
    <w:tbl>
      <w:tblPr>
        <w:tblStyle w:val="TableTheme"/>
        <w:tblW w:w="5000" w:type="pct"/>
        <w:tblInd w:w="0" w:type="dxa"/>
        <w:tblLayout w:type="fixed"/>
        <w:tblLook w:val="04A0" w:firstRow="1" w:lastRow="0" w:firstColumn="1" w:lastColumn="0" w:noHBand="0" w:noVBand="1"/>
      </w:tblPr>
      <w:tblGrid>
        <w:gridCol w:w="2925"/>
        <w:gridCol w:w="2926"/>
        <w:gridCol w:w="2926"/>
      </w:tblGrid>
      <w:tr w:rsidR="00360825" w14:paraId="6542B56C" w14:textId="77777777" w:rsidTr="00C04569">
        <w:tc>
          <w:tcPr>
            <w:tcW w:w="2925" w:type="dxa"/>
            <w:tcBorders>
              <w:top w:val="single" w:sz="4" w:space="0" w:color="auto"/>
              <w:left w:val="single" w:sz="4" w:space="0" w:color="auto"/>
              <w:bottom w:val="single" w:sz="4" w:space="0" w:color="auto"/>
              <w:right w:val="single" w:sz="4" w:space="0" w:color="auto"/>
            </w:tcBorders>
            <w:shd w:val="clear" w:color="auto" w:fill="002060"/>
          </w:tcPr>
          <w:p w14:paraId="7A0C0DE8" w14:textId="77777777" w:rsidR="00360825" w:rsidRDefault="00360825" w:rsidP="00C04569">
            <w:pPr>
              <w:pStyle w:val="TableBodytext"/>
              <w:keepNext/>
              <w:spacing w:before="0" w:after="0" w:line="300" w:lineRule="auto"/>
              <w:rPr>
                <w:color w:val="FFFFFF" w:themeColor="background1"/>
                <w:sz w:val="20"/>
                <w:szCs w:val="20"/>
              </w:rPr>
            </w:pPr>
          </w:p>
        </w:tc>
        <w:tc>
          <w:tcPr>
            <w:tcW w:w="2926" w:type="dxa"/>
            <w:tcBorders>
              <w:top w:val="single" w:sz="4" w:space="0" w:color="auto"/>
              <w:left w:val="single" w:sz="4" w:space="0" w:color="auto"/>
              <w:bottom w:val="single" w:sz="4" w:space="0" w:color="auto"/>
              <w:right w:val="single" w:sz="4" w:space="0" w:color="auto"/>
            </w:tcBorders>
            <w:shd w:val="clear" w:color="auto" w:fill="002060"/>
            <w:noWrap/>
            <w:hideMark/>
          </w:tcPr>
          <w:p w14:paraId="3B7E64AF"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Market</w:t>
            </w:r>
          </w:p>
        </w:tc>
        <w:tc>
          <w:tcPr>
            <w:tcW w:w="2926" w:type="dxa"/>
            <w:tcBorders>
              <w:top w:val="single" w:sz="4" w:space="0" w:color="auto"/>
              <w:left w:val="single" w:sz="4" w:space="0" w:color="auto"/>
              <w:bottom w:val="single" w:sz="4" w:space="0" w:color="auto"/>
              <w:right w:val="single" w:sz="4" w:space="0" w:color="auto"/>
            </w:tcBorders>
            <w:shd w:val="clear" w:color="auto" w:fill="002060"/>
            <w:noWrap/>
            <w:hideMark/>
          </w:tcPr>
          <w:p w14:paraId="7AE95A86"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Affordable</w:t>
            </w:r>
          </w:p>
        </w:tc>
      </w:tr>
      <w:tr w:rsidR="00360825" w14:paraId="255236A3" w14:textId="77777777" w:rsidTr="00C04569">
        <w:tc>
          <w:tcPr>
            <w:tcW w:w="2925" w:type="dxa"/>
            <w:tcBorders>
              <w:top w:val="single" w:sz="4" w:space="0" w:color="auto"/>
              <w:left w:val="single" w:sz="4" w:space="0" w:color="auto"/>
              <w:bottom w:val="single" w:sz="4" w:space="0" w:color="auto"/>
              <w:right w:val="single" w:sz="4" w:space="0" w:color="auto"/>
            </w:tcBorders>
            <w:hideMark/>
          </w:tcPr>
          <w:p w14:paraId="4B36DC0E" w14:textId="77777777" w:rsidR="00360825" w:rsidRDefault="00360825" w:rsidP="00C04569">
            <w:pPr>
              <w:pStyle w:val="TableBodytext"/>
              <w:keepNext/>
              <w:spacing w:before="0" w:after="0" w:line="300" w:lineRule="auto"/>
              <w:rPr>
                <w:color w:val="000000"/>
                <w:sz w:val="20"/>
                <w:szCs w:val="20"/>
              </w:rPr>
            </w:pPr>
            <w:r>
              <w:rPr>
                <w:color w:val="000000"/>
                <w:sz w:val="20"/>
                <w:szCs w:val="20"/>
              </w:rPr>
              <w:t>680 dpa</w:t>
            </w:r>
          </w:p>
        </w:tc>
        <w:tc>
          <w:tcPr>
            <w:tcW w:w="2926" w:type="dxa"/>
            <w:tcBorders>
              <w:top w:val="single" w:sz="4" w:space="0" w:color="auto"/>
              <w:left w:val="single" w:sz="4" w:space="0" w:color="auto"/>
              <w:bottom w:val="single" w:sz="4" w:space="0" w:color="auto"/>
              <w:right w:val="single" w:sz="4" w:space="0" w:color="auto"/>
            </w:tcBorders>
            <w:noWrap/>
            <w:vAlign w:val="bottom"/>
            <w:hideMark/>
          </w:tcPr>
          <w:p w14:paraId="12A4ED8A"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7%</w:t>
            </w:r>
          </w:p>
        </w:tc>
        <w:tc>
          <w:tcPr>
            <w:tcW w:w="2926" w:type="dxa"/>
            <w:tcBorders>
              <w:top w:val="single" w:sz="4" w:space="0" w:color="auto"/>
              <w:left w:val="single" w:sz="4" w:space="0" w:color="auto"/>
              <w:bottom w:val="single" w:sz="4" w:space="0" w:color="auto"/>
              <w:right w:val="single" w:sz="4" w:space="0" w:color="auto"/>
            </w:tcBorders>
            <w:noWrap/>
            <w:vAlign w:val="bottom"/>
            <w:hideMark/>
          </w:tcPr>
          <w:p w14:paraId="5C39828D"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19%</w:t>
            </w:r>
          </w:p>
        </w:tc>
      </w:tr>
    </w:tbl>
    <w:p w14:paraId="5E06D5C4" w14:textId="77777777" w:rsidR="00360825" w:rsidRDefault="00360825" w:rsidP="00360825">
      <w:pPr>
        <w:pStyle w:val="11Bodytext"/>
        <w:tabs>
          <w:tab w:val="clear" w:pos="794"/>
          <w:tab w:val="left" w:pos="720"/>
        </w:tabs>
        <w:spacing w:before="0" w:after="360" w:line="300" w:lineRule="auto"/>
        <w:ind w:left="0" w:firstLine="0"/>
        <w:rPr>
          <w:i/>
          <w:iCs/>
          <w:color w:val="auto"/>
          <w:sz w:val="16"/>
          <w:szCs w:val="16"/>
        </w:rPr>
      </w:pPr>
      <w:r>
        <w:rPr>
          <w:i/>
          <w:iCs/>
          <w:color w:val="auto"/>
          <w:sz w:val="16"/>
          <w:szCs w:val="16"/>
        </w:rPr>
        <w:t>Source: Derived from demographic projections and EHS prevalence rates</w:t>
      </w:r>
    </w:p>
    <w:sectPr w:rsidR="00360825" w:rsidSect="008C7AF2">
      <w:headerReference w:type="default" r:id="rId79"/>
      <w:headerReference w:type="first" r:id="rId80"/>
      <w:footerReference w:type="first" r:id="rId81"/>
      <w:pgSz w:w="11906" w:h="16838" w:code="9"/>
      <w:pgMar w:top="1701" w:right="1134" w:bottom="1134" w:left="1985" w:header="567" w:footer="397"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9040FC" w14:textId="77777777" w:rsidR="00E02A3B" w:rsidRDefault="00E02A3B" w:rsidP="00F35753">
      <w:r>
        <w:separator/>
      </w:r>
    </w:p>
  </w:endnote>
  <w:endnote w:type="continuationSeparator" w:id="0">
    <w:p w14:paraId="26D225B4" w14:textId="77777777" w:rsidR="00E02A3B" w:rsidRDefault="00E02A3B" w:rsidP="00F357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old">
    <w:panose1 w:val="020B0704020202020204"/>
    <w:charset w:val="00"/>
    <w:family w:val="auto"/>
    <w:pitch w:val="variable"/>
    <w:sig w:usb0="03002A87" w:usb1="00000000" w:usb2="00000000" w:usb3="00000000" w:csb0="000001FF" w:csb1="00000000"/>
  </w:font>
  <w:font w:name="Helvetica Neue">
    <w:altName w:val="Malgun Gothic"/>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Gill Sans MT">
    <w:charset w:val="00"/>
    <w:family w:val="swiss"/>
    <w:pitch w:val="variable"/>
    <w:sig w:usb0="00000003"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MinionPro-Regular">
    <w:altName w:val="Arial"/>
    <w:panose1 w:val="00000000000000000000"/>
    <w:charset w:val="4D"/>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Houschka Pro Light">
    <w:altName w:val="Houschka Pro Light"/>
    <w:panose1 w:val="00000000000000000000"/>
    <w:charset w:val="00"/>
    <w:family w:val="swiss"/>
    <w:notTrueType/>
    <w:pitch w:val="default"/>
    <w:sig w:usb0="00000003" w:usb1="00000000" w:usb2="00000000" w:usb3="00000000" w:csb0="00000001" w:csb1="00000000"/>
  </w:font>
  <w:font w:name="Gotha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82DF1" w14:textId="22183E19" w:rsidR="00E02A3B" w:rsidRPr="00D30CCF" w:rsidRDefault="00E02A3B" w:rsidP="002B1913">
    <w:pPr>
      <w:pStyle w:val="Footer"/>
      <w:pBdr>
        <w:top w:val="single" w:sz="4" w:space="6" w:color="808080" w:themeColor="background1" w:themeShade="80"/>
      </w:pBdr>
      <w:tabs>
        <w:tab w:val="clear" w:pos="8789"/>
        <w:tab w:val="left" w:pos="410"/>
        <w:tab w:val="right" w:pos="8787"/>
      </w:tabs>
      <w:jc w:val="left"/>
    </w:pPr>
    <w:r>
      <w:t>Iceni Projects</w:t>
    </w:r>
    <w:r>
      <w:tab/>
      <w:t xml:space="preserve"> </w:t>
    </w: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C413B" w14:textId="4437E7EF" w:rsidR="00E02A3B" w:rsidRPr="00CB57AC" w:rsidRDefault="00E02A3B" w:rsidP="000040E0">
    <w:pPr>
      <w:tabs>
        <w:tab w:val="left" w:pos="945"/>
      </w:tabs>
    </w:pPr>
    <w:r>
      <w:rPr>
        <w:noProof/>
      </w:rPr>
      <mc:AlternateContent>
        <mc:Choice Requires="wps">
          <w:drawing>
            <wp:anchor distT="0" distB="0" distL="114300" distR="114300" simplePos="0" relativeHeight="251686912" behindDoc="0" locked="1" layoutInCell="1" allowOverlap="1" wp14:anchorId="6B102739" wp14:editId="50B85577">
              <wp:simplePos x="0" y="0"/>
              <wp:positionH relativeFrom="page">
                <wp:posOffset>1314450</wp:posOffset>
              </wp:positionH>
              <wp:positionV relativeFrom="page">
                <wp:posOffset>8553450</wp:posOffset>
              </wp:positionV>
              <wp:extent cx="4569460" cy="1617345"/>
              <wp:effectExtent l="0" t="0" r="2540" b="1905"/>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569460" cy="1617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8C9ADF" w14:textId="6D00AC96" w:rsidR="00E02A3B" w:rsidRDefault="00E02A3B" w:rsidP="00F35753">
                          <w:pPr>
                            <w:pStyle w:val="Contactdetails"/>
                          </w:pPr>
                          <w:r w:rsidRPr="006F2F0B">
                            <w:rPr>
                              <w:rStyle w:val="Bold"/>
                            </w:rPr>
                            <w:t>Iceni</w:t>
                          </w:r>
                          <w:r w:rsidRPr="00C07BC6">
                            <w:t xml:space="preserve"> </w:t>
                          </w:r>
                          <w:r>
                            <w:rPr>
                              <w:rStyle w:val="Bold"/>
                            </w:rPr>
                            <w:t>Projects</w:t>
                          </w:r>
                          <w:r>
                            <w:t xml:space="preserve"> </w:t>
                          </w:r>
                        </w:p>
                        <w:p w14:paraId="4DE9D6B3" w14:textId="7D3E5410" w:rsidR="00E02A3B" w:rsidRDefault="00E02A3B" w:rsidP="00F35753">
                          <w:pPr>
                            <w:pStyle w:val="Contactdetails"/>
                          </w:pPr>
                          <w:r>
                            <w:t xml:space="preserve">Birmingham: </w:t>
                          </w:r>
                          <w:r w:rsidRPr="00173BB1">
                            <w:t>The Colmore Building, 20 Colmore Circus Queensway, Birmingham B4 6AT</w:t>
                          </w:r>
                        </w:p>
                        <w:p w14:paraId="641E1595" w14:textId="231E55E1" w:rsidR="00E02A3B" w:rsidRDefault="00E02A3B" w:rsidP="00F35753">
                          <w:pPr>
                            <w:pStyle w:val="Contactdetails"/>
                          </w:pPr>
                          <w:r>
                            <w:t>London: Da Vinci House, 44 Saffron Hill, London, EC1N 8FH</w:t>
                          </w:r>
                        </w:p>
                        <w:p w14:paraId="5DD16A1C" w14:textId="782C27AD" w:rsidR="00E02A3B" w:rsidRDefault="00E02A3B" w:rsidP="00F35753">
                          <w:pPr>
                            <w:pStyle w:val="Contactdetails"/>
                          </w:pPr>
                          <w:r>
                            <w:t>Edinburgh: 11 Alva Street, Edinburgh, EH2 4PH</w:t>
                          </w:r>
                        </w:p>
                        <w:p w14:paraId="13EB60BA" w14:textId="6A14B878" w:rsidR="00E02A3B" w:rsidRDefault="00E02A3B" w:rsidP="00F35753">
                          <w:pPr>
                            <w:pStyle w:val="Contactdetails"/>
                          </w:pPr>
                          <w:r>
                            <w:t>Glasgow: 177 West George Street, Glasgow, G2 2LB</w:t>
                          </w:r>
                        </w:p>
                        <w:p w14:paraId="07946D50" w14:textId="4826CE2B" w:rsidR="00E02A3B" w:rsidRDefault="00E02A3B" w:rsidP="00F35753">
                          <w:pPr>
                            <w:pStyle w:val="Contactdetails"/>
                          </w:pPr>
                          <w:r>
                            <w:t>Manchester: This is the Space, 68 Quay Street, Manchester, M3 3EJ</w:t>
                          </w:r>
                        </w:p>
                        <w:p w14:paraId="47EA6E40" w14:textId="77777777" w:rsidR="00E02A3B" w:rsidRDefault="00E02A3B" w:rsidP="00F35753">
                          <w:pPr>
                            <w:pStyle w:val="Contactdetails"/>
                          </w:pPr>
                        </w:p>
                        <w:p w14:paraId="42837698" w14:textId="77777777" w:rsidR="00E02A3B" w:rsidRDefault="00E02A3B" w:rsidP="00F35753">
                          <w:pPr>
                            <w:pStyle w:val="Contactdetails"/>
                          </w:pPr>
                        </w:p>
                        <w:p w14:paraId="712ED449" w14:textId="77777777" w:rsidR="00E02A3B" w:rsidRDefault="00E02A3B" w:rsidP="00F35753">
                          <w:pPr>
                            <w:pStyle w:val="Contactdetails"/>
                            <w:rPr>
                              <w:lang w:val="fr-FR"/>
                            </w:rPr>
                          </w:pPr>
                          <w:r>
                            <w:rPr>
                              <w:rStyle w:val="Bold"/>
                            </w:rPr>
                            <w:t xml:space="preserve">t: </w:t>
                          </w:r>
                          <w:r w:rsidRPr="00690AD6">
                            <w:rPr>
                              <w:lang w:val="fr-FR"/>
                            </w:rPr>
                            <w:t xml:space="preserve">020 3640 8508 </w:t>
                          </w:r>
                          <w:r>
                            <w:rPr>
                              <w:rStyle w:val="Bold"/>
                            </w:rPr>
                            <w:t>| w:</w:t>
                          </w:r>
                          <w:r w:rsidRPr="00690AD6">
                            <w:rPr>
                              <w:lang w:val="fr-FR"/>
                            </w:rPr>
                            <w:t xml:space="preserve"> iceniprojects.com</w:t>
                          </w:r>
                          <w:r>
                            <w:rPr>
                              <w:lang w:val="fr-FR"/>
                            </w:rPr>
                            <w:t xml:space="preserve"> | </w:t>
                          </w:r>
                          <w:r w:rsidRPr="00093E39">
                            <w:rPr>
                              <w:b/>
                              <w:lang w:val="fr-FR"/>
                            </w:rPr>
                            <w:t>e:</w:t>
                          </w:r>
                          <w:r>
                            <w:rPr>
                              <w:lang w:val="fr-FR"/>
                            </w:rPr>
                            <w:t xml:space="preserve"> </w:t>
                          </w:r>
                          <w:r w:rsidRPr="00093E39">
                            <w:rPr>
                              <w:lang w:val="fr-FR"/>
                            </w:rPr>
                            <w:t>mail@iceniprojects.com</w:t>
                          </w:r>
                          <w:r>
                            <w:rPr>
                              <w:lang w:val="fr-FR"/>
                            </w:rPr>
                            <w:t xml:space="preserve"> </w:t>
                          </w:r>
                        </w:p>
                        <w:p w14:paraId="2C92E896" w14:textId="48698A4C" w:rsidR="00E02A3B" w:rsidRDefault="00E02A3B" w:rsidP="00F35753">
                          <w:pPr>
                            <w:pStyle w:val="Contactdetails"/>
                          </w:pPr>
                          <w:proofErr w:type="spellStart"/>
                          <w:r>
                            <w:rPr>
                              <w:b/>
                              <w:lang w:val="fr-FR"/>
                            </w:rPr>
                            <w:t>linkedin</w:t>
                          </w:r>
                          <w:proofErr w:type="spellEnd"/>
                          <w:r w:rsidRPr="00093E39">
                            <w:rPr>
                              <w:b/>
                              <w:lang w:val="fr-FR"/>
                            </w:rPr>
                            <w:t>:</w:t>
                          </w:r>
                          <w:r>
                            <w:rPr>
                              <w:lang w:val="fr-FR"/>
                            </w:rPr>
                            <w:t xml:space="preserve"> </w:t>
                          </w:r>
                          <w:r w:rsidRPr="00093E39">
                            <w:rPr>
                              <w:lang w:val="fr-FR"/>
                            </w:rPr>
                            <w:t>linkedin.com/</w:t>
                          </w:r>
                          <w:proofErr w:type="spellStart"/>
                          <w:r w:rsidRPr="00093E39">
                            <w:rPr>
                              <w:lang w:val="fr-FR"/>
                            </w:rPr>
                            <w:t>company</w:t>
                          </w:r>
                          <w:proofErr w:type="spellEnd"/>
                          <w:r w:rsidRPr="00093E39">
                            <w:rPr>
                              <w:lang w:val="fr-FR"/>
                            </w:rPr>
                            <w:t>/</w:t>
                          </w:r>
                          <w:proofErr w:type="spellStart"/>
                          <w:r w:rsidRPr="00093E39">
                            <w:rPr>
                              <w:lang w:val="fr-FR"/>
                            </w:rPr>
                            <w:t>iceni-projects</w:t>
                          </w:r>
                          <w:proofErr w:type="spellEnd"/>
                          <w:r>
                            <w:rPr>
                              <w:lang w:val="fr-FR"/>
                            </w:rPr>
                            <w:t xml:space="preserve"> |</w:t>
                          </w:r>
                          <w:r w:rsidRPr="00093E39">
                            <w:rPr>
                              <w:b/>
                              <w:lang w:val="fr-FR"/>
                            </w:rPr>
                            <w:t xml:space="preserve"> tw</w:t>
                          </w:r>
                          <w:r>
                            <w:rPr>
                              <w:b/>
                              <w:lang w:val="fr-FR"/>
                            </w:rPr>
                            <w:t>itter</w:t>
                          </w:r>
                          <w:r>
                            <w:rPr>
                              <w:lang w:val="fr-FR"/>
                            </w:rPr>
                            <w:t>: @iceniprojects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102739" id="_x0000_t202" coordsize="21600,21600" o:spt="202" path="m,l,21600r21600,l21600,xe">
              <v:stroke joinstyle="miter"/>
              <v:path gradientshapeok="t" o:connecttype="rect"/>
            </v:shapetype>
            <v:shape id="Text Box 3" o:spid="_x0000_s1036" type="#_x0000_t202" alt="&quot;&quot;" style="position:absolute;left:0;text-align:left;margin-left:103.5pt;margin-top:673.5pt;width:359.8pt;height:127.3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" filled="f" stroked="f" strokeweight=".5pt">
              <v:textbox inset="0,0,0,0">
                <w:txbxContent>
                  <w:p w14:paraId="238C9ADF" w14:textId="6D00AC96" w:rsidR="00E02A3B" w:rsidRDefault="00E02A3B" w:rsidP="00F35753">
                    <w:pPr>
                      <w:pStyle w:val="Contactdetails"/>
                    </w:pPr>
                    <w:r w:rsidRPr="006F2F0B">
                      <w:rPr>
                        <w:rStyle w:val="Bold"/>
                      </w:rPr>
                      <w:t>Iceni</w:t>
                    </w:r>
                    <w:r w:rsidRPr="00C07BC6">
                      <w:t xml:space="preserve"> </w:t>
                    </w:r>
                    <w:r>
                      <w:rPr>
                        <w:rStyle w:val="Bold"/>
                      </w:rPr>
                      <w:t>Projects</w:t>
                    </w:r>
                    <w:r>
                      <w:t xml:space="preserve"> </w:t>
                    </w:r>
                  </w:p>
                  <w:p w14:paraId="4DE9D6B3" w14:textId="7D3E5410" w:rsidR="00E02A3B" w:rsidRDefault="00E02A3B" w:rsidP="00F35753">
                    <w:pPr>
                      <w:pStyle w:val="Contactdetails"/>
                    </w:pPr>
                    <w:r>
                      <w:t xml:space="preserve">Birmingham: </w:t>
                    </w:r>
                    <w:r w:rsidRPr="00173BB1">
                      <w:t>The Colmore Building, 20 Colmore Circus Queensway, Birmingham B4 6AT</w:t>
                    </w:r>
                  </w:p>
                  <w:p w14:paraId="641E1595" w14:textId="231E55E1" w:rsidR="00E02A3B" w:rsidRDefault="00E02A3B" w:rsidP="00F35753">
                    <w:pPr>
                      <w:pStyle w:val="Contactdetails"/>
                    </w:pPr>
                    <w:r>
                      <w:t>London: Da Vinci House, 44 Saffron Hill, London, EC1N 8FH</w:t>
                    </w:r>
                  </w:p>
                  <w:p w14:paraId="5DD16A1C" w14:textId="782C27AD" w:rsidR="00E02A3B" w:rsidRDefault="00E02A3B" w:rsidP="00F35753">
                    <w:pPr>
                      <w:pStyle w:val="Contactdetails"/>
                    </w:pPr>
                    <w:r>
                      <w:t>Edinburgh: 11 Alva Street, Edinburgh, EH2 4PH</w:t>
                    </w:r>
                  </w:p>
                  <w:p w14:paraId="13EB60BA" w14:textId="6A14B878" w:rsidR="00E02A3B" w:rsidRDefault="00E02A3B" w:rsidP="00F35753">
                    <w:pPr>
                      <w:pStyle w:val="Contactdetails"/>
                    </w:pPr>
                    <w:r>
                      <w:t>Glasgow: 177 West George Street, Glasgow, G2 2LB</w:t>
                    </w:r>
                  </w:p>
                  <w:p w14:paraId="07946D50" w14:textId="4826CE2B" w:rsidR="00E02A3B" w:rsidRDefault="00E02A3B" w:rsidP="00F35753">
                    <w:pPr>
                      <w:pStyle w:val="Contactdetails"/>
                    </w:pPr>
                    <w:r>
                      <w:t>Manchester: This is the Space, 68 Quay Street, Manchester, M3 3EJ</w:t>
                    </w:r>
                  </w:p>
                  <w:p w14:paraId="47EA6E40" w14:textId="77777777" w:rsidR="00E02A3B" w:rsidRDefault="00E02A3B" w:rsidP="00F35753">
                    <w:pPr>
                      <w:pStyle w:val="Contactdetails"/>
                    </w:pPr>
                  </w:p>
                  <w:p w14:paraId="42837698" w14:textId="77777777" w:rsidR="00E02A3B" w:rsidRDefault="00E02A3B" w:rsidP="00F35753">
                    <w:pPr>
                      <w:pStyle w:val="Contactdetails"/>
                    </w:pPr>
                  </w:p>
                  <w:p w14:paraId="712ED449" w14:textId="77777777" w:rsidR="00E02A3B" w:rsidRDefault="00E02A3B" w:rsidP="00F35753">
                    <w:pPr>
                      <w:pStyle w:val="Contactdetails"/>
                      <w:rPr>
                        <w:lang w:val="fr-FR"/>
                      </w:rPr>
                    </w:pPr>
                    <w:r>
                      <w:rPr>
                        <w:rStyle w:val="Bold"/>
                      </w:rPr>
                      <w:t xml:space="preserve">t: </w:t>
                    </w:r>
                    <w:r w:rsidRPr="00690AD6">
                      <w:rPr>
                        <w:lang w:val="fr-FR"/>
                      </w:rPr>
                      <w:t xml:space="preserve">020 3640 8508 </w:t>
                    </w:r>
                    <w:r>
                      <w:rPr>
                        <w:rStyle w:val="Bold"/>
                      </w:rPr>
                      <w:t>| w:</w:t>
                    </w:r>
                    <w:r w:rsidRPr="00690AD6">
                      <w:rPr>
                        <w:lang w:val="fr-FR"/>
                      </w:rPr>
                      <w:t xml:space="preserve"> iceniprojects.com</w:t>
                    </w:r>
                    <w:r>
                      <w:rPr>
                        <w:lang w:val="fr-FR"/>
                      </w:rPr>
                      <w:t xml:space="preserve"> | </w:t>
                    </w:r>
                    <w:r w:rsidRPr="00093E39">
                      <w:rPr>
                        <w:b/>
                        <w:lang w:val="fr-FR"/>
                      </w:rPr>
                      <w:t>e:</w:t>
                    </w:r>
                    <w:r>
                      <w:rPr>
                        <w:lang w:val="fr-FR"/>
                      </w:rPr>
                      <w:t xml:space="preserve"> </w:t>
                    </w:r>
                    <w:r w:rsidRPr="00093E39">
                      <w:rPr>
                        <w:lang w:val="fr-FR"/>
                      </w:rPr>
                      <w:t>mail@iceniprojects.com</w:t>
                    </w:r>
                    <w:r>
                      <w:rPr>
                        <w:lang w:val="fr-FR"/>
                      </w:rPr>
                      <w:t xml:space="preserve"> </w:t>
                    </w:r>
                  </w:p>
                  <w:p w14:paraId="2C92E896" w14:textId="48698A4C" w:rsidR="00E02A3B" w:rsidRDefault="00E02A3B" w:rsidP="00F35753">
                    <w:pPr>
                      <w:pStyle w:val="Contactdetails"/>
                    </w:pPr>
                    <w:proofErr w:type="spellStart"/>
                    <w:r>
                      <w:rPr>
                        <w:b/>
                        <w:lang w:val="fr-FR"/>
                      </w:rPr>
                      <w:t>linkedin</w:t>
                    </w:r>
                    <w:proofErr w:type="spellEnd"/>
                    <w:r w:rsidRPr="00093E39">
                      <w:rPr>
                        <w:b/>
                        <w:lang w:val="fr-FR"/>
                      </w:rPr>
                      <w:t>:</w:t>
                    </w:r>
                    <w:r>
                      <w:rPr>
                        <w:lang w:val="fr-FR"/>
                      </w:rPr>
                      <w:t xml:space="preserve"> </w:t>
                    </w:r>
                    <w:r w:rsidRPr="00093E39">
                      <w:rPr>
                        <w:lang w:val="fr-FR"/>
                      </w:rPr>
                      <w:t>linkedin.com/</w:t>
                    </w:r>
                    <w:proofErr w:type="spellStart"/>
                    <w:r w:rsidRPr="00093E39">
                      <w:rPr>
                        <w:lang w:val="fr-FR"/>
                      </w:rPr>
                      <w:t>company</w:t>
                    </w:r>
                    <w:proofErr w:type="spellEnd"/>
                    <w:r w:rsidRPr="00093E39">
                      <w:rPr>
                        <w:lang w:val="fr-FR"/>
                      </w:rPr>
                      <w:t>/</w:t>
                    </w:r>
                    <w:proofErr w:type="spellStart"/>
                    <w:r w:rsidRPr="00093E39">
                      <w:rPr>
                        <w:lang w:val="fr-FR"/>
                      </w:rPr>
                      <w:t>iceni-projects</w:t>
                    </w:r>
                    <w:proofErr w:type="spellEnd"/>
                    <w:r>
                      <w:rPr>
                        <w:lang w:val="fr-FR"/>
                      </w:rPr>
                      <w:t xml:space="preserve"> |</w:t>
                    </w:r>
                    <w:r w:rsidRPr="00093E39">
                      <w:rPr>
                        <w:b/>
                        <w:lang w:val="fr-FR"/>
                      </w:rPr>
                      <w:t xml:space="preserve"> tw</w:t>
                    </w:r>
                    <w:r>
                      <w:rPr>
                        <w:b/>
                        <w:lang w:val="fr-FR"/>
                      </w:rPr>
                      <w:t>itter</w:t>
                    </w:r>
                    <w:r>
                      <w:rPr>
                        <w:lang w:val="fr-FR"/>
                      </w:rPr>
                      <w:t>: @iceniprojects</w:t>
                    </w:r>
                  </w:p>
                </w:txbxContent>
              </v:textbox>
              <w10:wrap anchorx="page" anchory="page"/>
              <w10:anchorlock/>
            </v:shape>
          </w:pict>
        </mc:Fallback>
      </mc:AlternateConten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60360" w14:textId="56EE25EE" w:rsidR="00E02A3B" w:rsidRDefault="00E02A3B" w:rsidP="00F35753">
    <w:pPr>
      <w:pStyle w:val="Footer"/>
    </w:pPr>
    <w:r>
      <w:rPr>
        <w:rFonts w:asciiTheme="majorHAnsi" w:eastAsiaTheme="majorEastAsia" w:hAnsiTheme="majorHAnsi" w:cstheme="majorBidi"/>
        <w:sz w:val="28"/>
        <w:szCs w:val="28"/>
      </w:rPr>
      <w:t xml:space="preserve">pg. </w:t>
    </w:r>
    <w:r>
      <w:rPr>
        <w:rFonts w:eastAsiaTheme="minorEastAsia" w:cstheme="minorBidi"/>
        <w:sz w:val="22"/>
        <w:szCs w:val="22"/>
      </w:rPr>
      <w:fldChar w:fldCharType="begin"/>
    </w:r>
    <w:r>
      <w:instrText xml:space="preserve"> PAGE    \* MERGEFORMAT </w:instrText>
    </w:r>
    <w:r>
      <w:rPr>
        <w:rFonts w:eastAsiaTheme="minorEastAsia" w:cstheme="minorBidi"/>
        <w:sz w:val="22"/>
        <w:szCs w:val="22"/>
      </w:rPr>
      <w:fldChar w:fldCharType="separate"/>
    </w:r>
    <w:r w:rsidRPr="008C7AF2">
      <w:rPr>
        <w:rFonts w:asciiTheme="majorHAnsi" w:eastAsiaTheme="majorEastAsia" w:hAnsiTheme="majorHAnsi" w:cstheme="majorBidi"/>
        <w:noProof/>
        <w:sz w:val="28"/>
        <w:szCs w:val="28"/>
      </w:rPr>
      <w:t>0</w:t>
    </w:r>
    <w:r>
      <w:rPr>
        <w:rFonts w:asciiTheme="majorHAnsi" w:eastAsiaTheme="majorEastAsia" w:hAnsiTheme="majorHAnsi" w:cstheme="majorBidi"/>
        <w:noProof/>
        <w:sz w:val="28"/>
        <w:szCs w:val="28"/>
      </w:rPr>
      <w:fldChar w:fldCharType="end"/>
    </w:r>
    <w:r>
      <w:t xml:space="preserve">Page | </w:t>
    </w:r>
    <w:r>
      <w:fldChar w:fldCharType="begin"/>
    </w:r>
    <w:r>
      <w:instrText xml:space="preserve"> PAGE   \* MERGEFORMAT </w:instrText>
    </w:r>
    <w:r>
      <w:fldChar w:fldCharType="separate"/>
    </w:r>
    <w:r>
      <w:rPr>
        <w:noProof/>
      </w:rPr>
      <w:t>0</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1DC756" w14:textId="77777777" w:rsidR="00E02A3B" w:rsidRDefault="00E02A3B" w:rsidP="00F35753">
      <w:r>
        <w:separator/>
      </w:r>
    </w:p>
  </w:footnote>
  <w:footnote w:type="continuationSeparator" w:id="0">
    <w:p w14:paraId="29098A3E" w14:textId="77777777" w:rsidR="00E02A3B" w:rsidRDefault="00E02A3B" w:rsidP="00F35753">
      <w:r>
        <w:continuationSeparator/>
      </w:r>
    </w:p>
  </w:footnote>
  <w:footnote w:id="1">
    <w:p w14:paraId="692AD468" w14:textId="77777777" w:rsidR="00E02A3B" w:rsidRDefault="00E02A3B" w:rsidP="00360825">
      <w:pPr>
        <w:pStyle w:val="FootnoteText"/>
        <w:spacing w:line="360" w:lineRule="auto"/>
      </w:pPr>
      <w:r>
        <w:rPr>
          <w:rStyle w:val="FootnoteReference"/>
        </w:rPr>
        <w:footnoteRef/>
      </w:r>
      <w:r>
        <w:t xml:space="preserve"> This is a legal requirement as set out in Regulation 10A of the Town and Country Planning (Local Planning) (England) Regulations 2012. </w:t>
      </w:r>
    </w:p>
  </w:footnote>
  <w:footnote w:id="2">
    <w:p w14:paraId="2B237FD6" w14:textId="77777777" w:rsidR="00E02A3B" w:rsidRDefault="00E02A3B" w:rsidP="00360825">
      <w:pPr>
        <w:pStyle w:val="FootnoteText"/>
        <w:spacing w:line="360" w:lineRule="auto"/>
      </w:pPr>
      <w:r>
        <w:rPr>
          <w:rStyle w:val="FootnoteReference"/>
        </w:rPr>
        <w:footnoteRef/>
      </w:r>
      <w:r>
        <w:t xml:space="preserve"> The glossary definition of local housing need in the NPPF sets out that use of a justified alternative approach can only be taken forwards in the context of preparing strategic policies. </w:t>
      </w:r>
    </w:p>
  </w:footnote>
  <w:footnote w:id="3">
    <w:p w14:paraId="6306A5D4" w14:textId="74D1F22F" w:rsidR="00E02A3B" w:rsidRDefault="00E02A3B">
      <w:pPr>
        <w:pStyle w:val="FootnoteText"/>
      </w:pPr>
      <w:r>
        <w:rPr>
          <w:rStyle w:val="FootnoteReference"/>
        </w:rPr>
        <w:footnoteRef/>
      </w:r>
      <w:r>
        <w:t xml:space="preserve"> This work was largely prepared in 2021 and thus uses that for a base date.  However the average annual household growth for the 2022-32 period is also 545 households, therefore there is no change. </w:t>
      </w:r>
    </w:p>
  </w:footnote>
  <w:footnote w:id="4">
    <w:p w14:paraId="0BEBF75B" w14:textId="77777777" w:rsidR="00E02A3B" w:rsidRDefault="00E02A3B" w:rsidP="00360825">
      <w:pPr>
        <w:pStyle w:val="FootnoteText"/>
      </w:pPr>
      <w:r>
        <w:rPr>
          <w:rStyle w:val="FootnoteReference"/>
        </w:rPr>
        <w:footnoteRef/>
      </w:r>
      <w:r>
        <w:t xml:space="preserve"> </w:t>
      </w:r>
      <w:r w:rsidRPr="00560B61">
        <w:t>Paragraph: 010 Reference ID: 2a-010-20190220</w:t>
      </w:r>
    </w:p>
  </w:footnote>
  <w:footnote w:id="5">
    <w:p w14:paraId="767D23E4" w14:textId="77777777" w:rsidR="00E02A3B" w:rsidRDefault="00E02A3B" w:rsidP="00360825">
      <w:pPr>
        <w:pStyle w:val="FootnoteText"/>
      </w:pPr>
      <w:r>
        <w:rPr>
          <w:rStyle w:val="FootnoteReference"/>
        </w:rPr>
        <w:footnoteRef/>
      </w:r>
      <w:r>
        <w:t xml:space="preserve"> </w:t>
      </w:r>
      <w:r w:rsidRPr="004F0B82">
        <w:t>Paragraph: 024 Reference ID: 2a-024-20190220</w:t>
      </w:r>
    </w:p>
  </w:footnote>
  <w:footnote w:id="6">
    <w:p w14:paraId="39D6C6C2" w14:textId="77777777" w:rsidR="00E02A3B" w:rsidRDefault="00E02A3B" w:rsidP="00360825">
      <w:pPr>
        <w:pStyle w:val="FootnoteText"/>
      </w:pPr>
      <w:r>
        <w:rPr>
          <w:rStyle w:val="FootnoteReference"/>
        </w:rPr>
        <w:footnoteRef/>
      </w:r>
      <w:r>
        <w:t xml:space="preserve"> PPG </w:t>
      </w:r>
      <w:r w:rsidRPr="000C1D61">
        <w:t>ID: 2a-024-20190220</w:t>
      </w:r>
    </w:p>
  </w:footnote>
  <w:footnote w:id="7">
    <w:p w14:paraId="7F93CDB9" w14:textId="77777777" w:rsidR="00E02A3B" w:rsidRDefault="00E02A3B" w:rsidP="00360825">
      <w:pPr>
        <w:pStyle w:val="FootnoteText"/>
      </w:pPr>
      <w:r>
        <w:rPr>
          <w:rStyle w:val="FootnoteReference"/>
        </w:rPr>
        <w:footnoteRef/>
      </w:r>
      <w:r>
        <w:t xml:space="preserve"> </w:t>
      </w:r>
      <w:r w:rsidRPr="008E09F9">
        <w:t>https://www.arun.gov.uk/download.cfm?doc=docm93jijm4n12844.pdf&amp;ver=12984</w:t>
      </w:r>
    </w:p>
  </w:footnote>
  <w:footnote w:id="8">
    <w:p w14:paraId="64483CD3" w14:textId="77777777" w:rsidR="00E02A3B" w:rsidRDefault="00E02A3B" w:rsidP="00360825">
      <w:pPr>
        <w:pStyle w:val="FootnoteText"/>
      </w:pPr>
      <w:r>
        <w:rPr>
          <w:rStyle w:val="FootnoteReference"/>
        </w:rPr>
        <w:footnoteRef/>
      </w:r>
      <w:r>
        <w:t xml:space="preserve"> </w:t>
      </w:r>
      <w:r w:rsidRPr="008E09F9">
        <w:t>https://www.adur-worthing.gov.uk/media/Media,159076,smxx.pdf</w:t>
      </w:r>
    </w:p>
  </w:footnote>
  <w:footnote w:id="9">
    <w:p w14:paraId="425245FD" w14:textId="77777777" w:rsidR="00E02A3B" w:rsidRDefault="00E02A3B" w:rsidP="00360825">
      <w:pPr>
        <w:pStyle w:val="FootnoteText"/>
      </w:pPr>
      <w:r>
        <w:rPr>
          <w:rStyle w:val="FootnoteReference"/>
        </w:rPr>
        <w:footnoteRef/>
      </w:r>
      <w:r>
        <w:t xml:space="preserve"> </w:t>
      </w:r>
      <w:r w:rsidRPr="00CF76B7">
        <w:t>https://www.adur-worthing.gov.uk/media/Media,159572,smxx.pdf</w:t>
      </w:r>
    </w:p>
  </w:footnote>
  <w:footnote w:id="10">
    <w:p w14:paraId="527F9F9E" w14:textId="77777777" w:rsidR="00E02A3B" w:rsidRDefault="00E02A3B" w:rsidP="00360825">
      <w:pPr>
        <w:spacing w:after="0" w:line="240" w:lineRule="auto"/>
        <w:jc w:val="left"/>
        <w:rPr>
          <w:rFonts w:ascii="Arial" w:hAnsi="Arial" w:cs="Arial"/>
          <w:sz w:val="16"/>
          <w:szCs w:val="16"/>
        </w:rPr>
      </w:pPr>
      <w:r>
        <w:rPr>
          <w:rStyle w:val="BalloonTextChar"/>
          <w:rFonts w:ascii="Arial" w:eastAsiaTheme="majorEastAsia" w:hAnsi="Arial" w:cs="Arial"/>
          <w:vertAlign w:val="superscript"/>
        </w:rPr>
        <w:footnoteRef/>
      </w:r>
      <w:r>
        <w:rPr>
          <w:rFonts w:ascii="Arial" w:hAnsi="Arial" w:cs="Arial"/>
          <w:sz w:val="16"/>
          <w:szCs w:val="16"/>
        </w:rPr>
        <w:t xml:space="preserve"> Based on the More Choice Greater Voice publication of 2008 (</w:t>
      </w:r>
      <w:hyperlink r:id="rId1" w:history="1">
        <w:r>
          <w:rPr>
            <w:rStyle w:val="Hyperlink"/>
            <w:rFonts w:ascii="Arial" w:eastAsiaTheme="majorEastAsia" w:hAnsi="Arial" w:cs="Arial"/>
            <w:color w:val="auto"/>
            <w:sz w:val="16"/>
            <w:szCs w:val="16"/>
          </w:rPr>
          <w:t>https://www.housinglin.org.uk/_assets/Resources/Housing/Support_materials/Reports/MCGVdocument.pdf</w:t>
        </w:r>
      </w:hyperlink>
      <w:r>
        <w:rPr>
          <w:rFonts w:ascii="Arial" w:hAnsi="Arial" w:cs="Arial"/>
          <w:sz w:val="16"/>
          <w:szCs w:val="16"/>
        </w:rPr>
        <w:t xml:space="preserve">). It should be noted that although these rates are from 2008, they are the same rates as were being used in the online toolkit when it was taken offline in 2019. </w:t>
      </w:r>
    </w:p>
  </w:footnote>
  <w:footnote w:id="11">
    <w:p w14:paraId="051B461F" w14:textId="77777777" w:rsidR="00E02A3B" w:rsidRDefault="00E02A3B" w:rsidP="00360825">
      <w:pPr>
        <w:spacing w:after="0" w:line="240" w:lineRule="auto"/>
        <w:jc w:val="left"/>
        <w:rPr>
          <w:rFonts w:ascii="Arial" w:hAnsi="Arial" w:cs="Arial"/>
          <w:sz w:val="16"/>
          <w:szCs w:val="16"/>
        </w:rPr>
      </w:pPr>
      <w:r>
        <w:rPr>
          <w:rStyle w:val="BalloonTextChar"/>
          <w:rFonts w:ascii="Arial" w:eastAsiaTheme="majorEastAsia" w:hAnsi="Arial" w:cs="Arial"/>
          <w:vertAlign w:val="superscript"/>
        </w:rPr>
        <w:footnoteRef/>
      </w:r>
      <w:r>
        <w:rPr>
          <w:rFonts w:ascii="Arial" w:hAnsi="Arial" w:cs="Arial"/>
          <w:sz w:val="16"/>
          <w:szCs w:val="16"/>
        </w:rPr>
        <w:t xml:space="preserve"> </w:t>
      </w:r>
      <w:hyperlink r:id="rId2" w:history="1">
        <w:r>
          <w:rPr>
            <w:rStyle w:val="Hyperlink"/>
            <w:rFonts w:ascii="Arial" w:eastAsiaTheme="majorEastAsia" w:hAnsi="Arial" w:cs="Arial"/>
            <w:color w:val="auto"/>
            <w:sz w:val="16"/>
            <w:szCs w:val="16"/>
          </w:rPr>
          <w:t>https://www.housinglin.org.uk/_assets/Resources/Housing/Support_materials/Toolkit/Housing_in_Later_Life_Toolkit.pdf</w:t>
        </w:r>
      </w:hyperlink>
      <w:r>
        <w:rPr>
          <w:rFonts w:ascii="Arial" w:hAnsi="Arial" w:cs="Arial"/>
          <w:sz w:val="16"/>
          <w:szCs w:val="16"/>
        </w:rPr>
        <w:t xml:space="preserve"> </w:t>
      </w:r>
    </w:p>
  </w:footnote>
  <w:footnote w:id="12">
    <w:p w14:paraId="025DBEF3" w14:textId="77777777" w:rsidR="00E02A3B" w:rsidRDefault="00E02A3B" w:rsidP="00360825">
      <w:pPr>
        <w:spacing w:after="0" w:line="240" w:lineRule="auto"/>
        <w:jc w:val="left"/>
        <w:rPr>
          <w:rFonts w:ascii="Arial" w:hAnsi="Arial" w:cs="Arial"/>
          <w:sz w:val="16"/>
          <w:szCs w:val="16"/>
        </w:rPr>
      </w:pPr>
      <w:r>
        <w:rPr>
          <w:rStyle w:val="BalloonTextChar"/>
          <w:rFonts w:ascii="Arial" w:eastAsiaTheme="majorEastAsia" w:hAnsi="Arial" w:cs="Arial"/>
          <w:vertAlign w:val="superscript"/>
        </w:rPr>
        <w:footnoteRef/>
      </w:r>
      <w:r>
        <w:rPr>
          <w:rFonts w:ascii="Arial" w:hAnsi="Arial" w:cs="Arial"/>
          <w:sz w:val="16"/>
          <w:szCs w:val="16"/>
        </w:rPr>
        <w:t xml:space="preserve"> Schedule 1 of the Health and Social Care Act 2008 (Regulated Activities) Regulations 2010. </w:t>
      </w:r>
    </w:p>
  </w:footnote>
  <w:footnote w:id="13">
    <w:p w14:paraId="61731FC8" w14:textId="77777777" w:rsidR="00E02A3B" w:rsidRDefault="00E02A3B" w:rsidP="00360825">
      <w:pPr>
        <w:jc w:val="left"/>
        <w:rPr>
          <w:rFonts w:ascii="Arial" w:hAnsi="Arial" w:cs="Arial"/>
          <w:sz w:val="16"/>
          <w:szCs w:val="16"/>
        </w:rPr>
      </w:pPr>
      <w:r>
        <w:rPr>
          <w:rStyle w:val="BalloonTextChar"/>
          <w:rFonts w:ascii="Arial" w:eastAsiaTheme="majorEastAsia" w:hAnsi="Arial" w:cs="Arial"/>
          <w:vertAlign w:val="superscript"/>
        </w:rPr>
        <w:footnoteRef/>
      </w:r>
      <w:r>
        <w:rPr>
          <w:rFonts w:ascii="Arial" w:hAnsi="Arial" w:cs="Arial"/>
          <w:sz w:val="16"/>
          <w:szCs w:val="16"/>
        </w:rPr>
        <w:t xml:space="preserve"> Raising accessibility standards for new homes, a consultation paper, page 10</w:t>
      </w:r>
    </w:p>
  </w:footnote>
  <w:footnote w:id="14">
    <w:p w14:paraId="18971BA5" w14:textId="77777777" w:rsidR="00E02A3B" w:rsidRDefault="00E02A3B" w:rsidP="00360825">
      <w:pPr>
        <w:pStyle w:val="FootnoteText"/>
      </w:pPr>
      <w:r>
        <w:rPr>
          <w:rStyle w:val="FootnoteReference"/>
        </w:rPr>
        <w:footnoteRef/>
      </w:r>
      <w:r>
        <w:t xml:space="preserve"> </w:t>
      </w:r>
      <w:r w:rsidRPr="006A26B5">
        <w:t>https://assets.publishing.service.gov.uk/government/uploads/system/uploads/attachment_data/file/353387/021c_Cost_Report_11th_Sept_2014_FINAL.pdf</w:t>
      </w:r>
    </w:p>
  </w:footnote>
  <w:footnote w:id="15">
    <w:p w14:paraId="780C4734" w14:textId="77777777" w:rsidR="00E02A3B" w:rsidRDefault="00E02A3B" w:rsidP="00360825">
      <w:pPr>
        <w:pStyle w:val="FootnoteText"/>
      </w:pPr>
      <w:r>
        <w:rPr>
          <w:rStyle w:val="FootnoteReference"/>
        </w:rPr>
        <w:footnoteRef/>
      </w:r>
      <w:r>
        <w:t xml:space="preserve"> A prevention duty is a duty to prevent homelessness for those threatened with it in the next 56 days. A relief duty is a duty for the Council to support those who have been made homeless this involves </w:t>
      </w:r>
      <w:r w:rsidRPr="00F424C6">
        <w:t>tak</w:t>
      </w:r>
      <w:r>
        <w:t>ing</w:t>
      </w:r>
      <w:r w:rsidRPr="00F424C6">
        <w:t xml:space="preserve"> reasonable steps to help </w:t>
      </w:r>
      <w:r>
        <w:t>the households</w:t>
      </w:r>
      <w:r w:rsidRPr="00F424C6">
        <w:t xml:space="preserve"> secure suitable accommodation</w:t>
      </w:r>
      <w:r>
        <w:t>.</w:t>
      </w:r>
    </w:p>
  </w:footnote>
  <w:footnote w:id="16">
    <w:p w14:paraId="0A1493EC" w14:textId="77777777" w:rsidR="00E02A3B" w:rsidRDefault="00E02A3B" w:rsidP="00360825">
      <w:pPr>
        <w:pStyle w:val="FootnoteText"/>
      </w:pPr>
      <w:r>
        <w:rPr>
          <w:rStyle w:val="FootnoteReference"/>
        </w:rPr>
        <w:footnoteRef/>
      </w:r>
      <w:r>
        <w:t xml:space="preserve"> This may incorrectly including some student rental</w:t>
      </w:r>
    </w:p>
  </w:footnote>
  <w:footnote w:id="17">
    <w:p w14:paraId="527B8C4A" w14:textId="77777777" w:rsidR="00E02A3B" w:rsidRDefault="00E02A3B" w:rsidP="00360825">
      <w:pPr>
        <w:pStyle w:val="FootnoteText"/>
      </w:pPr>
      <w:r>
        <w:rPr>
          <w:rStyle w:val="FootnoteReference"/>
        </w:rPr>
        <w:footnoteRef/>
      </w:r>
      <w:r>
        <w:t xml:space="preserve"> some rooms are allotted for welfare reasons and there has been some backfilling of rooms to keep occupancy up</w:t>
      </w:r>
    </w:p>
  </w:footnote>
  <w:footnote w:id="18">
    <w:p w14:paraId="68C1DEA1" w14:textId="77777777" w:rsidR="00E02A3B" w:rsidRDefault="00E02A3B" w:rsidP="00360825">
      <w:pPr>
        <w:pStyle w:val="FootnoteText"/>
      </w:pPr>
      <w:r>
        <w:rPr>
          <w:rStyle w:val="FootnoteReference"/>
        </w:rPr>
        <w:footnoteRef/>
      </w:r>
      <w:r>
        <w:t xml:space="preserve"> Taken as 2.5 students per all student household as per the Housing Delivery Test.</w:t>
      </w:r>
    </w:p>
  </w:footnote>
  <w:footnote w:id="19">
    <w:p w14:paraId="7086A7F8" w14:textId="77777777" w:rsidR="00E02A3B" w:rsidRDefault="00E02A3B" w:rsidP="00360825">
      <w:pPr>
        <w:pStyle w:val="FootnoteText"/>
      </w:pPr>
      <w:r>
        <w:rPr>
          <w:rStyle w:val="FootnoteReference"/>
        </w:rPr>
        <w:footnoteRef/>
      </w:r>
      <w:r>
        <w:t xml:space="preserve"> </w:t>
      </w:r>
      <w:r w:rsidRPr="000F4A06">
        <w:t>https://www.thisisfresh.com/blog/2020/10/07/student-spending-economy/</w:t>
      </w:r>
    </w:p>
  </w:footnote>
  <w:footnote w:id="20">
    <w:p w14:paraId="78E6BAFE" w14:textId="77777777" w:rsidR="00E02A3B" w:rsidRDefault="00E02A3B" w:rsidP="00360825">
      <w:pPr>
        <w:pStyle w:val="FootnoteText"/>
      </w:pPr>
      <w:r>
        <w:rPr>
          <w:rStyle w:val="FootnoteReference"/>
        </w:rPr>
        <w:footnoteRef/>
      </w:r>
      <w:r>
        <w:t xml:space="preserve"> MOD, Annual Personnel Location Statistics, 2021</w:t>
      </w:r>
    </w:p>
  </w:footnote>
  <w:footnote w:id="21">
    <w:p w14:paraId="46A0A3AD" w14:textId="1ACDE7E5" w:rsidR="00E02A3B" w:rsidRDefault="00E02A3B" w:rsidP="00360825">
      <w:pPr>
        <w:pStyle w:val="FootnoteText"/>
      </w:pPr>
      <w:r>
        <w:rPr>
          <w:rStyle w:val="FootnoteReference"/>
        </w:rPr>
        <w:footnoteRef/>
      </w:r>
      <w:r>
        <w:t xml:space="preserve"> A base period is a period of typically 12 months in which demand for custom and self-build is recorded. However, the first base period. </w:t>
      </w:r>
      <w:r w:rsidRPr="00F424C6">
        <w:t>The first base period beg</w:t>
      </w:r>
      <w:r>
        <w:t>an</w:t>
      </w:r>
      <w:r w:rsidRPr="00F424C6">
        <w:t xml:space="preserve"> on the day on which the register (which meets the requirement of the 2015 Act) </w:t>
      </w:r>
      <w:r>
        <w:t>wa</w:t>
      </w:r>
      <w:r w:rsidRPr="00F424C6">
        <w:t>s established and end</w:t>
      </w:r>
      <w:r>
        <w:t>ed</w:t>
      </w:r>
      <w:r w:rsidRPr="00F424C6">
        <w:t xml:space="preserve"> on 30 October 2016. Each subsequent base period is the period of 12 months beginning immediately after the end of the previous base period. Subsequent base periods will therefore run from 31 October to 30 October each year.</w:t>
      </w:r>
    </w:p>
  </w:footnote>
  <w:footnote w:id="22">
    <w:p w14:paraId="1BB3F200" w14:textId="77777777" w:rsidR="00E02A3B" w:rsidRDefault="00E02A3B" w:rsidP="00360825">
      <w:pPr>
        <w:pStyle w:val="FootnoteText"/>
      </w:pPr>
      <w:r>
        <w:rPr>
          <w:rStyle w:val="FootnoteReference"/>
        </w:rPr>
        <w:footnoteRef/>
      </w:r>
      <w:r>
        <w:t xml:space="preserve"> A survey of 2,017 adults with fieldwork undertaken online between 9</w:t>
      </w:r>
      <w:r w:rsidRPr="00834469">
        <w:rPr>
          <w:vertAlign w:val="superscript"/>
        </w:rPr>
        <w:t>th</w:t>
      </w:r>
      <w:r>
        <w:t xml:space="preserve"> – 11</w:t>
      </w:r>
      <w:r w:rsidRPr="00834469">
        <w:rPr>
          <w:vertAlign w:val="superscript"/>
        </w:rPr>
        <w:t>th</w:t>
      </w:r>
      <w:r>
        <w:t xml:space="preserve"> October 2020. The figures are weighted and are representative of all GB adults aged 18+</w:t>
      </w:r>
    </w:p>
  </w:footnote>
  <w:footnote w:id="23">
    <w:p w14:paraId="6157AEC8" w14:textId="77777777" w:rsidR="00E02A3B" w:rsidRDefault="00E02A3B" w:rsidP="00360825">
      <w:pPr>
        <w:pStyle w:val="FootnoteText"/>
      </w:pPr>
      <w:r>
        <w:rPr>
          <w:rStyle w:val="FootnoteReference"/>
        </w:rPr>
        <w:footnoteRef/>
      </w:r>
      <w:r>
        <w:t xml:space="preserve"> </w:t>
      </w:r>
      <w:r w:rsidRPr="00432630">
        <w:t>Paragraph: 025 Reference ID: 57-025-20210508</w:t>
      </w:r>
    </w:p>
  </w:footnote>
  <w:footnote w:id="24">
    <w:p w14:paraId="7BD9251D" w14:textId="77777777" w:rsidR="00E02A3B" w:rsidRDefault="00E02A3B" w:rsidP="00360825">
      <w:pPr>
        <w:pStyle w:val="FootnoteText"/>
      </w:pPr>
      <w:r>
        <w:rPr>
          <w:rStyle w:val="FootnoteReference"/>
        </w:rPr>
        <w:footnoteRef/>
      </w:r>
      <w:r>
        <w:t xml:space="preserve"> VOA: </w:t>
      </w:r>
      <w:r w:rsidRPr="00654A17">
        <w:t>Non-domestic rating: stock of properties including business floorspace, 2019</w:t>
      </w:r>
    </w:p>
  </w:footnote>
  <w:footnote w:id="25">
    <w:p w14:paraId="5471D068" w14:textId="77777777" w:rsidR="00E02A3B" w:rsidRDefault="00E02A3B" w:rsidP="00360825">
      <w:pPr>
        <w:pStyle w:val="FootnoteText"/>
      </w:pPr>
      <w:r>
        <w:rPr>
          <w:rStyle w:val="FootnoteReference"/>
        </w:rPr>
        <w:footnoteRef/>
      </w:r>
      <w:r>
        <w:t xml:space="preserve"> The Building Rating System is explained here - </w:t>
      </w:r>
      <w:hyperlink r:id="rId3" w:history="1">
        <w:r w:rsidRPr="00C612A0">
          <w:rPr>
            <w:rStyle w:val="Hyperlink"/>
          </w:rPr>
          <w:t>https://www.costar.com/docs/default-source/brs-lib/costar_buildingratingsystem-definition.pdf?sfvrsn=12a507a4_2</w:t>
        </w:r>
      </w:hyperlink>
      <w:r>
        <w:t xml:space="preserve"> </w:t>
      </w:r>
    </w:p>
  </w:footnote>
  <w:footnote w:id="26">
    <w:p w14:paraId="2D54FDD3" w14:textId="77777777" w:rsidR="00E02A3B" w:rsidRDefault="00E02A3B" w:rsidP="00360825">
      <w:pPr>
        <w:pStyle w:val="FootnoteText"/>
      </w:pPr>
      <w:r>
        <w:rPr>
          <w:rStyle w:val="FootnoteReference"/>
        </w:rPr>
        <w:footnoteRef/>
      </w:r>
      <w:r>
        <w:t xml:space="preserve"> VOA: </w:t>
      </w:r>
      <w:r w:rsidRPr="00654A17">
        <w:t>Non-domestic rating: stock of properties including business floorspace, 2019</w:t>
      </w:r>
    </w:p>
  </w:footnote>
  <w:footnote w:id="27">
    <w:p w14:paraId="309A4B8A" w14:textId="11D17240" w:rsidR="00E02A3B" w:rsidRDefault="00E02A3B" w:rsidP="00360825">
      <w:pPr>
        <w:pStyle w:val="FootnoteText"/>
      </w:pPr>
      <w:r>
        <w:rPr>
          <w:rStyle w:val="FootnoteReference"/>
          <w:rFonts w:eastAsiaTheme="minorEastAsia"/>
        </w:rPr>
        <w:footnoteRef/>
      </w:r>
      <w:r>
        <w:t xml:space="preserve"> Employment Densities are the assumed floorspace per FTE e.g., for R&amp;D offices it is assumed that every FTE will have 60 sq. m</w:t>
      </w:r>
    </w:p>
  </w:footnote>
  <w:footnote w:id="28">
    <w:p w14:paraId="2A50B657" w14:textId="77777777" w:rsidR="00E02A3B" w:rsidRDefault="00E02A3B" w:rsidP="00360825">
      <w:pPr>
        <w:pStyle w:val="FootnoteText"/>
      </w:pPr>
      <w:r>
        <w:rPr>
          <w:rStyle w:val="FootnoteReference"/>
          <w:rFonts w:eastAsiaTheme="minorEastAsia"/>
        </w:rPr>
        <w:footnoteRef/>
      </w:r>
      <w:r>
        <w:t xml:space="preserve"> Plot Ratio are the assumed percentage of a plot taken up by employment floorspace e.g. for Warehouses it is assumed that only 50% of a plot would be taken up by the warehouse itself with the other 50% used for a variety of uses including storage, turning circles, plant, parking, landscaping etc.</w:t>
      </w:r>
    </w:p>
  </w:footnote>
  <w:footnote w:id="29">
    <w:p w14:paraId="7406501D" w14:textId="77777777" w:rsidR="00E02A3B" w:rsidRDefault="00E02A3B" w:rsidP="00393E1C">
      <w:pPr>
        <w:pStyle w:val="FootnoteText"/>
      </w:pPr>
      <w:r>
        <w:rPr>
          <w:rStyle w:val="FootnoteReference"/>
        </w:rPr>
        <w:footnoteRef/>
      </w:r>
      <w:r>
        <w:t xml:space="preserve"> </w:t>
      </w:r>
      <w:r w:rsidRPr="0060350E">
        <w:t>Paragraph: 001 Reference ID: 2a-001-20190220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B03F0" w14:textId="77777777" w:rsidR="00E02A3B" w:rsidRDefault="00E02A3B" w:rsidP="00A97B16">
    <w:pPr>
      <w:tabs>
        <w:tab w:val="left" w:pos="1844"/>
      </w:tabs>
    </w:pPr>
  </w:p>
  <w:p w14:paraId="4883240A" w14:textId="699886DF" w:rsidR="00E02A3B" w:rsidRDefault="00E02A3B" w:rsidP="00A97B16">
    <w:pPr>
      <w:tabs>
        <w:tab w:val="left" w:pos="1844"/>
      </w:tabs>
    </w:pPr>
    <w:r>
      <w:rPr>
        <w:noProof/>
      </w:rPr>
      <w:drawing>
        <wp:anchor distT="0" distB="0" distL="114300" distR="114300" simplePos="0" relativeHeight="251687936" behindDoc="0" locked="1" layoutInCell="1" allowOverlap="1" wp14:anchorId="7CD26BC2" wp14:editId="7FA73A87">
          <wp:simplePos x="0" y="0"/>
          <wp:positionH relativeFrom="page">
            <wp:posOffset>1255923</wp:posOffset>
          </wp:positionH>
          <wp:positionV relativeFrom="topMargin">
            <wp:posOffset>795655</wp:posOffset>
          </wp:positionV>
          <wp:extent cx="1078992" cy="1078992"/>
          <wp:effectExtent l="0" t="0" r="0"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78992" cy="107899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84864" behindDoc="0" locked="0" layoutInCell="1" allowOverlap="1" wp14:anchorId="669B5A07" wp14:editId="4AB3A905">
              <wp:simplePos x="0" y="0"/>
              <wp:positionH relativeFrom="column">
                <wp:posOffset>5122545</wp:posOffset>
              </wp:positionH>
              <wp:positionV relativeFrom="paragraph">
                <wp:posOffset>269240</wp:posOffset>
              </wp:positionV>
              <wp:extent cx="895985" cy="9391650"/>
              <wp:effectExtent l="0" t="0" r="0" b="0"/>
              <wp:wrapNone/>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95985" cy="9391650"/>
                        <a:chOff x="0" y="-172528"/>
                        <a:chExt cx="896400" cy="9392128"/>
                      </a:xfrm>
                    </wpg:grpSpPr>
                    <wpg:grpSp>
                      <wpg:cNvPr id="19" name="Group 19"/>
                      <wpg:cNvGrpSpPr/>
                      <wpg:grpSpPr>
                        <a:xfrm>
                          <a:off x="0" y="-172528"/>
                          <a:ext cx="896400" cy="1162528"/>
                          <a:chOff x="0" y="-172528"/>
                          <a:chExt cx="896400" cy="1162528"/>
                        </a:xfrm>
                      </wpg:grpSpPr>
                      <wps:wsp>
                        <wps:cNvPr id="11" name="Rectangle 11"/>
                        <wps:cNvSpPr/>
                        <wps:spPr>
                          <a:xfrm>
                            <a:off x="0" y="-172528"/>
                            <a:ext cx="895350" cy="108692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8A125C" w14:textId="2853F50B" w:rsidR="00E02A3B" w:rsidRDefault="00E02A3B" w:rsidP="00F35753">
                              <w:pPr>
                                <w:pStyle w:val="Sidebartext1"/>
                                <w:rPr>
                                  <w:rStyle w:val="Bold"/>
                                </w:rPr>
                              </w:pPr>
                              <w:r>
                                <w:rPr>
                                  <w:rStyle w:val="Bold"/>
                                </w:rPr>
                                <w:fldChar w:fldCharType="begin"/>
                              </w:r>
                              <w:r>
                                <w:rPr>
                                  <w:rStyle w:val="Bold"/>
                                </w:rPr>
                                <w:instrText xml:space="preserve"> STYLEREF  "Date_link to footer"  \* MERGEFORMAT </w:instrText>
                              </w:r>
                              <w:r>
                                <w:rPr>
                                  <w:rStyle w:val="Bold"/>
                                </w:rPr>
                                <w:fldChar w:fldCharType="separate"/>
                              </w:r>
                              <w:r w:rsidR="008403ED">
                                <w:rPr>
                                  <w:rStyle w:val="Bold"/>
                                  <w:noProof/>
                                </w:rPr>
                                <w:t>April 2022</w:t>
                              </w:r>
                              <w:r>
                                <w:rPr>
                                  <w:rStyle w:val="Bold"/>
                                </w:rPr>
                                <w:fldChar w:fldCharType="end"/>
                              </w:r>
                            </w:p>
                            <w:p w14:paraId="71EF380C" w14:textId="77777777" w:rsidR="00E02A3B" w:rsidRPr="00E25E80" w:rsidRDefault="00E02A3B" w:rsidP="00F35753">
                              <w:pPr>
                                <w:pStyle w:val="Sidebartext1"/>
                                <w:rPr>
                                  <w:rStyle w:val="Bold"/>
                                </w:rPr>
                              </w:pP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15" name="Rectangle 15"/>
                        <wps:cNvSpPr/>
                        <wps:spPr>
                          <a:xfrm>
                            <a:off x="0" y="914400"/>
                            <a:ext cx="896400" cy="75600"/>
                          </a:xfrm>
                          <a:prstGeom prst="rect">
                            <a:avLst/>
                          </a:prstGeom>
                          <a:solidFill>
                            <a:srgbClr val="DD003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 name="Group 18"/>
                      <wpg:cNvGrpSpPr/>
                      <wpg:grpSpPr>
                        <a:xfrm>
                          <a:off x="0" y="3228975"/>
                          <a:ext cx="895985" cy="1961515"/>
                          <a:chOff x="0" y="476250"/>
                          <a:chExt cx="895985" cy="1961515"/>
                        </a:xfrm>
                      </wpg:grpSpPr>
                      <wps:wsp>
                        <wps:cNvPr id="12" name="Rectangle 12"/>
                        <wps:cNvSpPr/>
                        <wps:spPr>
                          <a:xfrm>
                            <a:off x="0" y="476250"/>
                            <a:ext cx="895350" cy="18859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A21DE2" w14:textId="04D87D48" w:rsidR="00E02A3B" w:rsidRPr="00E25E80" w:rsidRDefault="00E02A3B" w:rsidP="00F35753">
                              <w:pPr>
                                <w:pStyle w:val="Sidebartext1"/>
                              </w:pPr>
                              <w:r w:rsidRPr="00E25E80">
                                <w:rPr>
                                  <w:rFonts w:eastAsiaTheme="majorEastAsia"/>
                                </w:rPr>
                                <w:fldChar w:fldCharType="begin"/>
                              </w:r>
                              <w:r w:rsidRPr="00E25E80">
                                <w:rPr>
                                  <w:rFonts w:eastAsiaTheme="majorEastAsia"/>
                                </w:rPr>
                                <w:instrText xml:space="preserve"> STYLEREF  "Client_link to footer"  \* MERGEFORMAT </w:instrText>
                              </w:r>
                              <w:r w:rsidRPr="00E25E80">
                                <w:rPr>
                                  <w:rFonts w:eastAsiaTheme="majorEastAsia"/>
                                </w:rPr>
                                <w:fldChar w:fldCharType="separate"/>
                              </w:r>
                              <w:r w:rsidR="008403ED">
                                <w:rPr>
                                  <w:rFonts w:eastAsiaTheme="majorEastAsia"/>
                                  <w:noProof/>
                                </w:rPr>
                                <w:t>Iceni Projects Limited on behalf of Chichester District Council</w:t>
                              </w:r>
                              <w:r w:rsidRPr="00E25E80">
                                <w:rPr>
                                  <w:rFonts w:eastAsiaTheme="majorEastAsia"/>
                                </w:rPr>
                                <w:fldChar w:fldCharType="end"/>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16" name="Rectangle 16"/>
                        <wps:cNvSpPr/>
                        <wps:spPr>
                          <a:xfrm>
                            <a:off x="0" y="2362200"/>
                            <a:ext cx="895985" cy="75565"/>
                          </a:xfrm>
                          <a:prstGeom prst="rect">
                            <a:avLst/>
                          </a:prstGeom>
                          <a:solidFill>
                            <a:srgbClr val="3FAE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 name="Group 21"/>
                      <wpg:cNvGrpSpPr/>
                      <wpg:grpSpPr>
                        <a:xfrm>
                          <a:off x="0" y="5676900"/>
                          <a:ext cx="896400" cy="3542700"/>
                          <a:chOff x="0" y="238125"/>
                          <a:chExt cx="896400" cy="3542700"/>
                        </a:xfrm>
                      </wpg:grpSpPr>
                      <wps:wsp>
                        <wps:cNvPr id="13" name="Rectangle 13"/>
                        <wps:cNvSpPr/>
                        <wps:spPr>
                          <a:xfrm>
                            <a:off x="0" y="238125"/>
                            <a:ext cx="895350" cy="3467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B43BDB" w14:textId="5736473A" w:rsidR="00E02A3B" w:rsidRDefault="00E02A3B" w:rsidP="00F35753">
                              <w:pPr>
                                <w:pStyle w:val="Sidebartext2"/>
                              </w:pPr>
                              <w:r>
                                <w:rPr>
                                  <w:noProof/>
                                </w:rPr>
                                <w:fldChar w:fldCharType="begin"/>
                              </w:r>
                              <w:r>
                                <w:rPr>
                                  <w:noProof/>
                                </w:rPr>
                                <w:instrText xml:space="preserve"> STYLEREF  Title  \* MERGEFORMAT </w:instrText>
                              </w:r>
                              <w:r>
                                <w:rPr>
                                  <w:noProof/>
                                </w:rPr>
                                <w:fldChar w:fldCharType="separate"/>
                              </w:r>
                              <w:r w:rsidR="008403ED">
                                <w:rPr>
                                  <w:noProof/>
                                </w:rPr>
                                <w:t>Chichester HEDNA</w:t>
                              </w:r>
                              <w:r>
                                <w:rPr>
                                  <w:noProof/>
                                </w:rPr>
                                <w:fldChar w:fldCharType="end"/>
                              </w:r>
                            </w:p>
                            <w:p w14:paraId="0568FF0D" w14:textId="297C2C39" w:rsidR="00E02A3B" w:rsidRPr="00E25E80" w:rsidRDefault="00E02A3B" w:rsidP="00F35753">
                              <w:pPr>
                                <w:pStyle w:val="Sidebartext1"/>
                                <w:rPr>
                                  <w:rStyle w:val="Bold"/>
                                </w:rPr>
                              </w:pPr>
                              <w:r w:rsidRPr="00E25E80">
                                <w:rPr>
                                  <w:rStyle w:val="Bold"/>
                                </w:rPr>
                                <w:fldChar w:fldCharType="begin"/>
                              </w:r>
                              <w:r w:rsidRPr="00E25E80">
                                <w:rPr>
                                  <w:rStyle w:val="Bold"/>
                                </w:rPr>
                                <w:instrText xml:space="preserve"> STYLEREF  Sub-title  \* MERGEFORMAT </w:instrText>
                              </w:r>
                              <w:r w:rsidRPr="00E25E80">
                                <w:rPr>
                                  <w:rStyle w:val="Bold"/>
                                </w:rPr>
                                <w:fldChar w:fldCharType="separate"/>
                              </w:r>
                              <w:r w:rsidR="008403ED">
                                <w:rPr>
                                  <w:rStyle w:val="Bold"/>
                                  <w:noProof/>
                                </w:rPr>
                                <w:t>2022 Update</w:t>
                              </w:r>
                              <w:r w:rsidRPr="00E25E80">
                                <w:rPr>
                                  <w:rStyle w:val="Bold"/>
                                </w:rPr>
                                <w:fldChar w:fldCharType="end"/>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17" name="Rectangle 17"/>
                        <wps:cNvSpPr/>
                        <wps:spPr>
                          <a:xfrm>
                            <a:off x="0" y="3705225"/>
                            <a:ext cx="896400" cy="75600"/>
                          </a:xfrm>
                          <a:prstGeom prst="rect">
                            <a:avLst/>
                          </a:prstGeom>
                          <a:solidFill>
                            <a:srgbClr val="222C5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69B5A07" id="Group 22" o:spid="_x0000_s1026" alt="&quot;&quot;" style="position:absolute;left:0;text-align:left;margin-left:403.35pt;margin-top:21.2pt;width:70.55pt;height:739.5pt;z-index:251684864;mso-height-relative:margin" coordorigin=",-1725" coordsize="8964,93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">
              <v:group id="Group 19" o:spid="_x0000_s1027" style="position:absolute;top:-1725;width:8964;height:11625" coordorigin=",-1725" coordsize="8964,1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11" o:spid="_x0000_s1028" style="position:absolute;top:-1725;width:8953;height:1086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" filled="f" stroked="f" strokeweight="1pt">
                  <v:textbox style="layout-flow:vertical;mso-layout-flow-alt:bottom-to-top" inset="0,0,0,0">
                    <w:txbxContent>
                      <w:p w14:paraId="5E8A125C" w14:textId="2853F50B" w:rsidR="00E02A3B" w:rsidRDefault="00E02A3B" w:rsidP="00F35753">
                        <w:pPr>
                          <w:pStyle w:val="Sidebartext1"/>
                          <w:rPr>
                            <w:rStyle w:val="Bold"/>
                          </w:rPr>
                        </w:pPr>
                        <w:r>
                          <w:rPr>
                            <w:rStyle w:val="Bold"/>
                          </w:rPr>
                          <w:fldChar w:fldCharType="begin"/>
                        </w:r>
                        <w:r>
                          <w:rPr>
                            <w:rStyle w:val="Bold"/>
                          </w:rPr>
                          <w:instrText xml:space="preserve"> STYLEREF  "Date_link to footer"  \* MERGEFORMAT </w:instrText>
                        </w:r>
                        <w:r>
                          <w:rPr>
                            <w:rStyle w:val="Bold"/>
                          </w:rPr>
                          <w:fldChar w:fldCharType="separate"/>
                        </w:r>
                        <w:r w:rsidR="008403ED">
                          <w:rPr>
                            <w:rStyle w:val="Bold"/>
                            <w:noProof/>
                          </w:rPr>
                          <w:t>April 2022</w:t>
                        </w:r>
                        <w:r>
                          <w:rPr>
                            <w:rStyle w:val="Bold"/>
                          </w:rPr>
                          <w:fldChar w:fldCharType="end"/>
                        </w:r>
                      </w:p>
                      <w:p w14:paraId="71EF380C" w14:textId="77777777" w:rsidR="00E02A3B" w:rsidRPr="00E25E80" w:rsidRDefault="00E02A3B" w:rsidP="00F35753">
                        <w:pPr>
                          <w:pStyle w:val="Sidebartext1"/>
                          <w:rPr>
                            <w:rStyle w:val="Bold"/>
                          </w:rPr>
                        </w:pPr>
                      </w:p>
                    </w:txbxContent>
                  </v:textbox>
                </v:rect>
                <v:rect id="Rectangle 15" o:spid="_x0000_s1029" style="position:absolute;top:9144;width:8964;height: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" fillcolor="#dd0031" stroked="f" strokeweight="1pt"/>
              </v:group>
              <v:group id="Group 18" o:spid="_x0000_s1030" style="position:absolute;top:32289;width:8959;height:19615" coordorigin=",4762" coordsize="8959,1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12" o:spid="_x0000_s1031" style="position:absolute;top:4762;width:8953;height:1885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" filled="f" stroked="f" strokeweight="1pt">
                  <v:textbox style="layout-flow:vertical;mso-layout-flow-alt:bottom-to-top" inset="0,0,0,0">
                    <w:txbxContent>
                      <w:p w14:paraId="7AA21DE2" w14:textId="04D87D48" w:rsidR="00E02A3B" w:rsidRPr="00E25E80" w:rsidRDefault="00E02A3B" w:rsidP="00F35753">
                        <w:pPr>
                          <w:pStyle w:val="Sidebartext1"/>
                        </w:pPr>
                        <w:r w:rsidRPr="00E25E80">
                          <w:rPr>
                            <w:rFonts w:eastAsiaTheme="majorEastAsia"/>
                          </w:rPr>
                          <w:fldChar w:fldCharType="begin"/>
                        </w:r>
                        <w:r w:rsidRPr="00E25E80">
                          <w:rPr>
                            <w:rFonts w:eastAsiaTheme="majorEastAsia"/>
                          </w:rPr>
                          <w:instrText xml:space="preserve"> STYLEREF  "Client_link to footer"  \* MERGEFORMAT </w:instrText>
                        </w:r>
                        <w:r w:rsidRPr="00E25E80">
                          <w:rPr>
                            <w:rFonts w:eastAsiaTheme="majorEastAsia"/>
                          </w:rPr>
                          <w:fldChar w:fldCharType="separate"/>
                        </w:r>
                        <w:r w:rsidR="008403ED">
                          <w:rPr>
                            <w:rFonts w:eastAsiaTheme="majorEastAsia"/>
                            <w:noProof/>
                          </w:rPr>
                          <w:t>Iceni Projects Limited on behalf of Chichester District Council</w:t>
                        </w:r>
                        <w:r w:rsidRPr="00E25E80">
                          <w:rPr>
                            <w:rFonts w:eastAsiaTheme="majorEastAsia"/>
                          </w:rPr>
                          <w:fldChar w:fldCharType="end"/>
                        </w:r>
                      </w:p>
                    </w:txbxContent>
                  </v:textbox>
                </v:rect>
                <v:rect id="Rectangle 16" o:spid="_x0000_s1032" style="position:absolute;top:23622;width:8959;height: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" fillcolor="#3fae2a" stroked="f" strokeweight="1pt"/>
              </v:group>
              <v:group id="Group 21" o:spid="_x0000_s1033" style="position:absolute;top:56769;width:8964;height:35427" coordorigin=",2381" coordsize="8964,35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Rectangle 13" o:spid="_x0000_s1034" style="position:absolute;top:2381;width:8953;height:3467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" filled="f" stroked="f" strokeweight="1pt">
                  <v:textbox style="layout-flow:vertical;mso-layout-flow-alt:bottom-to-top" inset="0,0,0,0">
                    <w:txbxContent>
                      <w:p w14:paraId="08B43BDB" w14:textId="5736473A" w:rsidR="00E02A3B" w:rsidRDefault="00E02A3B" w:rsidP="00F35753">
                        <w:pPr>
                          <w:pStyle w:val="Sidebartext2"/>
                        </w:pPr>
                        <w:r>
                          <w:rPr>
                            <w:noProof/>
                          </w:rPr>
                          <w:fldChar w:fldCharType="begin"/>
                        </w:r>
                        <w:r>
                          <w:rPr>
                            <w:noProof/>
                          </w:rPr>
                          <w:instrText xml:space="preserve"> STYLEREF  Title  \* MERGEFORMAT </w:instrText>
                        </w:r>
                        <w:r>
                          <w:rPr>
                            <w:noProof/>
                          </w:rPr>
                          <w:fldChar w:fldCharType="separate"/>
                        </w:r>
                        <w:r w:rsidR="008403ED">
                          <w:rPr>
                            <w:noProof/>
                          </w:rPr>
                          <w:t>Chichester HEDNA</w:t>
                        </w:r>
                        <w:r>
                          <w:rPr>
                            <w:noProof/>
                          </w:rPr>
                          <w:fldChar w:fldCharType="end"/>
                        </w:r>
                      </w:p>
                      <w:p w14:paraId="0568FF0D" w14:textId="297C2C39" w:rsidR="00E02A3B" w:rsidRPr="00E25E80" w:rsidRDefault="00E02A3B" w:rsidP="00F35753">
                        <w:pPr>
                          <w:pStyle w:val="Sidebartext1"/>
                          <w:rPr>
                            <w:rStyle w:val="Bold"/>
                          </w:rPr>
                        </w:pPr>
                        <w:r w:rsidRPr="00E25E80">
                          <w:rPr>
                            <w:rStyle w:val="Bold"/>
                          </w:rPr>
                          <w:fldChar w:fldCharType="begin"/>
                        </w:r>
                        <w:r w:rsidRPr="00E25E80">
                          <w:rPr>
                            <w:rStyle w:val="Bold"/>
                          </w:rPr>
                          <w:instrText xml:space="preserve"> STYLEREF  Sub-title  \* MERGEFORMAT </w:instrText>
                        </w:r>
                        <w:r w:rsidRPr="00E25E80">
                          <w:rPr>
                            <w:rStyle w:val="Bold"/>
                          </w:rPr>
                          <w:fldChar w:fldCharType="separate"/>
                        </w:r>
                        <w:r w:rsidR="008403ED">
                          <w:rPr>
                            <w:rStyle w:val="Bold"/>
                            <w:noProof/>
                          </w:rPr>
                          <w:t>2022 Update</w:t>
                        </w:r>
                        <w:r w:rsidRPr="00E25E80">
                          <w:rPr>
                            <w:rStyle w:val="Bold"/>
                          </w:rPr>
                          <w:fldChar w:fldCharType="end"/>
                        </w:r>
                      </w:p>
                    </w:txbxContent>
                  </v:textbox>
                </v:rect>
                <v:rect id="Rectangle 17" o:spid="_x0000_s1035" style="position:absolute;top:37052;width:8964;height: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" fillcolor="#222c56" stroked="f" strokeweight="1pt"/>
              </v:group>
            </v:group>
          </w:pict>
        </mc:Fallback>
      </mc:AlternateContent>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ED747" w14:textId="780AAC3F" w:rsidR="00E02A3B" w:rsidRDefault="00E02A3B">
    <w:pPr>
      <w:pStyle w:val="Header"/>
    </w:pPr>
    <w:r>
      <w:t>Chichester HEDNA Update</w:t>
    </w:r>
    <w:r>
      <w:tab/>
    </w:r>
    <w:r>
      <w:tab/>
      <w:t>April 2022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62AC4" w14:textId="77777777" w:rsidR="00E02A3B" w:rsidRDefault="00E02A3B" w:rsidP="00F3575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9C92087A"/>
    <w:lvl w:ilvl="0">
      <w:start w:val="1"/>
      <w:numFmt w:val="decimal"/>
      <w:pStyle w:val="ListNumber2"/>
      <w:lvlText w:val="%1."/>
      <w:lvlJc w:val="left"/>
      <w:pPr>
        <w:tabs>
          <w:tab w:val="num" w:pos="643"/>
        </w:tabs>
        <w:ind w:left="643" w:hanging="360"/>
      </w:pPr>
    </w:lvl>
  </w:abstractNum>
  <w:abstractNum w:abstractNumId="1" w15:restartNumberingAfterBreak="0">
    <w:nsid w:val="FFFFFF83"/>
    <w:multiLevelType w:val="singleLevel"/>
    <w:tmpl w:val="7A4C5854"/>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8E1C421C"/>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30827B5A"/>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2B7654E"/>
    <w:multiLevelType w:val="hybridMultilevel"/>
    <w:tmpl w:val="1734AF38"/>
    <w:lvl w:ilvl="0" w:tplc="CA88539E">
      <w:start w:val="1"/>
      <w:numFmt w:val="bullet"/>
      <w:pStyle w:val="bullet"/>
      <w:lvlText w:val=""/>
      <w:lvlJc w:val="left"/>
      <w:pPr>
        <w:ind w:left="723" w:hanging="360"/>
      </w:pPr>
      <w:rPr>
        <w:rFonts w:ascii="Symbol" w:hAnsi="Symbol" w:hint="default"/>
      </w:rPr>
    </w:lvl>
    <w:lvl w:ilvl="1" w:tplc="08090003">
      <w:start w:val="1"/>
      <w:numFmt w:val="bullet"/>
      <w:lvlText w:val="o"/>
      <w:lvlJc w:val="left"/>
      <w:pPr>
        <w:ind w:left="1443" w:hanging="360"/>
      </w:pPr>
      <w:rPr>
        <w:rFonts w:ascii="Courier New" w:hAnsi="Courier New" w:cs="Times New Roman" w:hint="default"/>
      </w:rPr>
    </w:lvl>
    <w:lvl w:ilvl="2" w:tplc="08090005">
      <w:start w:val="1"/>
      <w:numFmt w:val="bullet"/>
      <w:lvlText w:val=""/>
      <w:lvlJc w:val="left"/>
      <w:pPr>
        <w:ind w:left="2163" w:hanging="360"/>
      </w:pPr>
      <w:rPr>
        <w:rFonts w:ascii="Wingdings" w:hAnsi="Wingdings" w:hint="default"/>
      </w:rPr>
    </w:lvl>
    <w:lvl w:ilvl="3" w:tplc="08090001">
      <w:start w:val="1"/>
      <w:numFmt w:val="bullet"/>
      <w:lvlText w:val=""/>
      <w:lvlJc w:val="left"/>
      <w:pPr>
        <w:ind w:left="2883" w:hanging="360"/>
      </w:pPr>
      <w:rPr>
        <w:rFonts w:ascii="Symbol" w:hAnsi="Symbol" w:hint="default"/>
      </w:rPr>
    </w:lvl>
    <w:lvl w:ilvl="4" w:tplc="08090003">
      <w:start w:val="1"/>
      <w:numFmt w:val="bullet"/>
      <w:lvlText w:val="o"/>
      <w:lvlJc w:val="left"/>
      <w:pPr>
        <w:ind w:left="3603" w:hanging="360"/>
      </w:pPr>
      <w:rPr>
        <w:rFonts w:ascii="Courier New" w:hAnsi="Courier New" w:cs="Times New Roman" w:hint="default"/>
      </w:rPr>
    </w:lvl>
    <w:lvl w:ilvl="5" w:tplc="08090005">
      <w:start w:val="1"/>
      <w:numFmt w:val="bullet"/>
      <w:lvlText w:val=""/>
      <w:lvlJc w:val="left"/>
      <w:pPr>
        <w:ind w:left="4323" w:hanging="360"/>
      </w:pPr>
      <w:rPr>
        <w:rFonts w:ascii="Wingdings" w:hAnsi="Wingdings" w:hint="default"/>
      </w:rPr>
    </w:lvl>
    <w:lvl w:ilvl="6" w:tplc="08090001">
      <w:start w:val="1"/>
      <w:numFmt w:val="bullet"/>
      <w:lvlText w:val=""/>
      <w:lvlJc w:val="left"/>
      <w:pPr>
        <w:ind w:left="5043" w:hanging="360"/>
      </w:pPr>
      <w:rPr>
        <w:rFonts w:ascii="Symbol" w:hAnsi="Symbol" w:hint="default"/>
      </w:rPr>
    </w:lvl>
    <w:lvl w:ilvl="7" w:tplc="08090003">
      <w:start w:val="1"/>
      <w:numFmt w:val="bullet"/>
      <w:lvlText w:val="o"/>
      <w:lvlJc w:val="left"/>
      <w:pPr>
        <w:ind w:left="5763" w:hanging="360"/>
      </w:pPr>
      <w:rPr>
        <w:rFonts w:ascii="Courier New" w:hAnsi="Courier New" w:cs="Times New Roman" w:hint="default"/>
      </w:rPr>
    </w:lvl>
    <w:lvl w:ilvl="8" w:tplc="08090005">
      <w:start w:val="1"/>
      <w:numFmt w:val="bullet"/>
      <w:lvlText w:val=""/>
      <w:lvlJc w:val="left"/>
      <w:pPr>
        <w:ind w:left="6483" w:hanging="360"/>
      </w:pPr>
      <w:rPr>
        <w:rFonts w:ascii="Wingdings" w:hAnsi="Wingdings" w:hint="default"/>
      </w:rPr>
    </w:lvl>
  </w:abstractNum>
  <w:abstractNum w:abstractNumId="5" w15:restartNumberingAfterBreak="0">
    <w:nsid w:val="03370C0E"/>
    <w:multiLevelType w:val="multilevel"/>
    <w:tmpl w:val="837C94F4"/>
    <w:lvl w:ilvl="0">
      <w:start w:val="1"/>
      <w:numFmt w:val="decimal"/>
      <w:pStyle w:val="03NumberedHeadings"/>
      <w:lvlText w:val="%1."/>
      <w:lvlJc w:val="left"/>
      <w:pPr>
        <w:tabs>
          <w:tab w:val="num" w:pos="1021"/>
        </w:tabs>
        <w:ind w:left="1021" w:hanging="1021"/>
      </w:pPr>
      <w:rPr>
        <w:rFonts w:ascii="Arial" w:hAnsi="Arial" w:cs="Times New Roman" w:hint="default"/>
        <w:b/>
        <w:bCs/>
        <w:i w:val="0"/>
        <w:iCs w:val="0"/>
        <w:strike w:val="0"/>
        <w:dstrike w:val="0"/>
        <w:color w:val="auto"/>
        <w:u w:val="none"/>
        <w:effect w:val="none"/>
      </w:rPr>
    </w:lvl>
    <w:lvl w:ilvl="1">
      <w:start w:val="1"/>
      <w:numFmt w:val="decimal"/>
      <w:pStyle w:val="111BodyList"/>
      <w:lvlText w:val="%1.%2."/>
      <w:lvlJc w:val="left"/>
      <w:pPr>
        <w:tabs>
          <w:tab w:val="num" w:pos="1305"/>
        </w:tabs>
        <w:ind w:left="1305" w:hanging="1021"/>
      </w:pPr>
      <w:rPr>
        <w:rFonts w:cs="Times New Roman"/>
        <w:b w:val="0"/>
        <w:bCs w:val="0"/>
        <w:i w:val="0"/>
        <w:iCs w:val="0"/>
        <w:caps w:val="0"/>
        <w:smallCaps w:val="0"/>
        <w:strike w:val="0"/>
        <w:dstrike w:val="0"/>
        <w:vanish w:val="0"/>
        <w:webHidden w:val="0"/>
        <w:color w:val="000000"/>
        <w:spacing w:val="0"/>
        <w:kern w:val="0"/>
        <w:position w:val="0"/>
        <w:u w:val="none"/>
        <w:effect w:val="none"/>
        <w:vertAlign w:val="baseline"/>
        <w:specVanish w:val="0"/>
      </w:rPr>
    </w:lvl>
    <w:lvl w:ilvl="2">
      <w:start w:val="1"/>
      <w:numFmt w:val="decimal"/>
      <w:pStyle w:val="111BodyList"/>
      <w:lvlText w:val="%1.%2.%3."/>
      <w:lvlJc w:val="left"/>
      <w:pPr>
        <w:tabs>
          <w:tab w:val="num" w:pos="1021"/>
        </w:tabs>
        <w:ind w:left="1021" w:hanging="1021"/>
      </w:pPr>
      <w:rPr>
        <w:rFonts w:ascii="Arial" w:hAnsi="Arial" w:cs="Times New Roman" w:hint="default"/>
        <w:b w:val="0"/>
        <w:bCs w:val="0"/>
        <w:i w:val="0"/>
        <w:iCs w:val="0"/>
        <w:strike w:val="0"/>
        <w:dstrike w:val="0"/>
        <w:color w:val="auto"/>
        <w:u w:val="none"/>
        <w:effect w:val="none"/>
      </w:rPr>
    </w:lvl>
    <w:lvl w:ilvl="3">
      <w:start w:val="1"/>
      <w:numFmt w:val="decimal"/>
      <w:lvlText w:val="%1.%2.%3.%4."/>
      <w:lvlJc w:val="left"/>
      <w:pPr>
        <w:tabs>
          <w:tab w:val="num" w:pos="1021"/>
        </w:tabs>
        <w:ind w:left="1021" w:hanging="1021"/>
      </w:pPr>
      <w:rPr>
        <w:rFonts w:ascii="Arial" w:hAnsi="Arial" w:cs="Times New Roman" w:hint="default"/>
        <w:b w:val="0"/>
        <w:bCs w:val="0"/>
        <w:i w:val="0"/>
        <w:iCs w:val="0"/>
        <w:strike w:val="0"/>
        <w:dstrike w:val="0"/>
        <w:color w:val="auto"/>
        <w:u w:val="none"/>
        <w:effect w:val="none"/>
      </w:rPr>
    </w:lvl>
    <w:lvl w:ilvl="4">
      <w:start w:val="1"/>
      <w:numFmt w:val="decimal"/>
      <w:lvlText w:val="%1.%2.%3.%4.%5."/>
      <w:lvlJc w:val="left"/>
      <w:pPr>
        <w:tabs>
          <w:tab w:val="num" w:pos="879"/>
        </w:tabs>
        <w:ind w:left="879" w:hanging="1021"/>
      </w:pPr>
      <w:rPr>
        <w:rFonts w:cs="Times New Roman"/>
      </w:rPr>
    </w:lvl>
    <w:lvl w:ilvl="5">
      <w:start w:val="1"/>
      <w:numFmt w:val="decimal"/>
      <w:lvlText w:val="%1.%2.%3.%4.%5.%6."/>
      <w:lvlJc w:val="left"/>
      <w:pPr>
        <w:ind w:left="2452" w:hanging="936"/>
      </w:pPr>
      <w:rPr>
        <w:rFonts w:cs="Times New Roman"/>
      </w:rPr>
    </w:lvl>
    <w:lvl w:ilvl="6">
      <w:start w:val="1"/>
      <w:numFmt w:val="decimal"/>
      <w:lvlText w:val="%1.%2.%3.%4.%5.%6.%7."/>
      <w:lvlJc w:val="left"/>
      <w:pPr>
        <w:ind w:left="2956" w:hanging="1080"/>
      </w:pPr>
      <w:rPr>
        <w:rFonts w:cs="Times New Roman"/>
      </w:rPr>
    </w:lvl>
    <w:lvl w:ilvl="7">
      <w:start w:val="1"/>
      <w:numFmt w:val="decimal"/>
      <w:lvlText w:val="%1.%2.%3.%4.%5.%6.%7.%8."/>
      <w:lvlJc w:val="left"/>
      <w:pPr>
        <w:ind w:left="3460" w:hanging="1224"/>
      </w:pPr>
      <w:rPr>
        <w:rFonts w:cs="Times New Roman"/>
      </w:rPr>
    </w:lvl>
    <w:lvl w:ilvl="8">
      <w:start w:val="1"/>
      <w:numFmt w:val="decimal"/>
      <w:lvlText w:val="%1.%2.%3.%4.%5.%6.%7.%8.%9."/>
      <w:lvlJc w:val="left"/>
      <w:pPr>
        <w:ind w:left="4036" w:hanging="1440"/>
      </w:pPr>
      <w:rPr>
        <w:rFonts w:cs="Times New Roman"/>
      </w:rPr>
    </w:lvl>
  </w:abstractNum>
  <w:abstractNum w:abstractNumId="6" w15:restartNumberingAfterBreak="0">
    <w:nsid w:val="08B5371D"/>
    <w:multiLevelType w:val="multilevel"/>
    <w:tmpl w:val="3A7C1BDE"/>
    <w:lvl w:ilvl="0">
      <w:start w:val="1"/>
      <w:numFmt w:val="decimal"/>
      <w:pStyle w:val="1Bodytext"/>
      <w:lvlText w:val="%1"/>
      <w:lvlJc w:val="left"/>
      <w:pPr>
        <w:tabs>
          <w:tab w:val="num" w:pos="794"/>
        </w:tabs>
        <w:ind w:left="794" w:hanging="794"/>
      </w:pPr>
      <w:rPr>
        <w:rFonts w:ascii="Arial" w:hAnsi="Arial" w:cs="Times New Roman" w:hint="default"/>
        <w:b/>
        <w:bCs/>
        <w:i w:val="0"/>
        <w:iCs w:val="0"/>
        <w:strike w:val="0"/>
        <w:dstrike w:val="0"/>
        <w:color w:val="auto"/>
        <w:sz w:val="20"/>
        <w:szCs w:val="20"/>
        <w:u w:val="none"/>
        <w:effect w:val="none"/>
      </w:rPr>
    </w:lvl>
    <w:lvl w:ilvl="1">
      <w:start w:val="1"/>
      <w:numFmt w:val="decimal"/>
      <w:pStyle w:val="1Bodytext"/>
      <w:lvlText w:val="5.%2"/>
      <w:lvlJc w:val="left"/>
      <w:pPr>
        <w:tabs>
          <w:tab w:val="num" w:pos="794"/>
        </w:tabs>
        <w:ind w:left="794" w:hanging="794"/>
      </w:pPr>
      <w:rPr>
        <w:b w:val="0"/>
        <w:bCs w:val="0"/>
        <w:i w:val="0"/>
        <w:iCs w:val="0"/>
        <w:strike w:val="0"/>
        <w:dstrike w:val="0"/>
        <w:color w:val="000000"/>
        <w:sz w:val="20"/>
        <w:szCs w:val="20"/>
        <w:u w:val="none"/>
        <w:effect w:val="none"/>
      </w:rPr>
    </w:lvl>
    <w:lvl w:ilvl="2">
      <w:start w:val="1"/>
      <w:numFmt w:val="decimal"/>
      <w:lvlRestart w:val="0"/>
      <w:lvlText w:val="%1.%2"/>
      <w:lvlJc w:val="left"/>
      <w:pPr>
        <w:tabs>
          <w:tab w:val="num" w:pos="794"/>
        </w:tabs>
        <w:ind w:left="794" w:hanging="794"/>
      </w:pPr>
      <w:rPr>
        <w:rFonts w:ascii="Arial" w:hAnsi="Arial" w:cs="Times New Roman" w:hint="default"/>
        <w:b w:val="0"/>
        <w:bCs w:val="0"/>
        <w:i w:val="0"/>
        <w:iCs w:val="0"/>
        <w:strike w:val="0"/>
        <w:dstrike w:val="0"/>
        <w:color w:val="auto"/>
        <w:sz w:val="20"/>
        <w:szCs w:val="20"/>
        <w:u w:val="none"/>
        <w:effect w:val="none"/>
      </w:rPr>
    </w:lvl>
    <w:lvl w:ilvl="3">
      <w:start w:val="1"/>
      <w:numFmt w:val="decimal"/>
      <w:lvlText w:val="%1.%2.%4"/>
      <w:lvlJc w:val="left"/>
      <w:pPr>
        <w:ind w:left="1870" w:hanging="1728"/>
      </w:pPr>
      <w:rPr>
        <w:rFonts w:ascii="Arial" w:hAnsi="Arial" w:cs="Times New Roman" w:hint="default"/>
        <w:b w:val="0"/>
        <w:bCs w:val="0"/>
        <w:i w:val="0"/>
        <w:iCs w:val="0"/>
        <w:strike w:val="0"/>
        <w:dstrike w:val="0"/>
        <w:color w:val="auto"/>
        <w:sz w:val="20"/>
        <w:szCs w:val="20"/>
        <w:u w:val="none"/>
        <w:effect w:val="none"/>
      </w:rPr>
    </w:lvl>
    <w:lvl w:ilvl="4">
      <w:start w:val="1"/>
      <w:numFmt w:val="decimal"/>
      <w:lvlText w:val="%1.%2.3"/>
      <w:lvlJc w:val="left"/>
      <w:pPr>
        <w:tabs>
          <w:tab w:val="num" w:pos="794"/>
        </w:tabs>
        <w:ind w:left="794" w:hanging="794"/>
      </w:pPr>
      <w:rPr>
        <w:rFonts w:ascii="Arial" w:hAnsi="Arial" w:cs="Times New Roman" w:hint="default"/>
        <w:b w:val="0"/>
        <w:bCs w:val="0"/>
        <w:i w:val="0"/>
        <w:iCs w:val="0"/>
        <w:sz w:val="20"/>
        <w:szCs w:val="20"/>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 w15:restartNumberingAfterBreak="0">
    <w:nsid w:val="14245D5B"/>
    <w:multiLevelType w:val="hybridMultilevel"/>
    <w:tmpl w:val="28326A0A"/>
    <w:lvl w:ilvl="0" w:tplc="AE742EC8">
      <w:start w:val="1"/>
      <w:numFmt w:val="bullet"/>
      <w:pStyle w:val="Reportlistbullet"/>
      <w:lvlText w:val=""/>
      <w:lvlJc w:val="left"/>
      <w:pPr>
        <w:tabs>
          <w:tab w:val="num" w:pos="1440"/>
        </w:tabs>
        <w:ind w:left="1440" w:hanging="72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6E804FA"/>
    <w:multiLevelType w:val="hybridMultilevel"/>
    <w:tmpl w:val="0BCE2B90"/>
    <w:lvl w:ilvl="0" w:tplc="D9B6DD6C">
      <w:start w:val="1"/>
      <w:numFmt w:val="decimal"/>
      <w:pStyle w:val="21"/>
      <w:lvlText w:val="2.%1"/>
      <w:lvlJc w:val="left"/>
      <w:pPr>
        <w:ind w:left="567" w:hanging="567"/>
      </w:pPr>
      <w:rPr>
        <w:b w:val="0"/>
        <w:i w:val="0"/>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C7E4C0B"/>
    <w:multiLevelType w:val="hybridMultilevel"/>
    <w:tmpl w:val="05B410D8"/>
    <w:lvl w:ilvl="0" w:tplc="08090001">
      <w:start w:val="1"/>
      <w:numFmt w:val="bullet"/>
      <w:lvlText w:val=""/>
      <w:lvlJc w:val="left"/>
      <w:pPr>
        <w:ind w:left="862" w:hanging="360"/>
      </w:pPr>
      <w:rPr>
        <w:rFonts w:ascii="Symbol" w:hAnsi="Symbol" w:hint="default"/>
      </w:rPr>
    </w:lvl>
    <w:lvl w:ilvl="1" w:tplc="08090003">
      <w:start w:val="1"/>
      <w:numFmt w:val="bullet"/>
      <w:lvlText w:val="o"/>
      <w:lvlJc w:val="left"/>
      <w:pPr>
        <w:ind w:left="1582" w:hanging="360"/>
      </w:pPr>
      <w:rPr>
        <w:rFonts w:ascii="Courier New" w:hAnsi="Courier New" w:cs="Courier New" w:hint="default"/>
      </w:rPr>
    </w:lvl>
    <w:lvl w:ilvl="2" w:tplc="08090005">
      <w:start w:val="1"/>
      <w:numFmt w:val="bullet"/>
      <w:lvlText w:val=""/>
      <w:lvlJc w:val="left"/>
      <w:pPr>
        <w:ind w:left="2302" w:hanging="360"/>
      </w:pPr>
      <w:rPr>
        <w:rFonts w:ascii="Wingdings" w:hAnsi="Wingdings" w:hint="default"/>
      </w:rPr>
    </w:lvl>
    <w:lvl w:ilvl="3" w:tplc="08090001">
      <w:start w:val="1"/>
      <w:numFmt w:val="bullet"/>
      <w:lvlText w:val=""/>
      <w:lvlJc w:val="left"/>
      <w:pPr>
        <w:ind w:left="3022" w:hanging="360"/>
      </w:pPr>
      <w:rPr>
        <w:rFonts w:ascii="Symbol" w:hAnsi="Symbol" w:hint="default"/>
      </w:rPr>
    </w:lvl>
    <w:lvl w:ilvl="4" w:tplc="08090003">
      <w:start w:val="1"/>
      <w:numFmt w:val="bullet"/>
      <w:lvlText w:val="o"/>
      <w:lvlJc w:val="left"/>
      <w:pPr>
        <w:ind w:left="3742" w:hanging="360"/>
      </w:pPr>
      <w:rPr>
        <w:rFonts w:ascii="Courier New" w:hAnsi="Courier New" w:cs="Courier New" w:hint="default"/>
      </w:rPr>
    </w:lvl>
    <w:lvl w:ilvl="5" w:tplc="08090005">
      <w:start w:val="1"/>
      <w:numFmt w:val="bullet"/>
      <w:lvlText w:val=""/>
      <w:lvlJc w:val="left"/>
      <w:pPr>
        <w:ind w:left="4462" w:hanging="360"/>
      </w:pPr>
      <w:rPr>
        <w:rFonts w:ascii="Wingdings" w:hAnsi="Wingdings" w:hint="default"/>
      </w:rPr>
    </w:lvl>
    <w:lvl w:ilvl="6" w:tplc="08090001">
      <w:start w:val="1"/>
      <w:numFmt w:val="bullet"/>
      <w:lvlText w:val=""/>
      <w:lvlJc w:val="left"/>
      <w:pPr>
        <w:ind w:left="5182" w:hanging="360"/>
      </w:pPr>
      <w:rPr>
        <w:rFonts w:ascii="Symbol" w:hAnsi="Symbol" w:hint="default"/>
      </w:rPr>
    </w:lvl>
    <w:lvl w:ilvl="7" w:tplc="08090003">
      <w:start w:val="1"/>
      <w:numFmt w:val="bullet"/>
      <w:lvlText w:val="o"/>
      <w:lvlJc w:val="left"/>
      <w:pPr>
        <w:ind w:left="5902" w:hanging="360"/>
      </w:pPr>
      <w:rPr>
        <w:rFonts w:ascii="Courier New" w:hAnsi="Courier New" w:cs="Courier New" w:hint="default"/>
      </w:rPr>
    </w:lvl>
    <w:lvl w:ilvl="8" w:tplc="08090005">
      <w:start w:val="1"/>
      <w:numFmt w:val="bullet"/>
      <w:lvlText w:val=""/>
      <w:lvlJc w:val="left"/>
      <w:pPr>
        <w:ind w:left="6622" w:hanging="360"/>
      </w:pPr>
      <w:rPr>
        <w:rFonts w:ascii="Wingdings" w:hAnsi="Wingdings" w:hint="default"/>
      </w:rPr>
    </w:lvl>
  </w:abstractNum>
  <w:abstractNum w:abstractNumId="10" w15:restartNumberingAfterBreak="0">
    <w:nsid w:val="1CC44AB0"/>
    <w:multiLevelType w:val="multilevel"/>
    <w:tmpl w:val="14AA1E12"/>
    <w:lvl w:ilvl="0">
      <w:start w:val="1"/>
      <w:numFmt w:val="bullet"/>
      <w:pStyle w:val="Bulletblueplain"/>
      <w:lvlText w:val=""/>
      <w:lvlJc w:val="left"/>
      <w:pPr>
        <w:tabs>
          <w:tab w:val="num" w:pos="1078"/>
        </w:tabs>
        <w:ind w:left="1077" w:hanging="283"/>
      </w:pPr>
      <w:rPr>
        <w:rFonts w:ascii="Symbol" w:hAnsi="Symbol" w:hint="default"/>
        <w:b w:val="0"/>
        <w:bCs w:val="0"/>
        <w:i w:val="0"/>
        <w:iCs w:val="0"/>
        <w:color w:val="0093D5"/>
        <w:sz w:val="20"/>
        <w:szCs w:val="20"/>
      </w:rPr>
    </w:lvl>
    <w:lvl w:ilvl="1">
      <w:start w:val="1"/>
      <w:numFmt w:val="bullet"/>
      <w:lvlText w:val="o"/>
      <w:lvlJc w:val="left"/>
      <w:pPr>
        <w:tabs>
          <w:tab w:val="num" w:pos="1362"/>
        </w:tabs>
        <w:ind w:left="1418" w:hanging="340"/>
      </w:pPr>
      <w:rPr>
        <w:rFonts w:ascii="Courier New" w:hAnsi="Courier New" w:cs="Times New Roman" w:hint="default"/>
      </w:rPr>
    </w:lvl>
    <w:lvl w:ilvl="2">
      <w:start w:val="1"/>
      <w:numFmt w:val="bullet"/>
      <w:lvlText w:val=""/>
      <w:lvlJc w:val="left"/>
      <w:pPr>
        <w:tabs>
          <w:tab w:val="num" w:pos="1646"/>
        </w:tabs>
        <w:ind w:left="1702" w:hanging="340"/>
      </w:pPr>
      <w:rPr>
        <w:rFonts w:ascii="Wingdings" w:hAnsi="Wingdings" w:hint="default"/>
      </w:rPr>
    </w:lvl>
    <w:lvl w:ilvl="3">
      <w:start w:val="1"/>
      <w:numFmt w:val="bullet"/>
      <w:lvlText w:val=""/>
      <w:lvlJc w:val="left"/>
      <w:pPr>
        <w:tabs>
          <w:tab w:val="num" w:pos="1930"/>
        </w:tabs>
        <w:ind w:left="1986" w:hanging="340"/>
      </w:pPr>
      <w:rPr>
        <w:rFonts w:ascii="Symbol" w:hAnsi="Symbol" w:hint="default"/>
      </w:rPr>
    </w:lvl>
    <w:lvl w:ilvl="4">
      <w:start w:val="1"/>
      <w:numFmt w:val="bullet"/>
      <w:lvlText w:val="o"/>
      <w:lvlJc w:val="left"/>
      <w:pPr>
        <w:tabs>
          <w:tab w:val="num" w:pos="2214"/>
        </w:tabs>
        <w:ind w:left="2270" w:hanging="340"/>
      </w:pPr>
      <w:rPr>
        <w:rFonts w:ascii="Courier New" w:hAnsi="Courier New" w:cs="Times New Roman" w:hint="default"/>
      </w:rPr>
    </w:lvl>
    <w:lvl w:ilvl="5">
      <w:start w:val="1"/>
      <w:numFmt w:val="bullet"/>
      <w:lvlText w:val=""/>
      <w:lvlJc w:val="left"/>
      <w:pPr>
        <w:tabs>
          <w:tab w:val="num" w:pos="2498"/>
        </w:tabs>
        <w:ind w:left="2554" w:hanging="340"/>
      </w:pPr>
      <w:rPr>
        <w:rFonts w:ascii="Wingdings" w:hAnsi="Wingdings" w:hint="default"/>
      </w:rPr>
    </w:lvl>
    <w:lvl w:ilvl="6">
      <w:start w:val="1"/>
      <w:numFmt w:val="bullet"/>
      <w:lvlText w:val=""/>
      <w:lvlJc w:val="left"/>
      <w:pPr>
        <w:tabs>
          <w:tab w:val="num" w:pos="2782"/>
        </w:tabs>
        <w:ind w:left="2838" w:hanging="340"/>
      </w:pPr>
      <w:rPr>
        <w:rFonts w:ascii="Symbol" w:hAnsi="Symbol" w:hint="default"/>
      </w:rPr>
    </w:lvl>
    <w:lvl w:ilvl="7">
      <w:start w:val="1"/>
      <w:numFmt w:val="bullet"/>
      <w:lvlText w:val="o"/>
      <w:lvlJc w:val="left"/>
      <w:pPr>
        <w:tabs>
          <w:tab w:val="num" w:pos="3066"/>
        </w:tabs>
        <w:ind w:left="3122" w:hanging="340"/>
      </w:pPr>
      <w:rPr>
        <w:rFonts w:ascii="Courier New" w:hAnsi="Courier New" w:cs="Times New Roman" w:hint="default"/>
      </w:rPr>
    </w:lvl>
    <w:lvl w:ilvl="8">
      <w:start w:val="1"/>
      <w:numFmt w:val="bullet"/>
      <w:lvlText w:val=""/>
      <w:lvlJc w:val="left"/>
      <w:pPr>
        <w:tabs>
          <w:tab w:val="num" w:pos="3350"/>
        </w:tabs>
        <w:ind w:left="3406" w:hanging="340"/>
      </w:pPr>
      <w:rPr>
        <w:rFonts w:ascii="Wingdings" w:hAnsi="Wingdings" w:hint="default"/>
      </w:rPr>
    </w:lvl>
  </w:abstractNum>
  <w:abstractNum w:abstractNumId="11" w15:restartNumberingAfterBreak="0">
    <w:nsid w:val="1CDA0D4E"/>
    <w:multiLevelType w:val="multilevel"/>
    <w:tmpl w:val="7BE2FE2A"/>
    <w:lvl w:ilvl="0">
      <w:start w:val="1"/>
      <w:numFmt w:val="decimal"/>
      <w:suff w:val="space"/>
      <w:lvlText w:val="Section %1:"/>
      <w:lvlJc w:val="left"/>
      <w:pPr>
        <w:ind w:left="5670" w:firstLine="0"/>
      </w:pPr>
      <w:rPr>
        <w:rFonts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Chapt"/>
      <w:lvlText w:val="%1.%2"/>
      <w:lvlJc w:val="left"/>
      <w:pPr>
        <w:tabs>
          <w:tab w:val="num" w:pos="199"/>
        </w:tabs>
        <w:ind w:left="505" w:hanging="363"/>
      </w:pPr>
      <w:rPr>
        <w:rFonts w:ascii="Calibri" w:hAnsi="Calibri" w:cs="Times New Roman" w:hint="default"/>
        <w:b w:val="0"/>
        <w:bCs w:val="0"/>
        <w:i w:val="0"/>
        <w:iCs w:val="0"/>
        <w:caps w:val="0"/>
        <w:smallCaps w:val="0"/>
        <w:strike w:val="0"/>
        <w:dstrike w:val="0"/>
        <w:color w:val="auto"/>
        <w:spacing w:val="0"/>
        <w:w w:val="100"/>
        <w:kern w:val="0"/>
        <w:position w:val="0"/>
        <w:sz w:val="22"/>
        <w:szCs w:val="22"/>
        <w:u w:val="none"/>
        <w:effect w:val="none"/>
        <w:bdr w:val="none" w:sz="0" w:space="0" w:color="auto" w:frame="1"/>
        <w:vertAlign w:val="superscript"/>
        <w:em w:val="none"/>
      </w:rPr>
    </w:lvl>
    <w:lvl w:ilvl="2">
      <w:start w:val="1"/>
      <w:numFmt w:val="decimal"/>
      <w:lvlText w:val="%1.%2.%3"/>
      <w:lvlJc w:val="left"/>
      <w:pPr>
        <w:tabs>
          <w:tab w:val="num" w:pos="360"/>
        </w:tabs>
        <w:ind w:left="284" w:firstLine="0"/>
      </w:pPr>
    </w:lvl>
    <w:lvl w:ilvl="3">
      <w:start w:val="1"/>
      <w:numFmt w:val="decimal"/>
      <w:lvlText w:val="%1.%2.%3.%4."/>
      <w:lvlJc w:val="left"/>
      <w:pPr>
        <w:tabs>
          <w:tab w:val="num" w:pos="360"/>
        </w:tabs>
        <w:ind w:left="284" w:firstLine="0"/>
      </w:pPr>
    </w:lvl>
    <w:lvl w:ilvl="4">
      <w:start w:val="1"/>
      <w:numFmt w:val="decimal"/>
      <w:lvlText w:val="%1.%2.%3.%4.%5."/>
      <w:lvlJc w:val="left"/>
      <w:pPr>
        <w:tabs>
          <w:tab w:val="num" w:pos="360"/>
        </w:tabs>
        <w:ind w:left="284" w:firstLine="0"/>
      </w:pPr>
    </w:lvl>
    <w:lvl w:ilvl="5">
      <w:start w:val="1"/>
      <w:numFmt w:val="decimal"/>
      <w:lvlText w:val="%1.%2.%3.%4.%5.%6."/>
      <w:lvlJc w:val="left"/>
      <w:pPr>
        <w:tabs>
          <w:tab w:val="num" w:pos="360"/>
        </w:tabs>
        <w:ind w:left="284" w:firstLine="0"/>
      </w:pPr>
    </w:lvl>
    <w:lvl w:ilvl="6">
      <w:start w:val="1"/>
      <w:numFmt w:val="decimal"/>
      <w:lvlText w:val="%1.%2.%3.%4.%5.%6.%7."/>
      <w:lvlJc w:val="left"/>
      <w:pPr>
        <w:tabs>
          <w:tab w:val="num" w:pos="360"/>
        </w:tabs>
        <w:ind w:left="284" w:firstLine="0"/>
      </w:pPr>
    </w:lvl>
    <w:lvl w:ilvl="7">
      <w:start w:val="1"/>
      <w:numFmt w:val="decimal"/>
      <w:lvlText w:val="%1.%2.%3.%4.%5.%6.%7.%8."/>
      <w:lvlJc w:val="left"/>
      <w:pPr>
        <w:tabs>
          <w:tab w:val="num" w:pos="360"/>
        </w:tabs>
        <w:ind w:left="284" w:firstLine="0"/>
      </w:pPr>
    </w:lvl>
    <w:lvl w:ilvl="8">
      <w:start w:val="1"/>
      <w:numFmt w:val="decimal"/>
      <w:lvlText w:val="%1.%2.%3.%4.%5.%6.%7.%8.%9."/>
      <w:lvlJc w:val="left"/>
      <w:pPr>
        <w:tabs>
          <w:tab w:val="num" w:pos="360"/>
        </w:tabs>
        <w:ind w:left="284" w:firstLine="0"/>
      </w:pPr>
    </w:lvl>
  </w:abstractNum>
  <w:abstractNum w:abstractNumId="12" w15:restartNumberingAfterBreak="0">
    <w:nsid w:val="1CFC250A"/>
    <w:multiLevelType w:val="hybridMultilevel"/>
    <w:tmpl w:val="37E6EB4C"/>
    <w:lvl w:ilvl="0" w:tplc="6534D8F2">
      <w:start w:val="1"/>
      <w:numFmt w:val="bullet"/>
      <w:lvlText w:val=""/>
      <w:lvlJc w:val="left"/>
      <w:pPr>
        <w:tabs>
          <w:tab w:val="num" w:pos="720"/>
        </w:tabs>
        <w:ind w:left="720" w:hanging="360"/>
      </w:pPr>
      <w:rPr>
        <w:rFonts w:ascii="Symbol" w:hAnsi="Symbol" w:hint="default"/>
        <w:color w:val="auto"/>
      </w:rPr>
    </w:lvl>
    <w:lvl w:ilvl="1" w:tplc="08090003">
      <w:start w:val="1"/>
      <w:numFmt w:val="bullet"/>
      <w:pStyle w:val="ReportTex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1101BAF"/>
    <w:multiLevelType w:val="hybridMultilevel"/>
    <w:tmpl w:val="618EF5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71C1833"/>
    <w:multiLevelType w:val="multilevel"/>
    <w:tmpl w:val="50565C30"/>
    <w:lvl w:ilvl="0">
      <w:start w:val="1"/>
      <w:numFmt w:val="lowerLetter"/>
      <w:pStyle w:val="Listinga-i"/>
      <w:lvlText w:val="%1."/>
      <w:lvlJc w:val="left"/>
      <w:pPr>
        <w:ind w:left="1077" w:hanging="283"/>
      </w:pPr>
      <w:rPr>
        <w:rFonts w:ascii="Arial" w:hAnsi="Arial" w:cs="Times New Roman" w:hint="default"/>
        <w:b w:val="0"/>
        <w:i w:val="0"/>
        <w:sz w:val="20"/>
      </w:rPr>
    </w:lvl>
    <w:lvl w:ilvl="1">
      <w:start w:val="1"/>
      <w:numFmt w:val="lowerRoman"/>
      <w:lvlText w:val="%2."/>
      <w:lvlJc w:val="left"/>
      <w:pPr>
        <w:ind w:left="1361" w:hanging="283"/>
      </w:pPr>
    </w:lvl>
    <w:lvl w:ilvl="2">
      <w:start w:val="1"/>
      <w:numFmt w:val="bullet"/>
      <w:lvlText w:val=""/>
      <w:lvlJc w:val="left"/>
      <w:pPr>
        <w:ind w:left="1645" w:hanging="283"/>
      </w:pPr>
      <w:rPr>
        <w:rFonts w:ascii="Symbol" w:hAnsi="Symbol" w:hint="default"/>
      </w:rPr>
    </w:lvl>
    <w:lvl w:ilvl="3">
      <w:start w:val="1"/>
      <w:numFmt w:val="bullet"/>
      <w:lvlText w:val=""/>
      <w:lvlJc w:val="left"/>
      <w:pPr>
        <w:ind w:left="1929" w:hanging="283"/>
      </w:pPr>
      <w:rPr>
        <w:rFonts w:ascii="Symbol" w:hAnsi="Symbol" w:hint="default"/>
        <w:color w:val="0093D5"/>
      </w:rPr>
    </w:lvl>
    <w:lvl w:ilvl="4">
      <w:start w:val="1"/>
      <w:numFmt w:val="lowerLetter"/>
      <w:lvlText w:val="%5."/>
      <w:lvlJc w:val="left"/>
      <w:pPr>
        <w:ind w:left="2213" w:hanging="283"/>
      </w:pPr>
    </w:lvl>
    <w:lvl w:ilvl="5">
      <w:start w:val="1"/>
      <w:numFmt w:val="lowerRoman"/>
      <w:lvlText w:val="%6."/>
      <w:lvlJc w:val="right"/>
      <w:pPr>
        <w:ind w:left="2497" w:hanging="283"/>
      </w:pPr>
    </w:lvl>
    <w:lvl w:ilvl="6">
      <w:start w:val="1"/>
      <w:numFmt w:val="decimal"/>
      <w:lvlText w:val="%7."/>
      <w:lvlJc w:val="left"/>
      <w:pPr>
        <w:ind w:left="2781" w:hanging="283"/>
      </w:pPr>
    </w:lvl>
    <w:lvl w:ilvl="7">
      <w:start w:val="1"/>
      <w:numFmt w:val="lowerLetter"/>
      <w:lvlText w:val="%8."/>
      <w:lvlJc w:val="left"/>
      <w:pPr>
        <w:ind w:left="3065" w:hanging="283"/>
      </w:pPr>
    </w:lvl>
    <w:lvl w:ilvl="8">
      <w:start w:val="1"/>
      <w:numFmt w:val="lowerRoman"/>
      <w:lvlText w:val="%9."/>
      <w:lvlJc w:val="right"/>
      <w:pPr>
        <w:ind w:left="3349" w:hanging="283"/>
      </w:pPr>
    </w:lvl>
  </w:abstractNum>
  <w:abstractNum w:abstractNumId="15" w15:restartNumberingAfterBreak="0">
    <w:nsid w:val="29584335"/>
    <w:multiLevelType w:val="multilevel"/>
    <w:tmpl w:val="91365848"/>
    <w:lvl w:ilvl="0">
      <w:start w:val="1"/>
      <w:numFmt w:val="decimal"/>
      <w:pStyle w:val="Tableheading"/>
      <w:lvlText w:val="Table %1:"/>
      <w:lvlJc w:val="left"/>
      <w:pPr>
        <w:ind w:left="1154" w:hanging="360"/>
      </w:pPr>
      <w:rPr>
        <w:rFonts w:ascii="Arial Bold" w:hAnsi="Arial Bold" w:cs="Arial Bold" w:hint="default"/>
        <w:b/>
        <w:bCs/>
        <w:i w:val="0"/>
        <w:iCs w:val="0"/>
        <w:strike w:val="0"/>
        <w:dstrike w:val="0"/>
        <w:color w:val="auto"/>
        <w:sz w:val="20"/>
        <w:u w:val="none"/>
        <w:effect w:val="none"/>
      </w:rPr>
    </w:lvl>
    <w:lvl w:ilvl="1">
      <w:start w:val="1"/>
      <w:numFmt w:val="decimal"/>
      <w:lvlText w:val="%1.%2."/>
      <w:lvlJc w:val="left"/>
      <w:pPr>
        <w:tabs>
          <w:tab w:val="num" w:pos="1021"/>
        </w:tabs>
        <w:ind w:left="1021" w:hanging="1021"/>
      </w:pPr>
      <w:rPr>
        <w:rFonts w:ascii="Arial" w:hAnsi="Arial" w:cs="Times New Roman" w:hint="default"/>
        <w:b w:val="0"/>
        <w:bCs w:val="0"/>
        <w:i w:val="0"/>
        <w:iCs w:val="0"/>
        <w:strike w:val="0"/>
        <w:dstrike w:val="0"/>
        <w:color w:val="000000"/>
        <w:u w:val="none"/>
        <w:effect w:val="none"/>
      </w:rPr>
    </w:lvl>
    <w:lvl w:ilvl="2">
      <w:start w:val="1"/>
      <w:numFmt w:val="decimal"/>
      <w:lvlText w:val="%1.%2.%3."/>
      <w:lvlJc w:val="left"/>
      <w:pPr>
        <w:tabs>
          <w:tab w:val="num" w:pos="1021"/>
        </w:tabs>
        <w:ind w:left="1021" w:hanging="1021"/>
      </w:pPr>
      <w:rPr>
        <w:rFonts w:ascii="Arial" w:hAnsi="Arial" w:cs="Times New Roman" w:hint="default"/>
        <w:b w:val="0"/>
        <w:bCs w:val="0"/>
        <w:i w:val="0"/>
        <w:iCs w:val="0"/>
        <w:strike w:val="0"/>
        <w:dstrike w:val="0"/>
        <w:color w:val="auto"/>
        <w:u w:val="none"/>
        <w:effect w:val="none"/>
      </w:rPr>
    </w:lvl>
    <w:lvl w:ilvl="3">
      <w:start w:val="1"/>
      <w:numFmt w:val="decimal"/>
      <w:lvlText w:val="%1.%2.%3.%4."/>
      <w:lvlJc w:val="left"/>
      <w:pPr>
        <w:tabs>
          <w:tab w:val="num" w:pos="1021"/>
        </w:tabs>
        <w:ind w:left="1021" w:hanging="1021"/>
      </w:pPr>
      <w:rPr>
        <w:rFonts w:ascii="Arial" w:hAnsi="Arial" w:cs="Times New Roman" w:hint="default"/>
        <w:b w:val="0"/>
        <w:bCs w:val="0"/>
        <w:i w:val="0"/>
        <w:iCs w:val="0"/>
        <w:strike w:val="0"/>
        <w:dstrike w:val="0"/>
        <w:color w:val="auto"/>
        <w:u w:val="none"/>
        <w:effect w:val="none"/>
      </w:rPr>
    </w:lvl>
    <w:lvl w:ilvl="4">
      <w:start w:val="1"/>
      <w:numFmt w:val="decimal"/>
      <w:lvlText w:val="%1.%2.%3.%4.%5."/>
      <w:lvlJc w:val="left"/>
      <w:pPr>
        <w:tabs>
          <w:tab w:val="num" w:pos="879"/>
        </w:tabs>
        <w:ind w:left="879" w:hanging="1021"/>
      </w:pPr>
    </w:lvl>
    <w:lvl w:ilvl="5">
      <w:start w:val="1"/>
      <w:numFmt w:val="decimal"/>
      <w:lvlText w:val="%1.%2.%3.%4.%5.%6."/>
      <w:lvlJc w:val="left"/>
      <w:pPr>
        <w:ind w:left="2452" w:hanging="936"/>
      </w:pPr>
    </w:lvl>
    <w:lvl w:ilvl="6">
      <w:start w:val="1"/>
      <w:numFmt w:val="decimal"/>
      <w:lvlText w:val="%1.%2.%3.%4.%5.%6.%7."/>
      <w:lvlJc w:val="left"/>
      <w:pPr>
        <w:ind w:left="2956" w:hanging="1080"/>
      </w:pPr>
    </w:lvl>
    <w:lvl w:ilvl="7">
      <w:start w:val="1"/>
      <w:numFmt w:val="decimal"/>
      <w:lvlText w:val="%1.%2.%3.%4.%5.%6.%7.%8."/>
      <w:lvlJc w:val="left"/>
      <w:pPr>
        <w:ind w:left="3460" w:hanging="1224"/>
      </w:pPr>
    </w:lvl>
    <w:lvl w:ilvl="8">
      <w:start w:val="1"/>
      <w:numFmt w:val="decimal"/>
      <w:lvlText w:val="%1.%2.%3.%4.%5.%6.%7.%8.%9."/>
      <w:lvlJc w:val="left"/>
      <w:pPr>
        <w:ind w:left="4036" w:hanging="1440"/>
      </w:pPr>
    </w:lvl>
  </w:abstractNum>
  <w:abstractNum w:abstractNumId="16" w15:restartNumberingAfterBreak="0">
    <w:nsid w:val="2B976CFF"/>
    <w:multiLevelType w:val="hybridMultilevel"/>
    <w:tmpl w:val="6FFC8A60"/>
    <w:lvl w:ilvl="0" w:tplc="1764AF8E">
      <w:start w:val="1"/>
      <w:numFmt w:val="upperLetter"/>
      <w:pStyle w:val="Appendices"/>
      <w:lvlText w:val="APPENDIX %1:"/>
      <w:lvlJc w:val="left"/>
      <w:pPr>
        <w:tabs>
          <w:tab w:val="num" w:pos="794"/>
        </w:tabs>
        <w:ind w:left="794" w:hanging="794"/>
      </w:pPr>
      <w:rPr>
        <w:rFonts w:ascii="Arial Bold" w:hAnsi="Arial Bold" w:cs="Arial Bold" w:hint="default"/>
        <w:b/>
        <w:i w:val="0"/>
        <w:caps/>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E9D73BB"/>
    <w:multiLevelType w:val="multilevel"/>
    <w:tmpl w:val="90BE5FB6"/>
    <w:lvl w:ilvl="0">
      <w:start w:val="1"/>
      <w:numFmt w:val="decimal"/>
      <w:lvlText w:val="%1"/>
      <w:lvlJc w:val="left"/>
      <w:pPr>
        <w:tabs>
          <w:tab w:val="num" w:pos="720"/>
        </w:tabs>
        <w:ind w:left="720" w:hanging="720"/>
      </w:pPr>
    </w:lvl>
    <w:lvl w:ilvl="1">
      <w:start w:val="1"/>
      <w:numFmt w:val="decimal"/>
      <w:lvlText w:val="2.%2"/>
      <w:lvlJc w:val="left"/>
      <w:pPr>
        <w:tabs>
          <w:tab w:val="num" w:pos="720"/>
        </w:tabs>
        <w:ind w:left="720" w:hanging="720"/>
      </w:pPr>
    </w:lvl>
    <w:lvl w:ilvl="2">
      <w:start w:val="1"/>
      <w:numFmt w:val="decimal"/>
      <w:pStyle w:val="BlueBullet"/>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8" w15:restartNumberingAfterBreak="0">
    <w:nsid w:val="301E3869"/>
    <w:multiLevelType w:val="hybridMultilevel"/>
    <w:tmpl w:val="CAC22B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30597F1A"/>
    <w:multiLevelType w:val="multilevel"/>
    <w:tmpl w:val="554835FE"/>
    <w:lvl w:ilvl="0">
      <w:start w:val="1"/>
      <w:numFmt w:val="lowerLetter"/>
      <w:pStyle w:val="Quotelistinga"/>
      <w:lvlText w:val="%1."/>
      <w:lvlJc w:val="left"/>
      <w:pPr>
        <w:tabs>
          <w:tab w:val="num" w:pos="907"/>
        </w:tabs>
        <w:ind w:left="1077" w:hanging="283"/>
      </w:pPr>
      <w:rPr>
        <w:rFonts w:ascii="Arial" w:hAnsi="Arial" w:cs="Times New Roman" w:hint="default"/>
        <w:b w:val="0"/>
        <w:i w:val="0"/>
        <w:sz w:val="20"/>
      </w:rPr>
    </w:lvl>
    <w:lvl w:ilvl="1">
      <w:start w:val="1"/>
      <w:numFmt w:val="lowerRoman"/>
      <w:pStyle w:val="Quotelistingi"/>
      <w:lvlText w:val="%2."/>
      <w:lvlJc w:val="left"/>
      <w:pPr>
        <w:ind w:left="1077" w:hanging="283"/>
      </w:pPr>
      <w:rPr>
        <w:rFonts w:ascii="Arial" w:hAnsi="Arial" w:cs="Times New Roman" w:hint="default"/>
        <w:b w:val="0"/>
        <w:i w:val="0"/>
        <w:sz w:val="2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21B64AD"/>
    <w:multiLevelType w:val="hybridMultilevel"/>
    <w:tmpl w:val="35BCC4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35000DA5"/>
    <w:multiLevelType w:val="hybridMultilevel"/>
    <w:tmpl w:val="C2E6820C"/>
    <w:lvl w:ilvl="0" w:tplc="71C8809C">
      <w:start w:val="1"/>
      <w:numFmt w:val="decimal"/>
      <w:pStyle w:val="headmainnumbered"/>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3B4223B1"/>
    <w:multiLevelType w:val="hybridMultilevel"/>
    <w:tmpl w:val="D946F9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3DB03D39"/>
    <w:multiLevelType w:val="multilevel"/>
    <w:tmpl w:val="29F63E3A"/>
    <w:lvl w:ilvl="0">
      <w:start w:val="4"/>
      <w:numFmt w:val="decimal"/>
      <w:pStyle w:val="BulletORANGE"/>
      <w:lvlText w:val="%1"/>
      <w:lvlJc w:val="left"/>
      <w:pPr>
        <w:tabs>
          <w:tab w:val="num" w:pos="720"/>
        </w:tabs>
        <w:ind w:left="720" w:hanging="720"/>
      </w:pPr>
    </w:lvl>
    <w:lvl w:ilvl="1">
      <w:start w:val="55"/>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4" w15:restartNumberingAfterBreak="0">
    <w:nsid w:val="40990034"/>
    <w:multiLevelType w:val="multilevel"/>
    <w:tmpl w:val="611865D0"/>
    <w:lvl w:ilvl="0">
      <w:start w:val="1"/>
      <w:numFmt w:val="decimal"/>
      <w:lvlText w:val="%1."/>
      <w:lvlJc w:val="left"/>
      <w:pPr>
        <w:ind w:left="0" w:hanging="1134"/>
      </w:pPr>
      <w:rPr>
        <w:rFonts w:ascii="Arial Bold" w:hAnsi="Arial Bold" w:hint="default"/>
        <w:b/>
        <w:bCs w:val="0"/>
        <w:i w:val="0"/>
        <w:iCs w:val="0"/>
        <w:caps w:val="0"/>
        <w:smallCaps w:val="0"/>
        <w:strike w:val="0"/>
        <w:dstrike w:val="0"/>
        <w:noProof w:val="0"/>
        <w:vanish w:val="0"/>
        <w:color w:val="000000" w:themeColor="text1"/>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134"/>
        </w:tabs>
        <w:ind w:left="1134" w:hanging="1134"/>
      </w:pPr>
      <w:rPr>
        <w:rFonts w:hint="default"/>
      </w:rPr>
    </w:lvl>
    <w:lvl w:ilvl="2">
      <w:start w:val="1"/>
      <w:numFmt w:val="decimal"/>
      <w:lvlRestart w:val="1"/>
      <w:lvlText w:val="Table %1.%3"/>
      <w:lvlJc w:val="left"/>
      <w:pPr>
        <w:ind w:left="4679" w:hanging="1134"/>
      </w:pPr>
      <w:rPr>
        <w:rFonts w:hint="default"/>
      </w:rPr>
    </w:lvl>
    <w:lvl w:ilvl="3">
      <w:start w:val="1"/>
      <w:numFmt w:val="decimal"/>
      <w:lvlRestart w:val="1"/>
      <w:lvlText w:val="A%4."/>
      <w:lvlJc w:val="left"/>
      <w:pPr>
        <w:ind w:left="993" w:firstLine="0"/>
      </w:pPr>
      <w:rPr>
        <w:rFonts w:hint="default"/>
      </w:rPr>
    </w:lvl>
    <w:lvl w:ilvl="4">
      <w:start w:val="1"/>
      <w:numFmt w:val="decimal"/>
      <w:lvlText w:val="A%4.%5"/>
      <w:lvlJc w:val="left"/>
      <w:pPr>
        <w:ind w:left="0" w:firstLine="0"/>
      </w:pPr>
      <w:rPr>
        <w:rFonts w:hint="default"/>
      </w:rPr>
    </w:lvl>
    <w:lvl w:ilvl="5">
      <w:start w:val="1"/>
      <w:numFmt w:val="decimal"/>
      <w:lvlRestart w:val="4"/>
      <w:lvlText w:val="Table A%4.%6"/>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5" w15:restartNumberingAfterBreak="0">
    <w:nsid w:val="41B3449C"/>
    <w:multiLevelType w:val="multilevel"/>
    <w:tmpl w:val="870EAFC6"/>
    <w:lvl w:ilvl="0">
      <w:start w:val="1"/>
      <w:numFmt w:val="decimal"/>
      <w:lvlText w:val="%1."/>
      <w:lvlJc w:val="left"/>
      <w:pPr>
        <w:ind w:left="0" w:hanging="1134"/>
      </w:pPr>
      <w:rPr>
        <w:rFonts w:ascii="Arial Bold" w:hAnsi="Arial Bold" w:hint="default"/>
        <w:b/>
        <w:bCs w:val="0"/>
        <w:i w:val="0"/>
        <w:iCs w:val="0"/>
        <w:caps w:val="0"/>
        <w:smallCaps w:val="0"/>
        <w:strike w:val="0"/>
        <w:dstrike w:val="0"/>
        <w:noProof w:val="0"/>
        <w:vanish w:val="0"/>
        <w:color w:val="000000" w:themeColor="text1"/>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134"/>
        </w:tabs>
        <w:ind w:left="1134" w:hanging="1134"/>
      </w:pPr>
      <w:rPr>
        <w:rFonts w:hint="default"/>
      </w:rPr>
    </w:lvl>
    <w:lvl w:ilvl="2">
      <w:start w:val="1"/>
      <w:numFmt w:val="decimal"/>
      <w:lvlRestart w:val="1"/>
      <w:lvlText w:val="Table %1.%3"/>
      <w:lvlJc w:val="left"/>
      <w:pPr>
        <w:ind w:left="4679" w:hanging="1134"/>
      </w:pPr>
      <w:rPr>
        <w:rFonts w:hint="default"/>
      </w:rPr>
    </w:lvl>
    <w:lvl w:ilvl="3">
      <w:start w:val="1"/>
      <w:numFmt w:val="decimal"/>
      <w:lvlRestart w:val="1"/>
      <w:lvlText w:val="A%4."/>
      <w:lvlJc w:val="left"/>
      <w:pPr>
        <w:ind w:left="993" w:firstLine="0"/>
      </w:pPr>
      <w:rPr>
        <w:rFonts w:hint="default"/>
      </w:rPr>
    </w:lvl>
    <w:lvl w:ilvl="4">
      <w:start w:val="1"/>
      <w:numFmt w:val="decimal"/>
      <w:lvlText w:val="A%4.%5"/>
      <w:lvlJc w:val="left"/>
      <w:pPr>
        <w:ind w:left="0" w:firstLine="0"/>
      </w:pPr>
      <w:rPr>
        <w:rFonts w:hint="default"/>
      </w:rPr>
    </w:lvl>
    <w:lvl w:ilvl="5">
      <w:start w:val="1"/>
      <w:numFmt w:val="decimal"/>
      <w:lvlRestart w:val="4"/>
      <w:lvlText w:val="Table A%4.%6"/>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6" w15:restartNumberingAfterBreak="0">
    <w:nsid w:val="43FF5DCC"/>
    <w:multiLevelType w:val="hybridMultilevel"/>
    <w:tmpl w:val="3AFE72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459E0997"/>
    <w:multiLevelType w:val="hybridMultilevel"/>
    <w:tmpl w:val="3D6259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4D974CC9"/>
    <w:multiLevelType w:val="multilevel"/>
    <w:tmpl w:val="913AFB3A"/>
    <w:lvl w:ilvl="0">
      <w:start w:val="1"/>
      <w:numFmt w:val="decimal"/>
      <w:pStyle w:val="QuoteBulletBlack"/>
      <w:lvlText w:val="%1."/>
      <w:lvlJc w:val="left"/>
      <w:pPr>
        <w:tabs>
          <w:tab w:val="num" w:pos="870"/>
        </w:tabs>
        <w:ind w:left="870" w:hanging="870"/>
      </w:pPr>
    </w:lvl>
    <w:lvl w:ilvl="1">
      <w:start w:val="1"/>
      <w:numFmt w:val="decimal"/>
      <w:pStyle w:val="Reportsourceundertable"/>
      <w:lvlText w:val="%1.%2."/>
      <w:lvlJc w:val="left"/>
      <w:pPr>
        <w:tabs>
          <w:tab w:val="num" w:pos="867"/>
        </w:tabs>
        <w:ind w:left="867" w:hanging="867"/>
      </w:pPr>
    </w:lvl>
    <w:lvl w:ilvl="2">
      <w:start w:val="1"/>
      <w:numFmt w:val="decimal"/>
      <w:lvlText w:val="%1.%2.%3."/>
      <w:lvlJc w:val="left"/>
      <w:pPr>
        <w:tabs>
          <w:tab w:val="num" w:pos="867"/>
        </w:tabs>
        <w:ind w:left="867" w:hanging="867"/>
      </w:pPr>
    </w:lvl>
    <w:lvl w:ilvl="3">
      <w:start w:val="1"/>
      <w:numFmt w:val="decimal"/>
      <w:lvlText w:val="%1.%2.%3.%4."/>
      <w:lvlJc w:val="left"/>
      <w:pPr>
        <w:tabs>
          <w:tab w:val="num" w:pos="867"/>
        </w:tabs>
        <w:ind w:left="867" w:hanging="867"/>
      </w:pPr>
    </w:lvl>
    <w:lvl w:ilvl="4">
      <w:start w:val="1"/>
      <w:numFmt w:val="decimal"/>
      <w:lvlText w:val="%1.%2.%3.%4.%5."/>
      <w:lvlJc w:val="left"/>
      <w:pPr>
        <w:tabs>
          <w:tab w:val="num" w:pos="3030"/>
        </w:tabs>
        <w:ind w:left="2742" w:hanging="792"/>
      </w:pPr>
    </w:lvl>
    <w:lvl w:ilvl="5">
      <w:start w:val="1"/>
      <w:numFmt w:val="decimal"/>
      <w:lvlText w:val="%1.%2.%3.%4.%5.%6."/>
      <w:lvlJc w:val="left"/>
      <w:pPr>
        <w:tabs>
          <w:tab w:val="num" w:pos="3750"/>
        </w:tabs>
        <w:ind w:left="3246" w:hanging="936"/>
      </w:pPr>
    </w:lvl>
    <w:lvl w:ilvl="6">
      <w:start w:val="1"/>
      <w:numFmt w:val="decimal"/>
      <w:lvlText w:val="%1.%2.%3.%4.%5.%6.%7."/>
      <w:lvlJc w:val="left"/>
      <w:pPr>
        <w:tabs>
          <w:tab w:val="num" w:pos="4470"/>
        </w:tabs>
        <w:ind w:left="3750" w:hanging="1080"/>
      </w:pPr>
    </w:lvl>
    <w:lvl w:ilvl="7">
      <w:start w:val="1"/>
      <w:numFmt w:val="decimal"/>
      <w:lvlText w:val="%1.%2.%3.%4.%5.%6.%7.%8."/>
      <w:lvlJc w:val="left"/>
      <w:pPr>
        <w:tabs>
          <w:tab w:val="num" w:pos="4830"/>
        </w:tabs>
        <w:ind w:left="4254" w:hanging="1224"/>
      </w:pPr>
    </w:lvl>
    <w:lvl w:ilvl="8">
      <w:start w:val="1"/>
      <w:numFmt w:val="decimal"/>
      <w:lvlText w:val="%1.%2.%3.%4.%5.%6.%7.%8.%9."/>
      <w:lvlJc w:val="left"/>
      <w:pPr>
        <w:tabs>
          <w:tab w:val="num" w:pos="5550"/>
        </w:tabs>
        <w:ind w:left="4830" w:hanging="1440"/>
      </w:pPr>
    </w:lvl>
  </w:abstractNum>
  <w:abstractNum w:abstractNumId="29" w15:restartNumberingAfterBreak="0">
    <w:nsid w:val="4F3618A2"/>
    <w:multiLevelType w:val="hybridMultilevel"/>
    <w:tmpl w:val="E3723222"/>
    <w:lvl w:ilvl="0" w:tplc="9E827430">
      <w:start w:val="1"/>
      <w:numFmt w:val="decimal"/>
      <w:pStyle w:val="SPRUTables"/>
      <w:lvlText w:val="Table %1."/>
      <w:lvlJc w:val="left"/>
      <w:pPr>
        <w:ind w:left="1097" w:hanging="360"/>
      </w:pPr>
      <w:rPr>
        <w:rFonts w:ascii="Arial Bold" w:hAnsi="Arial Bold" w:cs="Times New Roman" w:hint="default"/>
        <w:b/>
        <w:i w:val="0"/>
        <w:caps w:val="0"/>
        <w:strike w:val="0"/>
        <w:dstrike w:val="0"/>
        <w:vanish w:val="0"/>
        <w:webHidden w:val="0"/>
        <w:color w:val="auto"/>
        <w:sz w:val="20"/>
        <w:u w:val="none"/>
        <w:effect w:val="none"/>
        <w:vertAlign w:val="baseline"/>
        <w:specVanish w:val="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0" w15:restartNumberingAfterBreak="0">
    <w:nsid w:val="564E4166"/>
    <w:multiLevelType w:val="hybridMultilevel"/>
    <w:tmpl w:val="2B78E4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5AB1708A"/>
    <w:multiLevelType w:val="hybridMultilevel"/>
    <w:tmpl w:val="629420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5D9737C5"/>
    <w:multiLevelType w:val="hybridMultilevel"/>
    <w:tmpl w:val="E7C031E4"/>
    <w:lvl w:ilvl="0" w:tplc="71D8F5BC">
      <w:start w:val="1"/>
      <w:numFmt w:val="bullet"/>
      <w:pStyle w:val="10BulletBodytext"/>
      <w:lvlText w:val=""/>
      <w:lvlJc w:val="left"/>
      <w:pPr>
        <w:ind w:left="1211" w:hanging="360"/>
      </w:pPr>
      <w:rPr>
        <w:rFonts w:ascii="Symbol" w:hAnsi="Symbol" w:hint="default"/>
        <w:color w:val="009DDF"/>
      </w:rPr>
    </w:lvl>
    <w:lvl w:ilvl="1" w:tplc="08090019">
      <w:start w:val="1"/>
      <w:numFmt w:val="bullet"/>
      <w:lvlText w:val="o"/>
      <w:lvlJc w:val="left"/>
      <w:pPr>
        <w:ind w:left="2008" w:hanging="360"/>
      </w:pPr>
      <w:rPr>
        <w:rFonts w:ascii="Courier New" w:hAnsi="Courier New" w:cs="Times New Roman" w:hint="default"/>
      </w:rPr>
    </w:lvl>
    <w:lvl w:ilvl="2" w:tplc="0809001B">
      <w:start w:val="1"/>
      <w:numFmt w:val="bullet"/>
      <w:lvlText w:val=""/>
      <w:lvlJc w:val="left"/>
      <w:pPr>
        <w:ind w:left="2728" w:hanging="360"/>
      </w:pPr>
      <w:rPr>
        <w:rFonts w:ascii="Wingdings" w:hAnsi="Wingdings" w:hint="default"/>
      </w:rPr>
    </w:lvl>
    <w:lvl w:ilvl="3" w:tplc="0809000F">
      <w:start w:val="1"/>
      <w:numFmt w:val="bullet"/>
      <w:lvlText w:val=""/>
      <w:lvlJc w:val="left"/>
      <w:pPr>
        <w:ind w:left="3448" w:hanging="360"/>
      </w:pPr>
      <w:rPr>
        <w:rFonts w:ascii="Symbol" w:hAnsi="Symbol" w:hint="default"/>
      </w:rPr>
    </w:lvl>
    <w:lvl w:ilvl="4" w:tplc="08090019">
      <w:start w:val="1"/>
      <w:numFmt w:val="bullet"/>
      <w:lvlText w:val="o"/>
      <w:lvlJc w:val="left"/>
      <w:pPr>
        <w:ind w:left="4168" w:hanging="360"/>
      </w:pPr>
      <w:rPr>
        <w:rFonts w:ascii="Courier New" w:hAnsi="Courier New" w:cs="Times New Roman" w:hint="default"/>
      </w:rPr>
    </w:lvl>
    <w:lvl w:ilvl="5" w:tplc="0809001B">
      <w:start w:val="1"/>
      <w:numFmt w:val="bullet"/>
      <w:lvlText w:val=""/>
      <w:lvlJc w:val="left"/>
      <w:pPr>
        <w:ind w:left="4888" w:hanging="360"/>
      </w:pPr>
      <w:rPr>
        <w:rFonts w:ascii="Wingdings" w:hAnsi="Wingdings" w:hint="default"/>
      </w:rPr>
    </w:lvl>
    <w:lvl w:ilvl="6" w:tplc="0809000F">
      <w:start w:val="1"/>
      <w:numFmt w:val="bullet"/>
      <w:lvlText w:val=""/>
      <w:lvlJc w:val="left"/>
      <w:pPr>
        <w:ind w:left="5608" w:hanging="360"/>
      </w:pPr>
      <w:rPr>
        <w:rFonts w:ascii="Symbol" w:hAnsi="Symbol" w:hint="default"/>
      </w:rPr>
    </w:lvl>
    <w:lvl w:ilvl="7" w:tplc="08090019">
      <w:start w:val="1"/>
      <w:numFmt w:val="bullet"/>
      <w:lvlText w:val="o"/>
      <w:lvlJc w:val="left"/>
      <w:pPr>
        <w:ind w:left="6328" w:hanging="360"/>
      </w:pPr>
      <w:rPr>
        <w:rFonts w:ascii="Courier New" w:hAnsi="Courier New" w:cs="Times New Roman" w:hint="default"/>
      </w:rPr>
    </w:lvl>
    <w:lvl w:ilvl="8" w:tplc="0809001B">
      <w:start w:val="1"/>
      <w:numFmt w:val="bullet"/>
      <w:lvlText w:val=""/>
      <w:lvlJc w:val="left"/>
      <w:pPr>
        <w:ind w:left="7048" w:hanging="360"/>
      </w:pPr>
      <w:rPr>
        <w:rFonts w:ascii="Wingdings" w:hAnsi="Wingdings" w:hint="default"/>
      </w:rPr>
    </w:lvl>
  </w:abstractNum>
  <w:abstractNum w:abstractNumId="33" w15:restartNumberingAfterBreak="0">
    <w:nsid w:val="61083F6A"/>
    <w:multiLevelType w:val="hybridMultilevel"/>
    <w:tmpl w:val="03341B8E"/>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4" w15:restartNumberingAfterBreak="0">
    <w:nsid w:val="612D52F5"/>
    <w:multiLevelType w:val="multilevel"/>
    <w:tmpl w:val="0652E58C"/>
    <w:lvl w:ilvl="0">
      <w:start w:val="1"/>
      <w:numFmt w:val="decimal"/>
      <w:pStyle w:val="ChilmarkHeader1"/>
      <w:lvlText w:val="%1."/>
      <w:lvlJc w:val="left"/>
      <w:pPr>
        <w:tabs>
          <w:tab w:val="num" w:pos="737"/>
        </w:tabs>
        <w:ind w:left="737" w:hanging="737"/>
      </w:pPr>
      <w:rPr>
        <w:rFonts w:ascii="Helvetica Neue" w:hAnsi="Helvetica Neue" w:hint="default"/>
        <w:b/>
        <w:bCs/>
        <w:i w:val="0"/>
        <w:iCs w:val="0"/>
        <w:color w:val="DB004C"/>
        <w:sz w:val="36"/>
        <w:szCs w:val="36"/>
      </w:rPr>
    </w:lvl>
    <w:lvl w:ilvl="1">
      <w:start w:val="1"/>
      <w:numFmt w:val="decimal"/>
      <w:pStyle w:val="ChilmarkNumberedText"/>
      <w:lvlText w:val="%1.%2"/>
      <w:lvlJc w:val="left"/>
      <w:pPr>
        <w:tabs>
          <w:tab w:val="num" w:pos="737"/>
        </w:tabs>
        <w:ind w:left="737" w:hanging="737"/>
      </w:pPr>
      <w:rPr>
        <w:rFonts w:ascii="Helvetica Neue" w:hAnsi="Helvetica Neue" w:hint="default"/>
        <w:b w:val="0"/>
        <w:bCs w:val="0"/>
        <w:i w:val="0"/>
        <w:iCs w:val="0"/>
        <w:color w:val="auto"/>
        <w:sz w:val="22"/>
        <w:szCs w:val="22"/>
      </w:rPr>
    </w:lvl>
    <w:lvl w:ilvl="2">
      <w:start w:val="1"/>
      <w:numFmt w:val="decimal"/>
      <w:isLgl/>
      <w:lvlText w:val="%1.%2.%3"/>
      <w:lvlJc w:val="left"/>
      <w:pPr>
        <w:tabs>
          <w:tab w:val="num" w:pos="737"/>
        </w:tabs>
        <w:ind w:left="737" w:hanging="737"/>
      </w:pPr>
      <w:rPr>
        <w:rFonts w:ascii="Helvetica Neue" w:hAnsi="Helvetica Neue" w:hint="default"/>
      </w:rPr>
    </w:lvl>
    <w:lvl w:ilvl="3">
      <w:start w:val="1"/>
      <w:numFmt w:val="decimal"/>
      <w:isLgl/>
      <w:lvlText w:val="%1.%2.%3.%4"/>
      <w:lvlJc w:val="left"/>
      <w:pPr>
        <w:tabs>
          <w:tab w:val="num" w:pos="737"/>
        </w:tabs>
        <w:ind w:left="737" w:hanging="737"/>
      </w:pPr>
    </w:lvl>
    <w:lvl w:ilvl="4">
      <w:start w:val="1"/>
      <w:numFmt w:val="decimal"/>
      <w:isLgl/>
      <w:lvlText w:val="%1.%2.%3.%4.%5"/>
      <w:lvlJc w:val="left"/>
      <w:pPr>
        <w:tabs>
          <w:tab w:val="num" w:pos="1440"/>
        </w:tabs>
        <w:ind w:left="720" w:hanging="720"/>
      </w:pPr>
    </w:lvl>
    <w:lvl w:ilvl="5">
      <w:start w:val="1"/>
      <w:numFmt w:val="decimal"/>
      <w:isLgl/>
      <w:lvlText w:val="%1.%2.%3.%4.%5.%6"/>
      <w:lvlJc w:val="left"/>
      <w:pPr>
        <w:tabs>
          <w:tab w:val="num" w:pos="1800"/>
        </w:tabs>
        <w:ind w:left="1080" w:hanging="1080"/>
      </w:pPr>
    </w:lvl>
    <w:lvl w:ilvl="6">
      <w:start w:val="1"/>
      <w:numFmt w:val="decimal"/>
      <w:isLgl/>
      <w:lvlText w:val="%1.%2.%3.%4.%5.%6.%7"/>
      <w:lvlJc w:val="left"/>
      <w:pPr>
        <w:tabs>
          <w:tab w:val="num" w:pos="2160"/>
        </w:tabs>
        <w:ind w:left="1080" w:hanging="1080"/>
      </w:pPr>
    </w:lvl>
    <w:lvl w:ilvl="7">
      <w:start w:val="1"/>
      <w:numFmt w:val="decimal"/>
      <w:isLgl/>
      <w:lvlText w:val="%1.%2.%3.%4.%5.%6.%7.%8"/>
      <w:lvlJc w:val="left"/>
      <w:pPr>
        <w:tabs>
          <w:tab w:val="num" w:pos="2520"/>
        </w:tabs>
        <w:ind w:left="1440" w:hanging="1440"/>
      </w:pPr>
    </w:lvl>
    <w:lvl w:ilvl="8">
      <w:start w:val="1"/>
      <w:numFmt w:val="decimal"/>
      <w:isLgl/>
      <w:lvlText w:val="%1.%2.%3.%4.%5.%6.%7.%8.%9"/>
      <w:lvlJc w:val="left"/>
      <w:pPr>
        <w:tabs>
          <w:tab w:val="num" w:pos="2880"/>
        </w:tabs>
        <w:ind w:left="1440" w:hanging="1440"/>
      </w:pPr>
    </w:lvl>
  </w:abstractNum>
  <w:abstractNum w:abstractNumId="35" w15:restartNumberingAfterBreak="0">
    <w:nsid w:val="6D406F07"/>
    <w:multiLevelType w:val="multilevel"/>
    <w:tmpl w:val="D6423374"/>
    <w:lvl w:ilvl="0">
      <w:start w:val="1"/>
      <w:numFmt w:val="lowerRoman"/>
      <w:pStyle w:val="ReportNumberedList2"/>
      <w:lvlText w:val="%1)"/>
      <w:lvlJc w:val="left"/>
      <w:pPr>
        <w:tabs>
          <w:tab w:val="num" w:pos="1080"/>
        </w:tabs>
        <w:ind w:left="1080" w:hanging="72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0">
    <w:nsid w:val="6D6C09E8"/>
    <w:multiLevelType w:val="multilevel"/>
    <w:tmpl w:val="2FFE73D0"/>
    <w:lvl w:ilvl="0">
      <w:start w:val="6"/>
      <w:numFmt w:val="decimal"/>
      <w:pStyle w:val="Syle111"/>
      <w:lvlText w:val="%1"/>
      <w:lvlJc w:val="left"/>
      <w:pPr>
        <w:ind w:left="360" w:hanging="360"/>
      </w:pPr>
      <w:rPr>
        <w:color w:val="000000"/>
      </w:rPr>
    </w:lvl>
    <w:lvl w:ilvl="1">
      <w:start w:val="1"/>
      <w:numFmt w:val="decimal"/>
      <w:lvlText w:val="11.%2"/>
      <w:lvlJc w:val="left"/>
      <w:pPr>
        <w:ind w:left="360" w:hanging="360"/>
      </w:pPr>
      <w:rPr>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1080" w:hanging="108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440" w:hanging="144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800" w:hanging="1800"/>
      </w:pPr>
      <w:rPr>
        <w:color w:val="000000"/>
      </w:rPr>
    </w:lvl>
  </w:abstractNum>
  <w:abstractNum w:abstractNumId="37" w15:restartNumberingAfterBreak="0">
    <w:nsid w:val="73AA0CD0"/>
    <w:multiLevelType w:val="hybridMultilevel"/>
    <w:tmpl w:val="9230ACA6"/>
    <w:lvl w:ilvl="0" w:tplc="0F185B2A">
      <w:start w:val="1"/>
      <w:numFmt w:val="decimal"/>
      <w:pStyle w:val="bigserial"/>
      <w:lvlText w:val="%1."/>
      <w:lvlJc w:val="left"/>
      <w:pPr>
        <w:ind w:left="720" w:hanging="360"/>
      </w:pPr>
      <w:rPr>
        <w:sz w:val="22"/>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78F77AEA"/>
    <w:multiLevelType w:val="multilevel"/>
    <w:tmpl w:val="C84A6460"/>
    <w:lvl w:ilvl="0">
      <w:start w:val="1"/>
      <w:numFmt w:val="decimal"/>
      <w:suff w:val="space"/>
      <w:lvlText w:val="Section %1:"/>
      <w:lvlJc w:val="left"/>
      <w:pPr>
        <w:ind w:left="0" w:firstLine="0"/>
      </w:pPr>
      <w:rPr>
        <w:rFonts w:ascii="Calibri" w:hAnsi="Calibri" w:cs="Tahoma" w:hint="default"/>
        <w:b/>
        <w:i w:val="0"/>
        <w:sz w:val="40"/>
        <w:szCs w:val="40"/>
      </w:rPr>
    </w:lvl>
    <w:lvl w:ilvl="1">
      <w:start w:val="1"/>
      <w:numFmt w:val="decimal"/>
      <w:pStyle w:val="smallserial"/>
      <w:lvlText w:val="%2."/>
      <w:lvlJc w:val="left"/>
      <w:pPr>
        <w:tabs>
          <w:tab w:val="num" w:pos="57"/>
        </w:tabs>
        <w:ind w:left="363" w:hanging="363"/>
      </w:pPr>
      <w:rPr>
        <w:b w:val="0"/>
        <w:bCs w:val="0"/>
        <w:i w:val="0"/>
        <w:iCs w:val="0"/>
        <w:caps w:val="0"/>
        <w:smallCaps w:val="0"/>
        <w:strike w:val="0"/>
        <w:dstrike w:val="0"/>
        <w:color w:val="auto"/>
        <w:spacing w:val="0"/>
        <w:w w:val="100"/>
        <w:kern w:val="0"/>
        <w:position w:val="0"/>
        <w:sz w:val="22"/>
        <w:szCs w:val="22"/>
        <w:u w:val="none"/>
        <w:effect w:val="none"/>
        <w:bdr w:val="none" w:sz="0" w:space="0" w:color="auto" w:frame="1"/>
        <w:vertAlign w:val="superscript"/>
        <w:em w:val="none"/>
      </w:rPr>
    </w:lvl>
    <w:lvl w:ilvl="2">
      <w:start w:val="1"/>
      <w:numFmt w:val="decimal"/>
      <w:lvlText w:val="%1.%2.%3"/>
      <w:lvlJc w:val="left"/>
      <w:pPr>
        <w:tabs>
          <w:tab w:val="num" w:pos="360"/>
        </w:tabs>
        <w:ind w:left="284" w:firstLine="0"/>
      </w:pPr>
    </w:lvl>
    <w:lvl w:ilvl="3">
      <w:start w:val="1"/>
      <w:numFmt w:val="decimal"/>
      <w:lvlText w:val="%1.%2.%3.%4."/>
      <w:lvlJc w:val="left"/>
      <w:pPr>
        <w:tabs>
          <w:tab w:val="num" w:pos="360"/>
        </w:tabs>
        <w:ind w:left="284" w:firstLine="0"/>
      </w:pPr>
    </w:lvl>
    <w:lvl w:ilvl="4">
      <w:start w:val="1"/>
      <w:numFmt w:val="decimal"/>
      <w:lvlText w:val="%1.%2.%3.%4.%5."/>
      <w:lvlJc w:val="left"/>
      <w:pPr>
        <w:tabs>
          <w:tab w:val="num" w:pos="360"/>
        </w:tabs>
        <w:ind w:left="284" w:firstLine="0"/>
      </w:pPr>
    </w:lvl>
    <w:lvl w:ilvl="5">
      <w:start w:val="1"/>
      <w:numFmt w:val="decimal"/>
      <w:lvlText w:val="%1.%2.%3.%4.%5.%6."/>
      <w:lvlJc w:val="left"/>
      <w:pPr>
        <w:tabs>
          <w:tab w:val="num" w:pos="360"/>
        </w:tabs>
        <w:ind w:left="284" w:firstLine="0"/>
      </w:pPr>
    </w:lvl>
    <w:lvl w:ilvl="6">
      <w:start w:val="1"/>
      <w:numFmt w:val="decimal"/>
      <w:lvlText w:val="%1.%2.%3.%4.%5.%6.%7."/>
      <w:lvlJc w:val="left"/>
      <w:pPr>
        <w:tabs>
          <w:tab w:val="num" w:pos="360"/>
        </w:tabs>
        <w:ind w:left="284" w:firstLine="0"/>
      </w:pPr>
    </w:lvl>
    <w:lvl w:ilvl="7">
      <w:start w:val="1"/>
      <w:numFmt w:val="decimal"/>
      <w:lvlText w:val="%1.%2.%3.%4.%5.%6.%7.%8."/>
      <w:lvlJc w:val="left"/>
      <w:pPr>
        <w:tabs>
          <w:tab w:val="num" w:pos="360"/>
        </w:tabs>
        <w:ind w:left="284" w:firstLine="0"/>
      </w:pPr>
    </w:lvl>
    <w:lvl w:ilvl="8">
      <w:start w:val="1"/>
      <w:numFmt w:val="decimal"/>
      <w:lvlText w:val="%1.%2.%3.%4.%5.%6.%7.%8.%9."/>
      <w:lvlJc w:val="left"/>
      <w:pPr>
        <w:tabs>
          <w:tab w:val="num" w:pos="360"/>
        </w:tabs>
        <w:ind w:left="284" w:firstLine="0"/>
      </w:pPr>
    </w:lvl>
  </w:abstractNum>
  <w:abstractNum w:abstractNumId="39" w15:restartNumberingAfterBreak="0">
    <w:nsid w:val="7A92179A"/>
    <w:multiLevelType w:val="multilevel"/>
    <w:tmpl w:val="AB5C7E6A"/>
    <w:lvl w:ilvl="0">
      <w:start w:val="1"/>
      <w:numFmt w:val="decimal"/>
      <w:lvlText w:val="%1"/>
      <w:lvlJc w:val="left"/>
      <w:pPr>
        <w:tabs>
          <w:tab w:val="num" w:pos="720"/>
        </w:tabs>
        <w:ind w:left="720" w:hanging="720"/>
      </w:pPr>
    </w:lvl>
    <w:lvl w:ilvl="1">
      <w:start w:val="1"/>
      <w:numFmt w:val="decimal"/>
      <w:lvlRestart w:val="0"/>
      <w:pStyle w:val="Reporttext0"/>
      <w:lvlText w:val="%1.%2"/>
      <w:lvlJc w:val="left"/>
      <w:pPr>
        <w:tabs>
          <w:tab w:val="num" w:pos="720"/>
        </w:tabs>
        <w:ind w:left="720" w:hanging="720"/>
      </w:pPr>
      <w:rPr>
        <w:rFonts w:cs="Times New Roman"/>
        <w:b w:val="0"/>
        <w:bCs w:val="0"/>
        <w:i w:val="0"/>
        <w:iCs w:val="0"/>
        <w:caps w:val="0"/>
        <w:smallCaps w:val="0"/>
        <w:strike w:val="0"/>
        <w:dstrike w:val="0"/>
        <w:vanish w:val="0"/>
        <w:webHidden w:val="0"/>
        <w:color w:val="000000"/>
        <w:spacing w:val="0"/>
        <w:position w:val="0"/>
        <w:u w:val="none"/>
        <w:effect w:val="none"/>
        <w:vertAlign w:val="baseline"/>
        <w:em w:val="none"/>
        <w:specVanish w:val="0"/>
      </w:rPr>
    </w:lvl>
    <w:lvl w:ilvl="2">
      <w:start w:val="1"/>
      <w:numFmt w:val="decimal"/>
      <w:lvlText w:val="%1.%2.%3"/>
      <w:lvlJc w:val="left"/>
      <w:pPr>
        <w:tabs>
          <w:tab w:val="num" w:pos="754"/>
        </w:tabs>
        <w:ind w:left="754" w:hanging="754"/>
      </w:pPr>
    </w:lvl>
    <w:lvl w:ilvl="3">
      <w:start w:val="1"/>
      <w:numFmt w:val="decimal"/>
      <w:lvlText w:val="%1.%2.%3.%4"/>
      <w:lvlJc w:val="left"/>
      <w:pPr>
        <w:tabs>
          <w:tab w:val="num" w:pos="683"/>
        </w:tabs>
        <w:ind w:left="683" w:hanging="1080"/>
      </w:pPr>
    </w:lvl>
    <w:lvl w:ilvl="4">
      <w:start w:val="1"/>
      <w:numFmt w:val="decimal"/>
      <w:lvlText w:val="%1.%2.%3.%4.%5"/>
      <w:lvlJc w:val="left"/>
      <w:pPr>
        <w:tabs>
          <w:tab w:val="num" w:pos="1043"/>
        </w:tabs>
        <w:ind w:left="1043" w:hanging="1440"/>
      </w:pPr>
    </w:lvl>
    <w:lvl w:ilvl="5">
      <w:start w:val="1"/>
      <w:numFmt w:val="decimal"/>
      <w:lvlText w:val="%1.%2.%3.%4.%5.%6"/>
      <w:lvlJc w:val="left"/>
      <w:pPr>
        <w:tabs>
          <w:tab w:val="num" w:pos="1043"/>
        </w:tabs>
        <w:ind w:left="1043" w:hanging="1440"/>
      </w:pPr>
    </w:lvl>
    <w:lvl w:ilvl="6">
      <w:start w:val="1"/>
      <w:numFmt w:val="decimal"/>
      <w:lvlText w:val="%1.%2.%3.%4.%5.%6.%7"/>
      <w:lvlJc w:val="left"/>
      <w:pPr>
        <w:tabs>
          <w:tab w:val="num" w:pos="1403"/>
        </w:tabs>
        <w:ind w:left="1403" w:hanging="1800"/>
      </w:pPr>
    </w:lvl>
    <w:lvl w:ilvl="7">
      <w:start w:val="1"/>
      <w:numFmt w:val="decimal"/>
      <w:lvlText w:val="%1.%2.%3.%4.%5.%6.%7.%8"/>
      <w:lvlJc w:val="left"/>
      <w:pPr>
        <w:tabs>
          <w:tab w:val="num" w:pos="1403"/>
        </w:tabs>
        <w:ind w:left="1403" w:hanging="1800"/>
      </w:pPr>
    </w:lvl>
    <w:lvl w:ilvl="8">
      <w:start w:val="1"/>
      <w:numFmt w:val="decimal"/>
      <w:lvlText w:val="%1.%2.%3.%4.%5.%6.%7.%8.%9"/>
      <w:lvlJc w:val="left"/>
      <w:pPr>
        <w:tabs>
          <w:tab w:val="num" w:pos="1763"/>
        </w:tabs>
        <w:ind w:left="1763" w:hanging="2160"/>
      </w:pPr>
    </w:lvl>
  </w:abstractNum>
  <w:abstractNum w:abstractNumId="40" w15:restartNumberingAfterBreak="0">
    <w:nsid w:val="7AB96F0D"/>
    <w:multiLevelType w:val="multilevel"/>
    <w:tmpl w:val="744630D6"/>
    <w:lvl w:ilvl="0">
      <w:start w:val="1"/>
      <w:numFmt w:val="bullet"/>
      <w:pStyle w:val="Bulletblackplain"/>
      <w:lvlText w:val=""/>
      <w:lvlJc w:val="left"/>
      <w:pPr>
        <w:tabs>
          <w:tab w:val="num" w:pos="794"/>
        </w:tabs>
        <w:ind w:left="1077" w:hanging="283"/>
      </w:pPr>
      <w:rPr>
        <w:rFonts w:ascii="Symbol" w:hAnsi="Symbol" w:hint="default"/>
      </w:rPr>
    </w:lvl>
    <w:lvl w:ilvl="1">
      <w:start w:val="1"/>
      <w:numFmt w:val="bullet"/>
      <w:lvlText w:val="o"/>
      <w:lvlJc w:val="left"/>
      <w:pPr>
        <w:tabs>
          <w:tab w:val="num" w:pos="1078"/>
        </w:tabs>
        <w:ind w:left="1361" w:hanging="283"/>
      </w:pPr>
      <w:rPr>
        <w:rFonts w:ascii="Courier New" w:hAnsi="Courier New" w:cs="Times New Roman" w:hint="default"/>
      </w:rPr>
    </w:lvl>
    <w:lvl w:ilvl="2">
      <w:start w:val="1"/>
      <w:numFmt w:val="bullet"/>
      <w:lvlText w:val=""/>
      <w:lvlJc w:val="left"/>
      <w:pPr>
        <w:tabs>
          <w:tab w:val="num" w:pos="1362"/>
        </w:tabs>
        <w:ind w:left="1645" w:hanging="283"/>
      </w:pPr>
      <w:rPr>
        <w:rFonts w:ascii="Wingdings" w:hAnsi="Wingdings" w:hint="default"/>
      </w:rPr>
    </w:lvl>
    <w:lvl w:ilvl="3">
      <w:start w:val="1"/>
      <w:numFmt w:val="bullet"/>
      <w:lvlText w:val=""/>
      <w:lvlJc w:val="left"/>
      <w:pPr>
        <w:tabs>
          <w:tab w:val="num" w:pos="1646"/>
        </w:tabs>
        <w:ind w:left="1929" w:hanging="283"/>
      </w:pPr>
      <w:rPr>
        <w:rFonts w:ascii="Symbol" w:hAnsi="Symbol" w:hint="default"/>
      </w:rPr>
    </w:lvl>
    <w:lvl w:ilvl="4">
      <w:start w:val="1"/>
      <w:numFmt w:val="bullet"/>
      <w:lvlText w:val="o"/>
      <w:lvlJc w:val="left"/>
      <w:pPr>
        <w:tabs>
          <w:tab w:val="num" w:pos="1930"/>
        </w:tabs>
        <w:ind w:left="2213" w:hanging="283"/>
      </w:pPr>
      <w:rPr>
        <w:rFonts w:ascii="Courier New" w:hAnsi="Courier New" w:cs="Times New Roman" w:hint="default"/>
      </w:rPr>
    </w:lvl>
    <w:lvl w:ilvl="5">
      <w:start w:val="1"/>
      <w:numFmt w:val="bullet"/>
      <w:lvlText w:val=""/>
      <w:lvlJc w:val="left"/>
      <w:pPr>
        <w:tabs>
          <w:tab w:val="num" w:pos="2214"/>
        </w:tabs>
        <w:ind w:left="2497" w:hanging="283"/>
      </w:pPr>
      <w:rPr>
        <w:rFonts w:ascii="Wingdings" w:hAnsi="Wingdings" w:hint="default"/>
      </w:rPr>
    </w:lvl>
    <w:lvl w:ilvl="6">
      <w:start w:val="1"/>
      <w:numFmt w:val="bullet"/>
      <w:lvlText w:val=""/>
      <w:lvlJc w:val="left"/>
      <w:pPr>
        <w:tabs>
          <w:tab w:val="num" w:pos="2498"/>
        </w:tabs>
        <w:ind w:left="2781" w:hanging="283"/>
      </w:pPr>
      <w:rPr>
        <w:rFonts w:ascii="Symbol" w:hAnsi="Symbol" w:hint="default"/>
      </w:rPr>
    </w:lvl>
    <w:lvl w:ilvl="7">
      <w:start w:val="1"/>
      <w:numFmt w:val="bullet"/>
      <w:lvlText w:val="o"/>
      <w:lvlJc w:val="left"/>
      <w:pPr>
        <w:tabs>
          <w:tab w:val="num" w:pos="2782"/>
        </w:tabs>
        <w:ind w:left="3065" w:hanging="283"/>
      </w:pPr>
      <w:rPr>
        <w:rFonts w:ascii="Courier New" w:hAnsi="Courier New" w:cs="Times New Roman" w:hint="default"/>
      </w:rPr>
    </w:lvl>
    <w:lvl w:ilvl="8">
      <w:start w:val="1"/>
      <w:numFmt w:val="bullet"/>
      <w:lvlText w:val=""/>
      <w:lvlJc w:val="left"/>
      <w:pPr>
        <w:tabs>
          <w:tab w:val="num" w:pos="3066"/>
        </w:tabs>
        <w:ind w:left="3349" w:hanging="283"/>
      </w:pPr>
      <w:rPr>
        <w:rFonts w:ascii="Wingdings" w:hAnsi="Wingdings" w:hint="default"/>
      </w:rPr>
    </w:lvl>
  </w:abstractNum>
  <w:abstractNum w:abstractNumId="41" w15:restartNumberingAfterBreak="0">
    <w:nsid w:val="7E030F04"/>
    <w:multiLevelType w:val="hybridMultilevel"/>
    <w:tmpl w:val="620241FA"/>
    <w:lvl w:ilvl="0" w:tplc="C498B1FC">
      <w:start w:val="1"/>
      <w:numFmt w:val="bullet"/>
      <w:pStyle w:val="Numbered"/>
      <w:lvlText w:val=""/>
      <w:lvlJc w:val="left"/>
      <w:pPr>
        <w:tabs>
          <w:tab w:val="num" w:pos="720"/>
        </w:tabs>
        <w:ind w:left="720"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F024E3B"/>
    <w:multiLevelType w:val="multilevel"/>
    <w:tmpl w:val="6B0C268E"/>
    <w:lvl w:ilvl="0">
      <w:start w:val="1"/>
      <w:numFmt w:val="decimal"/>
      <w:pStyle w:val="Heading1"/>
      <w:lvlText w:val="%1."/>
      <w:lvlJc w:val="left"/>
      <w:pPr>
        <w:ind w:left="0" w:hanging="1134"/>
      </w:pPr>
      <w:rPr>
        <w:rFonts w:ascii="Arial Bold" w:hAnsi="Arial Bold" w:hint="default"/>
        <w:b/>
        <w:bCs w:val="0"/>
        <w:i w:val="0"/>
        <w:iCs w:val="0"/>
        <w:caps w:val="0"/>
        <w:smallCaps w:val="0"/>
        <w:strike w:val="0"/>
        <w:dstrike w:val="0"/>
        <w:noProof w:val="0"/>
        <w:vanish w:val="0"/>
        <w:color w:val="000000" w:themeColor="text1"/>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BodyText"/>
      <w:lvlText w:val="%1.%2"/>
      <w:lvlJc w:val="left"/>
      <w:pPr>
        <w:tabs>
          <w:tab w:val="num" w:pos="1134"/>
        </w:tabs>
        <w:ind w:left="1134" w:hanging="1134"/>
      </w:pPr>
      <w:rPr>
        <w:rFonts w:hint="default"/>
      </w:rPr>
    </w:lvl>
    <w:lvl w:ilvl="2">
      <w:start w:val="1"/>
      <w:numFmt w:val="decimal"/>
      <w:lvlRestart w:val="1"/>
      <w:pStyle w:val="Heading4"/>
      <w:lvlText w:val="Table %1.%3"/>
      <w:lvlJc w:val="left"/>
      <w:pPr>
        <w:ind w:left="0" w:hanging="1134"/>
      </w:pPr>
      <w:rPr>
        <w:rFonts w:hint="default"/>
      </w:rPr>
    </w:lvl>
    <w:lvl w:ilvl="3">
      <w:start w:val="1"/>
      <w:numFmt w:val="decimal"/>
      <w:lvlRestart w:val="1"/>
      <w:pStyle w:val="HeadingAppendices"/>
      <w:lvlText w:val="A%4."/>
      <w:lvlJc w:val="left"/>
      <w:pPr>
        <w:ind w:left="993" w:firstLine="0"/>
      </w:pPr>
      <w:rPr>
        <w:rFonts w:hint="default"/>
      </w:rPr>
    </w:lvl>
    <w:lvl w:ilvl="4">
      <w:start w:val="1"/>
      <w:numFmt w:val="decimal"/>
      <w:pStyle w:val="BodytextAppendices"/>
      <w:lvlText w:val="A%4.%5"/>
      <w:lvlJc w:val="left"/>
      <w:pPr>
        <w:ind w:left="0" w:firstLine="0"/>
      </w:pPr>
      <w:rPr>
        <w:rFonts w:hint="default"/>
      </w:rPr>
    </w:lvl>
    <w:lvl w:ilvl="5">
      <w:start w:val="1"/>
      <w:numFmt w:val="decimal"/>
      <w:lvlRestart w:val="4"/>
      <w:pStyle w:val="Heading5"/>
      <w:lvlText w:val="Table A%4.%6"/>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num w:numId="1" w16cid:durableId="1409688836">
    <w:abstractNumId w:val="3"/>
  </w:num>
  <w:num w:numId="2" w16cid:durableId="1855604435">
    <w:abstractNumId w:val="1"/>
  </w:num>
  <w:num w:numId="3" w16cid:durableId="902789823">
    <w:abstractNumId w:val="2"/>
  </w:num>
  <w:num w:numId="4" w16cid:durableId="1343118380">
    <w:abstractNumId w:val="0"/>
  </w:num>
  <w:num w:numId="5" w16cid:durableId="1104881081">
    <w:abstractNumId w:val="42"/>
  </w:num>
  <w:num w:numId="6" w16cid:durableId="65221672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90077521">
    <w:abstractNumId w:val="10"/>
  </w:num>
  <w:num w:numId="8" w16cid:durableId="77964418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4464257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686042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4530551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90560570">
    <w:abstractNumId w:val="7"/>
  </w:num>
  <w:num w:numId="13" w16cid:durableId="22014355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804084636">
    <w:abstractNumId w:val="41"/>
  </w:num>
  <w:num w:numId="15" w16cid:durableId="15457976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736922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56149405">
    <w:abstractNumId w:val="12"/>
  </w:num>
  <w:num w:numId="18" w16cid:durableId="156409987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41438696">
    <w:abstractNumId w:val="4"/>
  </w:num>
  <w:num w:numId="20" w16cid:durableId="900095007">
    <w:abstractNumId w:val="23"/>
    <w:lvlOverride w:ilvl="0">
      <w:startOverride w:val="4"/>
    </w:lvlOverride>
    <w:lvlOverride w:ilvl="1">
      <w:startOverride w:val="5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44818220">
    <w:abstractNumId w:val="40"/>
  </w:num>
  <w:num w:numId="22" w16cid:durableId="1889879666">
    <w:abstractNumId w:val="14"/>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762436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6804643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84329603">
    <w:abstractNumId w:val="32"/>
  </w:num>
  <w:num w:numId="26" w16cid:durableId="11107841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149022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1172097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4052964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943174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06314885">
    <w:abstractNumId w:val="3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72574344">
    <w:abstractNumId w:val="18"/>
  </w:num>
  <w:num w:numId="33" w16cid:durableId="248924135">
    <w:abstractNumId w:val="27"/>
  </w:num>
  <w:num w:numId="34" w16cid:durableId="897210850">
    <w:abstractNumId w:val="30"/>
  </w:num>
  <w:num w:numId="35" w16cid:durableId="1331644273">
    <w:abstractNumId w:val="13"/>
  </w:num>
  <w:num w:numId="36" w16cid:durableId="172846080">
    <w:abstractNumId w:val="31"/>
  </w:num>
  <w:num w:numId="37" w16cid:durableId="1212225631">
    <w:abstractNumId w:val="22"/>
  </w:num>
  <w:num w:numId="38" w16cid:durableId="340476723">
    <w:abstractNumId w:val="9"/>
  </w:num>
  <w:num w:numId="39" w16cid:durableId="5553597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071853976">
    <w:abstractNumId w:val="20"/>
  </w:num>
  <w:num w:numId="41" w16cid:durableId="7636900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75760438">
    <w:abstractNumId w:val="26"/>
  </w:num>
  <w:num w:numId="43" w16cid:durableId="313022687">
    <w:abstractNumId w:val="25"/>
  </w:num>
  <w:num w:numId="44" w16cid:durableId="1381828253">
    <w:abstractNumId w:val="24"/>
  </w:num>
  <w:num w:numId="45" w16cid:durableId="775442022">
    <w:abstractNumId w:val="42"/>
  </w:num>
  <w:num w:numId="46" w16cid:durableId="1165970396">
    <w:abstractNumId w:val="42"/>
  </w:num>
  <w:num w:numId="47" w16cid:durableId="1281642794">
    <w:abstractNumId w:val="42"/>
  </w:num>
  <w:num w:numId="48" w16cid:durableId="1212840998">
    <w:abstractNumId w:val="4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defaultTabStop w:val="720"/>
  <w:characterSpacingControl w:val="doNotCompress"/>
  <w:hdrShapeDefaults>
    <o:shapedefaults v:ext="edit" spidmax="51201">
      <o:colormenu v:ext="edit" fillcolor="none [321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MwMDGxMLE0MTQ1NjdW0lEKTi0uzszPAykwrAUAMKe3BiwAAAA="/>
  </w:docVars>
  <w:rsids>
    <w:rsidRoot w:val="00A71A4B"/>
    <w:rsid w:val="000040E0"/>
    <w:rsid w:val="00010B1F"/>
    <w:rsid w:val="000215ED"/>
    <w:rsid w:val="000239C5"/>
    <w:rsid w:val="00032C3A"/>
    <w:rsid w:val="0005691F"/>
    <w:rsid w:val="0007424E"/>
    <w:rsid w:val="0009012F"/>
    <w:rsid w:val="000928BB"/>
    <w:rsid w:val="00093E39"/>
    <w:rsid w:val="000972AB"/>
    <w:rsid w:val="000A05F9"/>
    <w:rsid w:val="000E5A97"/>
    <w:rsid w:val="000E5F71"/>
    <w:rsid w:val="000F553F"/>
    <w:rsid w:val="000F566F"/>
    <w:rsid w:val="000F7E90"/>
    <w:rsid w:val="00101A8D"/>
    <w:rsid w:val="001633E2"/>
    <w:rsid w:val="00167C72"/>
    <w:rsid w:val="00173BB1"/>
    <w:rsid w:val="0019450B"/>
    <w:rsid w:val="001A7584"/>
    <w:rsid w:val="001C0B51"/>
    <w:rsid w:val="001C5D1B"/>
    <w:rsid w:val="001C68A5"/>
    <w:rsid w:val="001C7A3A"/>
    <w:rsid w:val="001E0B96"/>
    <w:rsid w:val="001F5A75"/>
    <w:rsid w:val="00212B67"/>
    <w:rsid w:val="00217488"/>
    <w:rsid w:val="00230C7F"/>
    <w:rsid w:val="002350D1"/>
    <w:rsid w:val="00241FE4"/>
    <w:rsid w:val="0024541A"/>
    <w:rsid w:val="00262358"/>
    <w:rsid w:val="002912CA"/>
    <w:rsid w:val="002A7FB5"/>
    <w:rsid w:val="002B1913"/>
    <w:rsid w:val="002C1270"/>
    <w:rsid w:val="002D5260"/>
    <w:rsid w:val="002E733C"/>
    <w:rsid w:val="003005A3"/>
    <w:rsid w:val="00302EF0"/>
    <w:rsid w:val="003217B5"/>
    <w:rsid w:val="003257DE"/>
    <w:rsid w:val="00326E3F"/>
    <w:rsid w:val="003274B9"/>
    <w:rsid w:val="00335CA9"/>
    <w:rsid w:val="00346895"/>
    <w:rsid w:val="00360825"/>
    <w:rsid w:val="00367C1E"/>
    <w:rsid w:val="00393E1C"/>
    <w:rsid w:val="003A5763"/>
    <w:rsid w:val="00405F80"/>
    <w:rsid w:val="00422DB7"/>
    <w:rsid w:val="00427159"/>
    <w:rsid w:val="00444996"/>
    <w:rsid w:val="00455EC4"/>
    <w:rsid w:val="0045633D"/>
    <w:rsid w:val="00472D63"/>
    <w:rsid w:val="004770AE"/>
    <w:rsid w:val="004A3798"/>
    <w:rsid w:val="004A7148"/>
    <w:rsid w:val="004B2572"/>
    <w:rsid w:val="004B3BB1"/>
    <w:rsid w:val="004C6DCD"/>
    <w:rsid w:val="004C7B56"/>
    <w:rsid w:val="004D4ECE"/>
    <w:rsid w:val="004E4692"/>
    <w:rsid w:val="00500872"/>
    <w:rsid w:val="00534411"/>
    <w:rsid w:val="005370CB"/>
    <w:rsid w:val="00544E37"/>
    <w:rsid w:val="005463FD"/>
    <w:rsid w:val="00546D58"/>
    <w:rsid w:val="00561977"/>
    <w:rsid w:val="00586065"/>
    <w:rsid w:val="0059738B"/>
    <w:rsid w:val="005A027F"/>
    <w:rsid w:val="005A7A7B"/>
    <w:rsid w:val="005C0E05"/>
    <w:rsid w:val="005C33F6"/>
    <w:rsid w:val="005D03FE"/>
    <w:rsid w:val="005D44D3"/>
    <w:rsid w:val="005D598E"/>
    <w:rsid w:val="005F5948"/>
    <w:rsid w:val="006007FF"/>
    <w:rsid w:val="00607E11"/>
    <w:rsid w:val="00614574"/>
    <w:rsid w:val="006268F1"/>
    <w:rsid w:val="00647A57"/>
    <w:rsid w:val="00666A5C"/>
    <w:rsid w:val="00671CB6"/>
    <w:rsid w:val="00673D0D"/>
    <w:rsid w:val="00677F83"/>
    <w:rsid w:val="0068691F"/>
    <w:rsid w:val="00690AD6"/>
    <w:rsid w:val="006B1D18"/>
    <w:rsid w:val="006E06A8"/>
    <w:rsid w:val="006E173E"/>
    <w:rsid w:val="006E43EB"/>
    <w:rsid w:val="006F0E5D"/>
    <w:rsid w:val="006F2F0B"/>
    <w:rsid w:val="00700103"/>
    <w:rsid w:val="00710693"/>
    <w:rsid w:val="0071179E"/>
    <w:rsid w:val="007151A7"/>
    <w:rsid w:val="00732491"/>
    <w:rsid w:val="00755EFE"/>
    <w:rsid w:val="00765FD7"/>
    <w:rsid w:val="0078306F"/>
    <w:rsid w:val="0079693C"/>
    <w:rsid w:val="007B48A1"/>
    <w:rsid w:val="007C5D54"/>
    <w:rsid w:val="007D46D7"/>
    <w:rsid w:val="007D7F9E"/>
    <w:rsid w:val="007E36A0"/>
    <w:rsid w:val="007F59EA"/>
    <w:rsid w:val="008014DD"/>
    <w:rsid w:val="00814030"/>
    <w:rsid w:val="00821ADC"/>
    <w:rsid w:val="00825D12"/>
    <w:rsid w:val="00826525"/>
    <w:rsid w:val="0083169C"/>
    <w:rsid w:val="008403ED"/>
    <w:rsid w:val="00844C10"/>
    <w:rsid w:val="00857463"/>
    <w:rsid w:val="00857740"/>
    <w:rsid w:val="008838FF"/>
    <w:rsid w:val="00892BCF"/>
    <w:rsid w:val="008C3225"/>
    <w:rsid w:val="008C7AF2"/>
    <w:rsid w:val="008D36D9"/>
    <w:rsid w:val="008D7613"/>
    <w:rsid w:val="008D7B45"/>
    <w:rsid w:val="009065EA"/>
    <w:rsid w:val="009143E4"/>
    <w:rsid w:val="0091447C"/>
    <w:rsid w:val="00914BE6"/>
    <w:rsid w:val="009273C8"/>
    <w:rsid w:val="00935DAA"/>
    <w:rsid w:val="0093675D"/>
    <w:rsid w:val="00961732"/>
    <w:rsid w:val="009656EC"/>
    <w:rsid w:val="009862E9"/>
    <w:rsid w:val="00994026"/>
    <w:rsid w:val="009A2131"/>
    <w:rsid w:val="009B3615"/>
    <w:rsid w:val="009D14A4"/>
    <w:rsid w:val="009D21A2"/>
    <w:rsid w:val="009E43FA"/>
    <w:rsid w:val="00A04234"/>
    <w:rsid w:val="00A0751B"/>
    <w:rsid w:val="00A35CE4"/>
    <w:rsid w:val="00A4147B"/>
    <w:rsid w:val="00A63320"/>
    <w:rsid w:val="00A643CF"/>
    <w:rsid w:val="00A711B2"/>
    <w:rsid w:val="00A71A4B"/>
    <w:rsid w:val="00A84269"/>
    <w:rsid w:val="00A86AD8"/>
    <w:rsid w:val="00A87D4F"/>
    <w:rsid w:val="00A903F1"/>
    <w:rsid w:val="00A90BC7"/>
    <w:rsid w:val="00A94691"/>
    <w:rsid w:val="00A97B16"/>
    <w:rsid w:val="00AE69C1"/>
    <w:rsid w:val="00B11CDF"/>
    <w:rsid w:val="00B27F48"/>
    <w:rsid w:val="00B5753A"/>
    <w:rsid w:val="00B8034B"/>
    <w:rsid w:val="00B91A51"/>
    <w:rsid w:val="00B96DD7"/>
    <w:rsid w:val="00BA398C"/>
    <w:rsid w:val="00BB5A5F"/>
    <w:rsid w:val="00BE57F7"/>
    <w:rsid w:val="00BF36D9"/>
    <w:rsid w:val="00C00149"/>
    <w:rsid w:val="00C04569"/>
    <w:rsid w:val="00C14995"/>
    <w:rsid w:val="00C200C8"/>
    <w:rsid w:val="00C31277"/>
    <w:rsid w:val="00C60613"/>
    <w:rsid w:val="00C71AD3"/>
    <w:rsid w:val="00C7515D"/>
    <w:rsid w:val="00CB57AC"/>
    <w:rsid w:val="00CD41C6"/>
    <w:rsid w:val="00CE3260"/>
    <w:rsid w:val="00CE36AF"/>
    <w:rsid w:val="00CE37DE"/>
    <w:rsid w:val="00CE4565"/>
    <w:rsid w:val="00D225F1"/>
    <w:rsid w:val="00D23451"/>
    <w:rsid w:val="00D2689D"/>
    <w:rsid w:val="00D30CCF"/>
    <w:rsid w:val="00D323CC"/>
    <w:rsid w:val="00D3291F"/>
    <w:rsid w:val="00D3346A"/>
    <w:rsid w:val="00D62B27"/>
    <w:rsid w:val="00D6585D"/>
    <w:rsid w:val="00D66A27"/>
    <w:rsid w:val="00D707C5"/>
    <w:rsid w:val="00DC02E5"/>
    <w:rsid w:val="00DC7193"/>
    <w:rsid w:val="00E02A3B"/>
    <w:rsid w:val="00E16F74"/>
    <w:rsid w:val="00E244F6"/>
    <w:rsid w:val="00E25E80"/>
    <w:rsid w:val="00E26086"/>
    <w:rsid w:val="00E37307"/>
    <w:rsid w:val="00E40F2C"/>
    <w:rsid w:val="00E954ED"/>
    <w:rsid w:val="00E96FF0"/>
    <w:rsid w:val="00EB1E5D"/>
    <w:rsid w:val="00ED4661"/>
    <w:rsid w:val="00EE347A"/>
    <w:rsid w:val="00F0031B"/>
    <w:rsid w:val="00F14ADC"/>
    <w:rsid w:val="00F31875"/>
    <w:rsid w:val="00F35753"/>
    <w:rsid w:val="00F3773B"/>
    <w:rsid w:val="00F66044"/>
    <w:rsid w:val="00F72553"/>
    <w:rsid w:val="00F762FD"/>
    <w:rsid w:val="00F90DAF"/>
    <w:rsid w:val="00FB5DC6"/>
    <w:rsid w:val="00FC4A83"/>
    <w:rsid w:val="00FE61DD"/>
    <w:rsid w:val="00FF07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o:colormenu v:ext="edit" fillcolor="none [3212]"/>
    </o:shapedefaults>
    <o:shapelayout v:ext="edit">
      <o:idmap v:ext="edit" data="1"/>
    </o:shapelayout>
  </w:shapeDefaults>
  <w:decimalSymbol w:val="."/>
  <w:listSeparator w:val=","/>
  <w14:docId w14:val="11C8E0CE"/>
  <w15:docId w15:val="{77859412-D3E0-4CC3-9EF3-2178CE236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1" w:qFormat="1"/>
    <w:lsdException w:name="heading 1" w:uiPriority="2" w:qFormat="1"/>
    <w:lsdException w:name="heading 2" w:semiHidden="1" w:uiPriority="0" w:unhideWhenUsed="1" w:qFormat="1"/>
    <w:lsdException w:name="heading 3" w:semiHidden="1" w:uiPriority="0" w:unhideWhenUsed="1" w:qFormat="1"/>
    <w:lsdException w:name="heading 4" w:semiHidden="1" w:uiPriority="2" w:unhideWhenUsed="1" w:qFormat="1"/>
    <w:lsdException w:name="heading 5" w:uiPriority="2"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iPriority="1" w:unhideWhenUsed="1"/>
    <w:lsdException w:name="envelope return" w:semiHidden="1" w:uiPriority="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1" w:unhideWhenUsed="1"/>
    <w:lsdException w:name="endnote text" w:semiHidden="1" w:uiPriority="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uiPriority="1"/>
    <w:lsdException w:name="List 2" w:semiHidden="1" w:unhideWhenUsed="1"/>
    <w:lsdException w:name="List 3" w:semiHidden="1" w:unhideWhenUsed="1"/>
    <w:lsdException w:name="List 4" w:semiHidden="1"/>
    <w:lsdException w:name="List 5" w:semiHidden="1"/>
    <w:lsdException w:name="List Bullet 2" w:semiHidden="1" w:uiPriority="1" w:unhideWhenUsed="1" w:qFormat="1"/>
    <w:lsdException w:name="List Bullet 3" w:semiHidden="1" w:unhideWhenUsed="1"/>
    <w:lsdException w:name="List Bullet 4" w:semiHidden="1" w:unhideWhenUsed="1"/>
    <w:lsdException w:name="List Bullet 5" w:semiHidden="1" w:unhideWhenUsed="1"/>
    <w:lsdException w:name="List Number 2" w:semiHidden="1" w:uiPriority="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1" w:qFormat="1"/>
    <w:lsdException w:name="Document Map" w:semiHidden="1" w:uiPriority="1" w:unhideWhenUsed="1"/>
    <w:lsdException w:name="Plain Text" w:semiHidden="1" w:unhideWhenUsed="1"/>
    <w:lsdException w:name="E-mail Signature" w:semiHidden="1" w:uiPriority="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0"/>
    <w:lsdException w:name="Table Theme" w:semiHidden="1" w:uiPriority="0"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4"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rsid w:val="00AE69C1"/>
    <w:pPr>
      <w:spacing w:after="360" w:line="360" w:lineRule="auto"/>
      <w:jc w:val="both"/>
    </w:pPr>
    <w:rPr>
      <w:rFonts w:asciiTheme="minorHAnsi" w:hAnsiTheme="minorHAnsi"/>
    </w:rPr>
  </w:style>
  <w:style w:type="paragraph" w:styleId="Heading1">
    <w:name w:val="heading 1"/>
    <w:aliases w:val="Heading,Heading 1 - chapter,Chapter,Chapter head,L1,CH,. (1.0),Do Not Use,Numbered 1,H1,H11,H12,Chapter1,Chapter2,Chapter Hdg,Section Heading,Heading 1 Char Char,Heading 1 Char Char Char Char Char Char,Outline1,1 ghost,g,Oscar Faber 1,Section"/>
    <w:basedOn w:val="Normal"/>
    <w:next w:val="BodyText"/>
    <w:link w:val="Heading1Char"/>
    <w:uiPriority w:val="2"/>
    <w:qFormat/>
    <w:rsid w:val="00586065"/>
    <w:pPr>
      <w:keepNext/>
      <w:keepLines/>
      <w:pageBreakBefore/>
      <w:numPr>
        <w:numId w:val="5"/>
      </w:numPr>
      <w:spacing w:after="600"/>
      <w:ind w:hanging="709"/>
      <w:outlineLvl w:val="0"/>
    </w:pPr>
    <w:rPr>
      <w:rFonts w:asciiTheme="majorHAnsi" w:eastAsiaTheme="majorEastAsia" w:hAnsiTheme="majorHAnsi" w:cstheme="majorBidi"/>
      <w:b/>
      <w:bCs/>
      <w:caps/>
      <w:color w:val="000000" w:themeColor="text1"/>
      <w:sz w:val="28"/>
      <w:szCs w:val="28"/>
    </w:rPr>
  </w:style>
  <w:style w:type="paragraph" w:styleId="Heading2">
    <w:name w:val="heading 2"/>
    <w:aliases w:val="F7 Sub Heading,Main Heading,Main Headi,Heading 2a,Sub Heading,Numbered - 2,do not use,h2,2,Titre 2,l2,list + change bar,???,h21,ASection,ash,KJL:1st Level,Reset numbering,PARA2,S Heading,S Heading 2,1.1.1 heading,m,H2,TF-Overskrit 2,2m"/>
    <w:basedOn w:val="Normal"/>
    <w:next w:val="BodyText"/>
    <w:link w:val="Heading2Char"/>
    <w:uiPriority w:val="2"/>
    <w:qFormat/>
    <w:rsid w:val="00A711B2"/>
    <w:pPr>
      <w:keepNext/>
      <w:keepLines/>
      <w:pBdr>
        <w:bottom w:val="single" w:sz="4" w:space="1" w:color="000000" w:themeColor="text1"/>
      </w:pBdr>
      <w:spacing w:before="360" w:after="240"/>
      <w:outlineLvl w:val="1"/>
    </w:pPr>
    <w:rPr>
      <w:b/>
      <w:color w:val="000000" w:themeColor="text1"/>
    </w:rPr>
  </w:style>
  <w:style w:type="paragraph" w:styleId="Heading3">
    <w:name w:val="heading 3"/>
    <w:aliases w:val="F6 Sub sub Heading,Heading 3 Char Char Char Char,Heading 3 Char Char Char Char Char,Heading 3 Char Char Char,Heading 3 Char Char Char Char Char Char Char Char Char Char,Heading 3 Char Char Char Char Char Char Char,Numbered Paragraph,Mia"/>
    <w:basedOn w:val="Normal"/>
    <w:next w:val="BodyText"/>
    <w:link w:val="Heading3Char"/>
    <w:uiPriority w:val="2"/>
    <w:qFormat/>
    <w:rsid w:val="00821ADC"/>
    <w:pPr>
      <w:keepNext/>
      <w:keepLines/>
      <w:spacing w:before="240" w:after="0"/>
      <w:outlineLvl w:val="2"/>
    </w:pPr>
    <w:rPr>
      <w:b/>
    </w:rPr>
  </w:style>
  <w:style w:type="paragraph" w:styleId="Heading4">
    <w:name w:val="heading 4"/>
    <w:aliases w:val="Table"/>
    <w:basedOn w:val="Normal"/>
    <w:next w:val="Normal"/>
    <w:link w:val="Heading4Char"/>
    <w:uiPriority w:val="2"/>
    <w:qFormat/>
    <w:rsid w:val="00671CB6"/>
    <w:pPr>
      <w:keepNext/>
      <w:numPr>
        <w:ilvl w:val="2"/>
        <w:numId w:val="5"/>
      </w:numPr>
      <w:tabs>
        <w:tab w:val="left" w:pos="1134"/>
      </w:tabs>
      <w:spacing w:before="200" w:after="0"/>
      <w:outlineLvl w:val="3"/>
    </w:pPr>
    <w:rPr>
      <w:b/>
      <w:color w:val="646464" w:themeColor="background2"/>
    </w:rPr>
  </w:style>
  <w:style w:type="paragraph" w:styleId="Heading5">
    <w:name w:val="heading 5"/>
    <w:aliases w:val="Table Appendices,Level 3 - i,h5,1cm Indent,Heading 5(unused),Level 3 - (i),Third Level Heading,Response Type,Response Type1,Response Type2,Response Type3,Response Type4,Response Type5,Response Type6,Response Type7,Appendix A to X,H5"/>
    <w:basedOn w:val="Normal"/>
    <w:next w:val="Normal"/>
    <w:link w:val="Heading5Char"/>
    <w:uiPriority w:val="2"/>
    <w:qFormat/>
    <w:rsid w:val="00A63320"/>
    <w:pPr>
      <w:keepNext/>
      <w:numPr>
        <w:ilvl w:val="5"/>
        <w:numId w:val="5"/>
      </w:numPr>
      <w:tabs>
        <w:tab w:val="left" w:pos="1418"/>
      </w:tabs>
      <w:spacing w:before="200" w:after="0"/>
      <w:outlineLvl w:val="4"/>
    </w:pPr>
    <w:rPr>
      <w:rFonts w:asciiTheme="majorHAnsi" w:eastAsiaTheme="majorEastAsia" w:hAnsiTheme="majorHAnsi" w:cstheme="majorBidi"/>
      <w:b/>
      <w:color w:val="646464" w:themeColor="background2"/>
    </w:rPr>
  </w:style>
  <w:style w:type="paragraph" w:styleId="Heading6">
    <w:name w:val="heading 6"/>
    <w:aliases w:val="Legal Level 1.,level 1 bullet 1,level 1 bullet Char,level 1 bullet Char Char Char,level 1 bullet,level 1 bullet 1 Char Char Char,level 1 bullet 1 Char Char Char Char Char Char Char,level 1 bullet 1 Char Char Char Char Char Char Char Cha"/>
    <w:basedOn w:val="Normal"/>
    <w:next w:val="Normal"/>
    <w:link w:val="Heading6Char"/>
    <w:uiPriority w:val="9"/>
    <w:semiHidden/>
    <w:unhideWhenUsed/>
    <w:qFormat/>
    <w:rsid w:val="00360825"/>
    <w:pPr>
      <w:tabs>
        <w:tab w:val="num" w:pos="1152"/>
      </w:tabs>
      <w:spacing w:before="240" w:after="60" w:line="240" w:lineRule="auto"/>
      <w:ind w:left="1152" w:hanging="1152"/>
      <w:jc w:val="left"/>
      <w:outlineLvl w:val="5"/>
    </w:pPr>
    <w:rPr>
      <w:rFonts w:ascii="Times New Roman" w:hAnsi="Times New Roman"/>
      <w:b/>
      <w:bCs/>
      <w:sz w:val="22"/>
      <w:szCs w:val="22"/>
      <w:lang w:eastAsia="en-US"/>
    </w:rPr>
  </w:style>
  <w:style w:type="paragraph" w:styleId="Heading7">
    <w:name w:val="heading 7"/>
    <w:basedOn w:val="Normal"/>
    <w:next w:val="Normal"/>
    <w:link w:val="Heading7Char"/>
    <w:uiPriority w:val="9"/>
    <w:semiHidden/>
    <w:unhideWhenUsed/>
    <w:qFormat/>
    <w:rsid w:val="00360825"/>
    <w:pPr>
      <w:tabs>
        <w:tab w:val="num" w:pos="1296"/>
      </w:tabs>
      <w:spacing w:before="240" w:after="60" w:line="240" w:lineRule="auto"/>
      <w:ind w:left="1296" w:hanging="1296"/>
      <w:jc w:val="left"/>
      <w:outlineLvl w:val="6"/>
    </w:pPr>
    <w:rPr>
      <w:rFonts w:ascii="Times New Roman" w:hAnsi="Times New Roman"/>
      <w:sz w:val="24"/>
      <w:szCs w:val="24"/>
      <w:lang w:eastAsia="en-US"/>
    </w:rPr>
  </w:style>
  <w:style w:type="paragraph" w:styleId="Heading8">
    <w:name w:val="heading 8"/>
    <w:aliases w:val="Bullet 3"/>
    <w:basedOn w:val="Normal"/>
    <w:next w:val="Normal"/>
    <w:link w:val="Heading8Char"/>
    <w:uiPriority w:val="9"/>
    <w:semiHidden/>
    <w:unhideWhenUsed/>
    <w:qFormat/>
    <w:rsid w:val="00360825"/>
    <w:pPr>
      <w:tabs>
        <w:tab w:val="num" w:pos="1440"/>
      </w:tabs>
      <w:spacing w:before="240" w:after="60" w:line="240" w:lineRule="auto"/>
      <w:ind w:left="1440" w:hanging="1440"/>
      <w:jc w:val="left"/>
      <w:outlineLvl w:val="7"/>
    </w:pPr>
    <w:rPr>
      <w:rFonts w:ascii="Times New Roman" w:hAnsi="Times New Roman"/>
      <w:i/>
      <w:iCs/>
      <w:sz w:val="24"/>
      <w:szCs w:val="24"/>
      <w:lang w:eastAsia="en-US"/>
    </w:rPr>
  </w:style>
  <w:style w:type="paragraph" w:styleId="Heading9">
    <w:name w:val="heading 9"/>
    <w:basedOn w:val="Normal"/>
    <w:next w:val="Normal"/>
    <w:link w:val="Heading9Char"/>
    <w:uiPriority w:val="9"/>
    <w:semiHidden/>
    <w:unhideWhenUsed/>
    <w:qFormat/>
    <w:rsid w:val="00360825"/>
    <w:pPr>
      <w:tabs>
        <w:tab w:val="num" w:pos="1584"/>
      </w:tabs>
      <w:spacing w:before="240" w:after="60" w:line="240" w:lineRule="auto"/>
      <w:ind w:left="1584" w:hanging="1584"/>
      <w:jc w:val="left"/>
      <w:outlineLvl w:val="8"/>
    </w:pPr>
    <w:rPr>
      <w:rFonts w:ascii="Arial" w:hAnsi="Arial" w:cs="Arial"/>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Char,Heading 1 - chapter Char,Chapter Char,Chapter head Char,L1 Char,CH Char,. (1.0) Char,Do Not Use Char,Numbered 1 Char,H1 Char,H11 Char,H12 Char,Chapter1 Char,Chapter2 Char,Chapter Hdg Char,Section Heading Char,Outline1 Char"/>
    <w:basedOn w:val="DefaultParagraphFont"/>
    <w:link w:val="Heading1"/>
    <w:uiPriority w:val="2"/>
    <w:rsid w:val="00586065"/>
    <w:rPr>
      <w:rFonts w:asciiTheme="majorHAnsi" w:eastAsiaTheme="majorEastAsia" w:hAnsiTheme="majorHAnsi" w:cstheme="majorBidi"/>
      <w:b/>
      <w:bCs/>
      <w:caps/>
      <w:color w:val="000000" w:themeColor="text1"/>
      <w:sz w:val="28"/>
      <w:szCs w:val="28"/>
    </w:rPr>
  </w:style>
  <w:style w:type="character" w:customStyle="1" w:styleId="Heading2Char">
    <w:name w:val="Heading 2 Char"/>
    <w:aliases w:val="F7 Sub Heading Char,Main Heading Char,Main Headi Char,Heading 2a Char,Sub Heading Char,Numbered - 2 Char,do not use Char,h2 Char,2 Char,Titre 2 Char,l2 Char,list + change bar Char,??? Char,h21 Char,ASection Char,ash Char,PARA2 Char,m Char"/>
    <w:basedOn w:val="DefaultParagraphFont"/>
    <w:link w:val="Heading2"/>
    <w:uiPriority w:val="2"/>
    <w:rsid w:val="00A711B2"/>
    <w:rPr>
      <w:rFonts w:asciiTheme="minorHAnsi" w:hAnsiTheme="minorHAnsi"/>
      <w:b/>
      <w:color w:val="000000" w:themeColor="text1"/>
    </w:rPr>
  </w:style>
  <w:style w:type="character" w:customStyle="1" w:styleId="Heading3Char">
    <w:name w:val="Heading 3 Char"/>
    <w:aliases w:val="F6 Sub sub Heading Char,Heading 3 Char Char Char Char Char1,Heading 3 Char Char Char Char Char Char,Heading 3 Char Char Char Char1,Heading 3 Char Char Char Char Char Char Char Char Char Char Char,Numbered Paragraph Char,Mia Char"/>
    <w:basedOn w:val="DefaultParagraphFont"/>
    <w:link w:val="Heading3"/>
    <w:uiPriority w:val="2"/>
    <w:rsid w:val="00821ADC"/>
    <w:rPr>
      <w:rFonts w:asciiTheme="minorHAnsi" w:hAnsiTheme="minorHAnsi"/>
      <w:b/>
    </w:rPr>
  </w:style>
  <w:style w:type="character" w:customStyle="1" w:styleId="Heading4Char">
    <w:name w:val="Heading 4 Char"/>
    <w:aliases w:val="Table Char"/>
    <w:basedOn w:val="DefaultParagraphFont"/>
    <w:link w:val="Heading4"/>
    <w:uiPriority w:val="2"/>
    <w:rsid w:val="00671CB6"/>
    <w:rPr>
      <w:rFonts w:asciiTheme="minorHAnsi" w:hAnsiTheme="minorHAnsi"/>
      <w:b/>
      <w:color w:val="646464" w:themeColor="background2"/>
    </w:rPr>
  </w:style>
  <w:style w:type="paragraph" w:styleId="Quote">
    <w:name w:val="Quote"/>
    <w:basedOn w:val="Normal"/>
    <w:next w:val="BodyText"/>
    <w:link w:val="QuoteChar"/>
    <w:uiPriority w:val="4"/>
    <w:qFormat/>
    <w:rsid w:val="00A903F1"/>
    <w:pPr>
      <w:shd w:val="clear" w:color="auto" w:fill="222C56"/>
      <w:ind w:left="142" w:right="142"/>
      <w:jc w:val="left"/>
    </w:pPr>
    <w:rPr>
      <w:i/>
      <w:iCs/>
      <w:color w:val="FFFFFF" w:themeColor="background1"/>
      <w:szCs w:val="24"/>
    </w:rPr>
  </w:style>
  <w:style w:type="character" w:customStyle="1" w:styleId="QuoteChar">
    <w:name w:val="Quote Char"/>
    <w:basedOn w:val="DefaultParagraphFont"/>
    <w:link w:val="Quote"/>
    <w:uiPriority w:val="4"/>
    <w:rsid w:val="00A903F1"/>
    <w:rPr>
      <w:rFonts w:asciiTheme="minorHAnsi" w:hAnsiTheme="minorHAnsi"/>
      <w:i/>
      <w:iCs/>
      <w:color w:val="FFFFFF" w:themeColor="background1"/>
      <w:szCs w:val="24"/>
      <w:shd w:val="clear" w:color="auto" w:fill="222C56"/>
    </w:rPr>
  </w:style>
  <w:style w:type="paragraph" w:styleId="BodyText">
    <w:name w:val="Body Text"/>
    <w:basedOn w:val="Normal"/>
    <w:link w:val="BodyTextChar"/>
    <w:uiPriority w:val="1"/>
    <w:qFormat/>
    <w:rsid w:val="00F35753"/>
    <w:pPr>
      <w:numPr>
        <w:ilvl w:val="1"/>
        <w:numId w:val="5"/>
      </w:numPr>
    </w:pPr>
  </w:style>
  <w:style w:type="character" w:customStyle="1" w:styleId="BodyTextChar">
    <w:name w:val="Body Text Char"/>
    <w:basedOn w:val="DefaultParagraphFont"/>
    <w:link w:val="BodyText"/>
    <w:uiPriority w:val="1"/>
    <w:rsid w:val="00F35753"/>
    <w:rPr>
      <w:rFonts w:asciiTheme="minorHAnsi" w:hAnsiTheme="minorHAnsi"/>
    </w:rPr>
  </w:style>
  <w:style w:type="paragraph" w:styleId="ListBullet">
    <w:name w:val="List Bullet"/>
    <w:basedOn w:val="Normal"/>
    <w:uiPriority w:val="1"/>
    <w:qFormat/>
    <w:rsid w:val="00A903F1"/>
    <w:pPr>
      <w:numPr>
        <w:numId w:val="1"/>
      </w:numPr>
      <w:spacing w:after="240"/>
      <w:ind w:left="357" w:hanging="357"/>
    </w:pPr>
  </w:style>
  <w:style w:type="paragraph" w:customStyle="1" w:styleId="BodyTextfortables">
    <w:name w:val="Body Text_for tables"/>
    <w:basedOn w:val="BodyText"/>
    <w:uiPriority w:val="1"/>
    <w:rsid w:val="00F35753"/>
    <w:pPr>
      <w:numPr>
        <w:ilvl w:val="0"/>
        <w:numId w:val="0"/>
      </w:numPr>
      <w:spacing w:before="60" w:after="60" w:line="264" w:lineRule="auto"/>
      <w:jc w:val="left"/>
    </w:pPr>
  </w:style>
  <w:style w:type="paragraph" w:customStyle="1" w:styleId="BodyTextbeforebullet">
    <w:name w:val="Body Text_before bullet"/>
    <w:basedOn w:val="BodyText"/>
    <w:next w:val="ListBullet"/>
    <w:uiPriority w:val="1"/>
    <w:qFormat/>
    <w:rsid w:val="00690AD6"/>
    <w:pPr>
      <w:keepNext/>
      <w:keepLines/>
      <w:spacing w:after="120"/>
    </w:pPr>
  </w:style>
  <w:style w:type="paragraph" w:customStyle="1" w:styleId="Notes">
    <w:name w:val="Notes"/>
    <w:basedOn w:val="Normal"/>
    <w:next w:val="BodyText"/>
    <w:uiPriority w:val="6"/>
    <w:rsid w:val="00241FE4"/>
    <w:pPr>
      <w:tabs>
        <w:tab w:val="left" w:pos="709"/>
      </w:tabs>
      <w:spacing w:before="60" w:after="240" w:line="480" w:lineRule="auto"/>
      <w:jc w:val="left"/>
    </w:pPr>
    <w:rPr>
      <w:color w:val="808080" w:themeColor="background1" w:themeShade="80"/>
      <w:sz w:val="18"/>
      <w:szCs w:val="18"/>
    </w:rPr>
  </w:style>
  <w:style w:type="paragraph" w:customStyle="1" w:styleId="NormalIndent">
    <w:name w:val="Normal_Indent"/>
    <w:basedOn w:val="Normal"/>
    <w:uiPriority w:val="7"/>
    <w:rsid w:val="00F35753"/>
    <w:pPr>
      <w:ind w:left="567" w:hanging="567"/>
    </w:pPr>
  </w:style>
  <w:style w:type="paragraph" w:customStyle="1" w:styleId="Normalbeforebullet">
    <w:name w:val="Normal_before bullet"/>
    <w:basedOn w:val="Normal"/>
    <w:uiPriority w:val="7"/>
    <w:rsid w:val="00690AD6"/>
    <w:pPr>
      <w:spacing w:after="120"/>
    </w:pPr>
  </w:style>
  <w:style w:type="paragraph" w:customStyle="1" w:styleId="TOCtitle">
    <w:name w:val="TOC title"/>
    <w:basedOn w:val="Normal"/>
    <w:uiPriority w:val="9"/>
    <w:semiHidden/>
    <w:rsid w:val="00690AD6"/>
    <w:pPr>
      <w:keepNext/>
      <w:keepLines/>
      <w:pageBreakBefore/>
      <w:spacing w:after="1440"/>
    </w:pPr>
    <w:rPr>
      <w:b/>
      <w:caps/>
      <w:color w:val="000000" w:themeColor="text1"/>
      <w:sz w:val="28"/>
      <w:szCs w:val="28"/>
    </w:rPr>
  </w:style>
  <w:style w:type="character" w:styleId="Hyperlink">
    <w:name w:val="Hyperlink"/>
    <w:basedOn w:val="DefaultParagraphFont"/>
    <w:uiPriority w:val="99"/>
    <w:rsid w:val="00690AD6"/>
    <w:rPr>
      <w:color w:val="2C2A6B" w:themeColor="hyperlink"/>
      <w:u w:val="single"/>
    </w:rPr>
  </w:style>
  <w:style w:type="paragraph" w:styleId="TOC1">
    <w:name w:val="toc 1"/>
    <w:basedOn w:val="Normal"/>
    <w:next w:val="Normal"/>
    <w:link w:val="TOC1Char"/>
    <w:autoRedefine/>
    <w:uiPriority w:val="39"/>
    <w:rsid w:val="00607E11"/>
    <w:pPr>
      <w:tabs>
        <w:tab w:val="left" w:pos="440"/>
        <w:tab w:val="right" w:leader="dot" w:pos="7938"/>
      </w:tabs>
      <w:spacing w:after="100"/>
      <w:ind w:right="1983"/>
    </w:pPr>
    <w:rPr>
      <w:caps/>
      <w:noProof/>
    </w:rPr>
  </w:style>
  <w:style w:type="paragraph" w:styleId="Title">
    <w:name w:val="Title"/>
    <w:basedOn w:val="Normal"/>
    <w:next w:val="Normal"/>
    <w:link w:val="TitleChar"/>
    <w:uiPriority w:val="99"/>
    <w:qFormat/>
    <w:rsid w:val="00AE69C1"/>
    <w:pPr>
      <w:spacing w:after="300" w:line="240" w:lineRule="auto"/>
      <w:contextualSpacing/>
      <w:jc w:val="left"/>
    </w:pPr>
    <w:rPr>
      <w:rFonts w:asciiTheme="majorHAnsi" w:eastAsiaTheme="majorEastAsia" w:hAnsiTheme="majorHAnsi" w:cstheme="majorBidi"/>
      <w:color w:val="000000" w:themeColor="text1"/>
      <w:spacing w:val="5"/>
      <w:kern w:val="28"/>
      <w:sz w:val="48"/>
      <w:szCs w:val="52"/>
    </w:rPr>
  </w:style>
  <w:style w:type="character" w:customStyle="1" w:styleId="TitleChar">
    <w:name w:val="Title Char"/>
    <w:basedOn w:val="DefaultParagraphFont"/>
    <w:link w:val="Title"/>
    <w:uiPriority w:val="99"/>
    <w:rsid w:val="00AE69C1"/>
    <w:rPr>
      <w:rFonts w:asciiTheme="majorHAnsi" w:eastAsiaTheme="majorEastAsia" w:hAnsiTheme="majorHAnsi" w:cstheme="majorBidi"/>
      <w:color w:val="000000" w:themeColor="text1"/>
      <w:spacing w:val="5"/>
      <w:kern w:val="28"/>
      <w:sz w:val="48"/>
      <w:szCs w:val="52"/>
    </w:rPr>
  </w:style>
  <w:style w:type="paragraph" w:styleId="Subtitle">
    <w:name w:val="Subtitle"/>
    <w:aliases w:val="Policy Title"/>
    <w:basedOn w:val="Normal"/>
    <w:next w:val="Normal"/>
    <w:link w:val="SubtitleChar"/>
    <w:uiPriority w:val="11"/>
    <w:qFormat/>
    <w:rsid w:val="00EE347A"/>
    <w:pPr>
      <w:spacing w:after="0" w:line="240" w:lineRule="auto"/>
    </w:pPr>
    <w:rPr>
      <w:sz w:val="32"/>
      <w:szCs w:val="32"/>
    </w:rPr>
  </w:style>
  <w:style w:type="character" w:customStyle="1" w:styleId="SubtitleChar">
    <w:name w:val="Subtitle Char"/>
    <w:aliases w:val="Policy Title Char"/>
    <w:basedOn w:val="DefaultParagraphFont"/>
    <w:link w:val="Subtitle"/>
    <w:uiPriority w:val="11"/>
    <w:rsid w:val="00EE347A"/>
    <w:rPr>
      <w:rFonts w:asciiTheme="minorHAnsi" w:hAnsiTheme="minorHAnsi"/>
      <w:sz w:val="32"/>
      <w:szCs w:val="32"/>
    </w:rPr>
  </w:style>
  <w:style w:type="paragraph" w:styleId="Header">
    <w:name w:val="header"/>
    <w:aliases w:val="Transport &amp; Traffic"/>
    <w:basedOn w:val="Normal"/>
    <w:link w:val="HeaderChar"/>
    <w:uiPriority w:val="99"/>
    <w:semiHidden/>
    <w:rsid w:val="00821ADC"/>
    <w:pPr>
      <w:pBdr>
        <w:bottom w:val="single" w:sz="4" w:space="6" w:color="808080" w:themeColor="background1" w:themeShade="80"/>
      </w:pBdr>
      <w:tabs>
        <w:tab w:val="center" w:pos="4513"/>
        <w:tab w:val="right" w:pos="9026"/>
      </w:tabs>
      <w:spacing w:after="0" w:line="240" w:lineRule="auto"/>
    </w:pPr>
    <w:rPr>
      <w:noProof/>
      <w:sz w:val="16"/>
      <w:szCs w:val="16"/>
    </w:rPr>
  </w:style>
  <w:style w:type="character" w:customStyle="1" w:styleId="HeaderChar">
    <w:name w:val="Header Char"/>
    <w:aliases w:val="Transport &amp; Traffic Char"/>
    <w:basedOn w:val="DefaultParagraphFont"/>
    <w:link w:val="Header"/>
    <w:uiPriority w:val="99"/>
    <w:semiHidden/>
    <w:rsid w:val="00821ADC"/>
    <w:rPr>
      <w:rFonts w:asciiTheme="minorHAnsi" w:hAnsiTheme="minorHAnsi"/>
      <w:noProof/>
      <w:sz w:val="16"/>
      <w:szCs w:val="16"/>
    </w:rPr>
  </w:style>
  <w:style w:type="paragraph" w:styleId="Footer">
    <w:name w:val="footer"/>
    <w:basedOn w:val="Normal"/>
    <w:link w:val="FooterChar"/>
    <w:uiPriority w:val="99"/>
    <w:rsid w:val="00821ADC"/>
    <w:pPr>
      <w:pBdr>
        <w:top w:val="single" w:sz="4" w:space="5" w:color="808080" w:themeColor="background1" w:themeShade="80"/>
      </w:pBdr>
      <w:tabs>
        <w:tab w:val="right" w:pos="8789"/>
      </w:tabs>
      <w:spacing w:after="0" w:line="240" w:lineRule="auto"/>
    </w:pPr>
    <w:rPr>
      <w:sz w:val="16"/>
      <w:szCs w:val="16"/>
    </w:rPr>
  </w:style>
  <w:style w:type="character" w:customStyle="1" w:styleId="FooterChar">
    <w:name w:val="Footer Char"/>
    <w:basedOn w:val="DefaultParagraphFont"/>
    <w:link w:val="Footer"/>
    <w:uiPriority w:val="99"/>
    <w:rsid w:val="00821ADC"/>
    <w:rPr>
      <w:rFonts w:asciiTheme="minorHAnsi" w:hAnsiTheme="minorHAnsi"/>
      <w:sz w:val="16"/>
      <w:szCs w:val="16"/>
    </w:rPr>
  </w:style>
  <w:style w:type="paragraph" w:customStyle="1" w:styleId="Clientlinktofooter">
    <w:name w:val="Client_link to footer"/>
    <w:basedOn w:val="Normal"/>
    <w:uiPriority w:val="5"/>
    <w:semiHidden/>
    <w:rsid w:val="00F35753"/>
    <w:pPr>
      <w:ind w:right="4005"/>
      <w:jc w:val="left"/>
    </w:pPr>
    <w:rPr>
      <w:sz w:val="24"/>
    </w:rPr>
  </w:style>
  <w:style w:type="paragraph" w:customStyle="1" w:styleId="Datelinktofooter">
    <w:name w:val="Date_link to footer"/>
    <w:basedOn w:val="Normal"/>
    <w:uiPriority w:val="5"/>
    <w:semiHidden/>
    <w:rsid w:val="00E96FF0"/>
    <w:rPr>
      <w:sz w:val="24"/>
      <w:szCs w:val="28"/>
    </w:rPr>
  </w:style>
  <w:style w:type="paragraph" w:customStyle="1" w:styleId="Contactdetails">
    <w:name w:val="Contact details"/>
    <w:basedOn w:val="Normal"/>
    <w:uiPriority w:val="5"/>
    <w:semiHidden/>
    <w:rsid w:val="006F2F0B"/>
    <w:pPr>
      <w:spacing w:after="0" w:line="288" w:lineRule="auto"/>
    </w:pPr>
    <w:rPr>
      <w:sz w:val="18"/>
    </w:rPr>
  </w:style>
  <w:style w:type="table" w:customStyle="1" w:styleId="ICENITABLES">
    <w:name w:val="¬ICENI TABLES"/>
    <w:basedOn w:val="TableNormal"/>
    <w:uiPriority w:val="99"/>
    <w:rsid w:val="00690AD6"/>
    <w:pPr>
      <w:jc w:val="center"/>
    </w:p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rPr>
      <w:cantSplit/>
    </w:trPr>
    <w:tcPr>
      <w:shd w:val="clear" w:color="auto" w:fill="FFFFFF" w:themeFill="background1"/>
    </w:tcPr>
    <w:tblStylePr w:type="firstRow">
      <w:tblPr/>
      <w:tcPr>
        <w:tcBorders>
          <w:bottom w:val="single" w:sz="4" w:space="0" w:color="000000" w:themeColor="text1"/>
        </w:tcBorders>
        <w:shd w:val="clear" w:color="auto" w:fill="F2F2F2" w:themeFill="background1" w:themeFillShade="F2"/>
      </w:tcPr>
    </w:tblStylePr>
    <w:tblStylePr w:type="firstCol">
      <w:pPr>
        <w:wordWrap/>
        <w:jc w:val="left"/>
      </w:pPr>
    </w:tblStylePr>
  </w:style>
  <w:style w:type="paragraph" w:styleId="BalloonText">
    <w:name w:val="Balloon Text"/>
    <w:basedOn w:val="Normal"/>
    <w:link w:val="BalloonTextChar"/>
    <w:uiPriority w:val="99"/>
    <w:semiHidden/>
    <w:rsid w:val="008838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38FF"/>
    <w:rPr>
      <w:rFonts w:ascii="Tahoma" w:hAnsi="Tahoma" w:cs="Tahoma"/>
      <w:sz w:val="16"/>
      <w:szCs w:val="16"/>
    </w:rPr>
  </w:style>
  <w:style w:type="character" w:customStyle="1" w:styleId="Bold">
    <w:name w:val="Bold"/>
    <w:basedOn w:val="DefaultParagraphFont"/>
    <w:semiHidden/>
    <w:rsid w:val="006F2F0B"/>
    <w:rPr>
      <w:b/>
    </w:rPr>
  </w:style>
  <w:style w:type="paragraph" w:customStyle="1" w:styleId="Sidebartext1">
    <w:name w:val="Sidebar text1"/>
    <w:basedOn w:val="Normal"/>
    <w:uiPriority w:val="5"/>
    <w:semiHidden/>
    <w:rsid w:val="00D66A27"/>
    <w:pPr>
      <w:spacing w:after="0" w:line="240" w:lineRule="auto"/>
      <w:ind w:left="113" w:right="113"/>
    </w:pPr>
    <w:rPr>
      <w:caps/>
      <w:color w:val="1E1C5B"/>
    </w:rPr>
  </w:style>
  <w:style w:type="paragraph" w:styleId="FootnoteText">
    <w:name w:val="footnote text"/>
    <w:aliases w:val="Char Char,Footnote Text Char Char,Char Char1,~Footnote,Harestanes Ref,RSK-FT,RSK-FT1,RSK-FT2, Char Char Char"/>
    <w:basedOn w:val="Normal"/>
    <w:link w:val="FootnoteTextChar"/>
    <w:uiPriority w:val="99"/>
    <w:qFormat/>
    <w:rsid w:val="00F35753"/>
    <w:pPr>
      <w:spacing w:after="0" w:line="480" w:lineRule="auto"/>
    </w:pPr>
    <w:rPr>
      <w:sz w:val="16"/>
    </w:rPr>
  </w:style>
  <w:style w:type="character" w:customStyle="1" w:styleId="FootnoteTextChar">
    <w:name w:val="Footnote Text Char"/>
    <w:aliases w:val="Char Char Char,Footnote Text Char Char Char,Char Char1 Char,~Footnote Char,Harestanes Ref Char,RSK-FT Char,RSK-FT1 Char,RSK-FT2 Char, Char Char Char Char"/>
    <w:basedOn w:val="DefaultParagraphFont"/>
    <w:link w:val="FootnoteText"/>
    <w:uiPriority w:val="99"/>
    <w:rsid w:val="00F35753"/>
    <w:rPr>
      <w:rFonts w:asciiTheme="minorHAnsi" w:hAnsiTheme="minorHAnsi"/>
      <w:sz w:val="16"/>
    </w:rPr>
  </w:style>
  <w:style w:type="character" w:styleId="FootnoteReference">
    <w:name w:val="footnote reference"/>
    <w:basedOn w:val="DefaultParagraphFont"/>
    <w:uiPriority w:val="99"/>
    <w:rsid w:val="00814030"/>
    <w:rPr>
      <w:vertAlign w:val="superscript"/>
    </w:rPr>
  </w:style>
  <w:style w:type="paragraph" w:customStyle="1" w:styleId="Normalwhite">
    <w:name w:val="Normal_white"/>
    <w:basedOn w:val="Normal"/>
    <w:uiPriority w:val="7"/>
    <w:rsid w:val="00CE3260"/>
    <w:rPr>
      <w:color w:val="FFFFFF" w:themeColor="background1"/>
    </w:rPr>
  </w:style>
  <w:style w:type="table" w:styleId="TableGrid">
    <w:name w:val="Table Grid"/>
    <w:aliases w:val="Report Table"/>
    <w:basedOn w:val="TableNormal"/>
    <w:rsid w:val="006E06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ll-outheading">
    <w:name w:val="Pull-out heading"/>
    <w:basedOn w:val="Normal"/>
    <w:next w:val="Normal"/>
    <w:uiPriority w:val="7"/>
    <w:rsid w:val="006E06A8"/>
    <w:pPr>
      <w:spacing w:before="180"/>
    </w:pPr>
    <w:rPr>
      <w:b/>
    </w:rPr>
  </w:style>
  <w:style w:type="paragraph" w:customStyle="1" w:styleId="BodytextAppendices">
    <w:name w:val="Body text_Appendices"/>
    <w:basedOn w:val="Normal"/>
    <w:uiPriority w:val="1"/>
    <w:qFormat/>
    <w:rsid w:val="00D323CC"/>
    <w:pPr>
      <w:numPr>
        <w:ilvl w:val="4"/>
        <w:numId w:val="5"/>
      </w:numPr>
      <w:tabs>
        <w:tab w:val="left" w:pos="0"/>
      </w:tabs>
    </w:pPr>
  </w:style>
  <w:style w:type="paragraph" w:customStyle="1" w:styleId="HeadingAppendices">
    <w:name w:val="Heading Appendices"/>
    <w:basedOn w:val="Normal"/>
    <w:next w:val="BodytextAppendices"/>
    <w:uiPriority w:val="2"/>
    <w:qFormat/>
    <w:rsid w:val="00E26086"/>
    <w:pPr>
      <w:keepNext/>
      <w:keepLines/>
      <w:pageBreakBefore/>
      <w:numPr>
        <w:ilvl w:val="3"/>
        <w:numId w:val="5"/>
      </w:numPr>
      <w:spacing w:after="600"/>
      <w:ind w:left="0" w:hanging="709"/>
    </w:pPr>
    <w:rPr>
      <w:rFonts w:asciiTheme="majorHAnsi" w:hAnsiTheme="majorHAnsi"/>
      <w:b/>
      <w:caps/>
      <w:sz w:val="28"/>
    </w:rPr>
  </w:style>
  <w:style w:type="character" w:customStyle="1" w:styleId="Heading5Char">
    <w:name w:val="Heading 5 Char"/>
    <w:aliases w:val="Table Appendices Char,Level 3 - i Char,h5 Char,1cm Indent Char,Heading 5(unused) Char,Level 3 - (i) Char,Third Level Heading Char,Response Type Char,Response Type1 Char,Response Type2 Char,Response Type3 Char,Response Type4 Char,H5 Char"/>
    <w:basedOn w:val="DefaultParagraphFont"/>
    <w:link w:val="Heading5"/>
    <w:uiPriority w:val="2"/>
    <w:rsid w:val="00A63320"/>
    <w:rPr>
      <w:rFonts w:asciiTheme="majorHAnsi" w:eastAsiaTheme="majorEastAsia" w:hAnsiTheme="majorHAnsi" w:cstheme="majorBidi"/>
      <w:b/>
      <w:color w:val="646464" w:themeColor="background2"/>
    </w:rPr>
  </w:style>
  <w:style w:type="paragraph" w:customStyle="1" w:styleId="Pull-outheadingwhite">
    <w:name w:val="Pull-out heading_white"/>
    <w:basedOn w:val="Pull-outheading"/>
    <w:next w:val="Normalwhite"/>
    <w:uiPriority w:val="7"/>
    <w:rsid w:val="00CE3260"/>
    <w:rPr>
      <w:color w:val="FFFFFF" w:themeColor="background1"/>
    </w:rPr>
  </w:style>
  <w:style w:type="paragraph" w:customStyle="1" w:styleId="Logo">
    <w:name w:val="Logo"/>
    <w:basedOn w:val="Normal"/>
    <w:uiPriority w:val="7"/>
    <w:semiHidden/>
    <w:rsid w:val="00961732"/>
    <w:pPr>
      <w:spacing w:before="720" w:after="0" w:line="240" w:lineRule="auto"/>
    </w:pPr>
    <w:rPr>
      <w:noProof/>
    </w:rPr>
  </w:style>
  <w:style w:type="paragraph" w:customStyle="1" w:styleId="Sidebartext2">
    <w:name w:val="Sidebar text2"/>
    <w:basedOn w:val="Sidebartext1"/>
    <w:uiPriority w:val="5"/>
    <w:semiHidden/>
    <w:rsid w:val="00961732"/>
    <w:rPr>
      <w:b/>
      <w:caps w:val="0"/>
      <w:sz w:val="28"/>
    </w:rPr>
  </w:style>
  <w:style w:type="paragraph" w:customStyle="1" w:styleId="Sub-title">
    <w:name w:val="Sub-title"/>
    <w:basedOn w:val="Subtitle"/>
    <w:uiPriority w:val="4"/>
    <w:semiHidden/>
    <w:rsid w:val="00F35753"/>
    <w:pPr>
      <w:jc w:val="left"/>
    </w:pPr>
  </w:style>
  <w:style w:type="paragraph" w:styleId="ListBullet2">
    <w:name w:val="List Bullet 2"/>
    <w:basedOn w:val="Normal"/>
    <w:uiPriority w:val="1"/>
    <w:qFormat/>
    <w:rsid w:val="00A903F1"/>
    <w:pPr>
      <w:numPr>
        <w:numId w:val="2"/>
      </w:numPr>
      <w:spacing w:after="240"/>
      <w:ind w:left="641" w:hanging="357"/>
    </w:pPr>
  </w:style>
  <w:style w:type="paragraph" w:styleId="ListNumber">
    <w:name w:val="List Number"/>
    <w:basedOn w:val="Normal"/>
    <w:uiPriority w:val="1"/>
    <w:rsid w:val="00A903F1"/>
    <w:pPr>
      <w:numPr>
        <w:numId w:val="3"/>
      </w:numPr>
      <w:contextualSpacing/>
    </w:pPr>
  </w:style>
  <w:style w:type="paragraph" w:styleId="ListNumber2">
    <w:name w:val="List Number 2"/>
    <w:basedOn w:val="Normal"/>
    <w:uiPriority w:val="1"/>
    <w:rsid w:val="00A903F1"/>
    <w:pPr>
      <w:numPr>
        <w:numId w:val="4"/>
      </w:numPr>
      <w:contextualSpacing/>
    </w:pPr>
  </w:style>
  <w:style w:type="paragraph" w:customStyle="1" w:styleId="Contents">
    <w:name w:val="Contents"/>
    <w:basedOn w:val="TOCtitle"/>
    <w:uiPriority w:val="7"/>
    <w:rsid w:val="00ED4661"/>
  </w:style>
  <w:style w:type="paragraph" w:styleId="TOC3">
    <w:name w:val="toc 3"/>
    <w:basedOn w:val="Normal"/>
    <w:next w:val="Normal"/>
    <w:autoRedefine/>
    <w:uiPriority w:val="39"/>
    <w:rsid w:val="00ED4661"/>
    <w:pPr>
      <w:spacing w:after="100"/>
      <w:ind w:left="400"/>
    </w:pPr>
  </w:style>
  <w:style w:type="paragraph" w:styleId="TOC2">
    <w:name w:val="toc 2"/>
    <w:basedOn w:val="Normal"/>
    <w:next w:val="Normal"/>
    <w:autoRedefine/>
    <w:uiPriority w:val="39"/>
    <w:rsid w:val="00ED4661"/>
    <w:pPr>
      <w:spacing w:after="100"/>
      <w:ind w:left="200"/>
    </w:pPr>
  </w:style>
  <w:style w:type="character" w:customStyle="1" w:styleId="Heading6Char">
    <w:name w:val="Heading 6 Char"/>
    <w:aliases w:val="Legal Level 1. Char,level 1 bullet 1 Char,level 1 bullet Char Char,level 1 bullet Char Char Char Char,level 1 bullet Char1,level 1 bullet 1 Char Char Char Char,level 1 bullet 1 Char Char Char Char Char Char Char Char"/>
    <w:basedOn w:val="DefaultParagraphFont"/>
    <w:link w:val="Heading6"/>
    <w:uiPriority w:val="9"/>
    <w:semiHidden/>
    <w:rsid w:val="00360825"/>
    <w:rPr>
      <w:b/>
      <w:bCs/>
      <w:sz w:val="22"/>
      <w:szCs w:val="22"/>
      <w:lang w:eastAsia="en-US"/>
    </w:rPr>
  </w:style>
  <w:style w:type="character" w:customStyle="1" w:styleId="Heading7Char">
    <w:name w:val="Heading 7 Char"/>
    <w:basedOn w:val="DefaultParagraphFont"/>
    <w:link w:val="Heading7"/>
    <w:uiPriority w:val="9"/>
    <w:semiHidden/>
    <w:rsid w:val="00360825"/>
    <w:rPr>
      <w:sz w:val="24"/>
      <w:szCs w:val="24"/>
      <w:lang w:eastAsia="en-US"/>
    </w:rPr>
  </w:style>
  <w:style w:type="character" w:customStyle="1" w:styleId="Heading8Char">
    <w:name w:val="Heading 8 Char"/>
    <w:aliases w:val="Bullet 3 Char"/>
    <w:basedOn w:val="DefaultParagraphFont"/>
    <w:link w:val="Heading8"/>
    <w:uiPriority w:val="9"/>
    <w:semiHidden/>
    <w:rsid w:val="00360825"/>
    <w:rPr>
      <w:i/>
      <w:iCs/>
      <w:sz w:val="24"/>
      <w:szCs w:val="24"/>
      <w:lang w:eastAsia="en-US"/>
    </w:rPr>
  </w:style>
  <w:style w:type="character" w:customStyle="1" w:styleId="Heading9Char">
    <w:name w:val="Heading 9 Char"/>
    <w:basedOn w:val="DefaultParagraphFont"/>
    <w:link w:val="Heading9"/>
    <w:uiPriority w:val="9"/>
    <w:semiHidden/>
    <w:rsid w:val="00360825"/>
    <w:rPr>
      <w:rFonts w:ascii="Arial" w:hAnsi="Arial" w:cs="Arial"/>
      <w:sz w:val="22"/>
      <w:szCs w:val="22"/>
      <w:lang w:eastAsia="en-US"/>
    </w:rPr>
  </w:style>
  <w:style w:type="paragraph" w:customStyle="1" w:styleId="Bulletblueplain">
    <w:name w:val="Bullet blue plain"/>
    <w:basedOn w:val="Normal"/>
    <w:link w:val="BulletblueplainChar"/>
    <w:qFormat/>
    <w:rsid w:val="00360825"/>
    <w:pPr>
      <w:numPr>
        <w:numId w:val="7"/>
      </w:numPr>
      <w:spacing w:before="60" w:after="60" w:line="240" w:lineRule="atLeast"/>
    </w:pPr>
    <w:rPr>
      <w:rFonts w:ascii="Arial" w:eastAsia="MS PGothic" w:hAnsi="Arial" w:cs="Arial"/>
      <w:color w:val="000000"/>
      <w:szCs w:val="18"/>
      <w:lang w:eastAsia="ja-JP"/>
    </w:rPr>
  </w:style>
  <w:style w:type="character" w:customStyle="1" w:styleId="11BodytextChar">
    <w:name w:val="1.1 Body text Char"/>
    <w:link w:val="11Bodytext"/>
    <w:locked/>
    <w:rsid w:val="00360825"/>
    <w:rPr>
      <w:rFonts w:ascii="Arial" w:eastAsia="MS PGothic" w:hAnsi="Arial" w:cs="Arial"/>
      <w:bCs/>
      <w:color w:val="000000"/>
      <w:lang w:eastAsia="ja-JP"/>
    </w:rPr>
  </w:style>
  <w:style w:type="paragraph" w:customStyle="1" w:styleId="11Bodytext">
    <w:name w:val="1.1 Body text"/>
    <w:basedOn w:val="Normal"/>
    <w:link w:val="11BodytextChar"/>
    <w:qFormat/>
    <w:rsid w:val="00360825"/>
    <w:pPr>
      <w:tabs>
        <w:tab w:val="num" w:pos="794"/>
      </w:tabs>
      <w:spacing w:before="240" w:after="120"/>
      <w:ind w:left="794" w:hanging="794"/>
    </w:pPr>
    <w:rPr>
      <w:rFonts w:ascii="Arial" w:eastAsia="MS PGothic" w:hAnsi="Arial" w:cs="Arial"/>
      <w:bCs/>
      <w:color w:val="000000"/>
      <w:lang w:eastAsia="ja-JP"/>
    </w:rPr>
  </w:style>
  <w:style w:type="paragraph" w:customStyle="1" w:styleId="111Bodytext">
    <w:name w:val="1.1.1 Body text"/>
    <w:basedOn w:val="11Bodytext"/>
    <w:qFormat/>
    <w:rsid w:val="00360825"/>
    <w:pPr>
      <w:numPr>
        <w:ilvl w:val="3"/>
      </w:numPr>
      <w:tabs>
        <w:tab w:val="num" w:pos="360"/>
        <w:tab w:val="num" w:pos="643"/>
        <w:tab w:val="num" w:pos="720"/>
        <w:tab w:val="num" w:pos="794"/>
      </w:tabs>
      <w:spacing w:after="0"/>
      <w:ind w:left="360" w:hanging="360"/>
    </w:pPr>
    <w:rPr>
      <w:bCs w:val="0"/>
    </w:rPr>
  </w:style>
  <w:style w:type="paragraph" w:customStyle="1" w:styleId="1Bodytext">
    <w:name w:val="1 Body text"/>
    <w:basedOn w:val="Normal"/>
    <w:qFormat/>
    <w:rsid w:val="00360825"/>
    <w:pPr>
      <w:numPr>
        <w:numId w:val="8"/>
      </w:numPr>
      <w:spacing w:before="240" w:after="0" w:line="240" w:lineRule="atLeast"/>
      <w:jc w:val="left"/>
    </w:pPr>
    <w:rPr>
      <w:rFonts w:ascii="Arial" w:eastAsia="MS PGothic" w:hAnsi="Arial" w:cs="Arial"/>
      <w:b/>
      <w:bCs/>
      <w:caps/>
      <w:color w:val="000000"/>
      <w:sz w:val="24"/>
      <w:lang w:eastAsia="ja-JP"/>
    </w:rPr>
  </w:style>
  <w:style w:type="table" w:styleId="TableTheme">
    <w:name w:val="Table Theme"/>
    <w:basedOn w:val="TableNormal"/>
    <w:unhideWhenUsed/>
    <w:rsid w:val="00360825"/>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99"/>
    <w:qFormat/>
    <w:rsid w:val="00360825"/>
    <w:rPr>
      <w:b/>
      <w:bCs/>
    </w:rPr>
  </w:style>
  <w:style w:type="table" w:customStyle="1" w:styleId="TableGridLight1">
    <w:name w:val="Table Grid Light1"/>
    <w:basedOn w:val="TableNormal"/>
    <w:uiPriority w:val="40"/>
    <w:rsid w:val="00360825"/>
    <w:rPr>
      <w:rFonts w:ascii="Calibri" w:hAnsi="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60825"/>
    <w:rPr>
      <w:color w:val="646464" w:themeColor="followedHyperlink"/>
      <w:u w:val="single"/>
    </w:rPr>
  </w:style>
  <w:style w:type="character" w:customStyle="1" w:styleId="Heading1Char1">
    <w:name w:val="Heading 1 Char1"/>
    <w:aliases w:val="Heading Char1,Heading 1 - chapter Char1,Chapter Char1,Chapter head Char1,L1 Char1,CH Char1,. (1.0) Char1,Do Not Use Char1,Numbered 1 Char1,H1 Char1,H11 Char1,H12 Char1,Chapter1 Char1,Chapter2 Char1,Chapter Hdg Char1,Section Heading Char1"/>
    <w:basedOn w:val="DefaultParagraphFont"/>
    <w:uiPriority w:val="9"/>
    <w:rsid w:val="00360825"/>
    <w:rPr>
      <w:rFonts w:asciiTheme="majorHAnsi" w:eastAsiaTheme="majorEastAsia" w:hAnsiTheme="majorHAnsi" w:cstheme="majorBidi" w:hint="default"/>
      <w:b/>
      <w:bCs/>
      <w:color w:val="9E0328" w:themeColor="accent1" w:themeShade="BF"/>
      <w:sz w:val="28"/>
      <w:szCs w:val="28"/>
      <w:lang w:val="en-US"/>
    </w:rPr>
  </w:style>
  <w:style w:type="character" w:customStyle="1" w:styleId="Heading2Char1">
    <w:name w:val="Heading 2 Char1"/>
    <w:aliases w:val="F7 Sub Heading Char1,Main Heading Char1,Main Headi Char1,Heading 2a Char1,Sub Heading Char1,Numbered - 2 Char1,do not use Char1,h2 Char1,2 Char1,Titre 2 Char1,l2 Char1,list + change bar Char1,??? Char1,h21 Char1,ASection Char1,ash Char1"/>
    <w:basedOn w:val="DefaultParagraphFont"/>
    <w:uiPriority w:val="2"/>
    <w:semiHidden/>
    <w:rsid w:val="00360825"/>
    <w:rPr>
      <w:rFonts w:asciiTheme="majorHAnsi" w:eastAsiaTheme="majorEastAsia" w:hAnsiTheme="majorHAnsi" w:cstheme="majorBidi"/>
      <w:color w:val="9E0328" w:themeColor="accent1" w:themeShade="BF"/>
      <w:sz w:val="26"/>
      <w:szCs w:val="26"/>
    </w:rPr>
  </w:style>
  <w:style w:type="character" w:customStyle="1" w:styleId="Heading3Char1">
    <w:name w:val="Heading 3 Char1"/>
    <w:aliases w:val="F6 Sub sub Heading Char1,Heading 3 Char Char Char Char Char2,Heading 3 Char Char Char Char Char Char1,Heading 3 Char Char Char Char2,Heading 3 Char Char Char Char Char Char Char Char Char Char Char1,Numbered Paragraph Char1,Mia Char1"/>
    <w:basedOn w:val="DefaultParagraphFont"/>
    <w:uiPriority w:val="2"/>
    <w:semiHidden/>
    <w:rsid w:val="00360825"/>
    <w:rPr>
      <w:rFonts w:asciiTheme="majorHAnsi" w:eastAsiaTheme="majorEastAsia" w:hAnsiTheme="majorHAnsi" w:cstheme="majorBidi"/>
      <w:color w:val="69021A" w:themeColor="accent1" w:themeShade="7F"/>
      <w:sz w:val="24"/>
      <w:szCs w:val="24"/>
    </w:rPr>
  </w:style>
  <w:style w:type="character" w:customStyle="1" w:styleId="Heading4Char1">
    <w:name w:val="Heading 4 Char1"/>
    <w:aliases w:val="Table Char1"/>
    <w:basedOn w:val="DefaultParagraphFont"/>
    <w:uiPriority w:val="2"/>
    <w:semiHidden/>
    <w:rsid w:val="00360825"/>
    <w:rPr>
      <w:rFonts w:asciiTheme="majorHAnsi" w:eastAsiaTheme="majorEastAsia" w:hAnsiTheme="majorHAnsi" w:cstheme="majorBidi"/>
      <w:i/>
      <w:iCs/>
      <w:color w:val="9E0328" w:themeColor="accent1" w:themeShade="BF"/>
    </w:rPr>
  </w:style>
  <w:style w:type="character" w:customStyle="1" w:styleId="Heading5Char1">
    <w:name w:val="Heading 5 Char1"/>
    <w:aliases w:val="Table Appendices Char1,Level 3 - i Char1,h5 Char1,1cm Indent Char1,Heading 5(unused) Char1,Level 3 - (i) Char1,Third Level Heading Char1,Response Type Char1,Response Type1 Char1,Response Type2 Char1,Response Type3 Char1,H5 Char1"/>
    <w:basedOn w:val="DefaultParagraphFont"/>
    <w:uiPriority w:val="2"/>
    <w:semiHidden/>
    <w:rsid w:val="00360825"/>
    <w:rPr>
      <w:rFonts w:asciiTheme="majorHAnsi" w:eastAsiaTheme="majorEastAsia" w:hAnsiTheme="majorHAnsi" w:cstheme="majorBidi"/>
      <w:color w:val="9E0328" w:themeColor="accent1" w:themeShade="BF"/>
    </w:rPr>
  </w:style>
  <w:style w:type="character" w:customStyle="1" w:styleId="Heading6Char1">
    <w:name w:val="Heading 6 Char1"/>
    <w:aliases w:val="Legal Level 1. Char1,level 1 bullet 1 Char1,level 1 bullet Char Char1,level 1 bullet Char Char Char Char1,level 1 bullet Char2,level 1 bullet 1 Char Char Char Char1,level 1 bullet 1 Char Char Char Char Char Char Char Char1"/>
    <w:basedOn w:val="DefaultParagraphFont"/>
    <w:uiPriority w:val="9"/>
    <w:semiHidden/>
    <w:rsid w:val="00360825"/>
    <w:rPr>
      <w:rFonts w:asciiTheme="majorHAnsi" w:eastAsiaTheme="majorEastAsia" w:hAnsiTheme="majorHAnsi" w:cstheme="majorBidi"/>
      <w:color w:val="69021A" w:themeColor="accent1" w:themeShade="7F"/>
    </w:rPr>
  </w:style>
  <w:style w:type="paragraph" w:styleId="HTMLPreformatted">
    <w:name w:val="HTML Preformatted"/>
    <w:basedOn w:val="Normal"/>
    <w:link w:val="HTMLPreformattedChar"/>
    <w:uiPriority w:val="99"/>
    <w:semiHidden/>
    <w:unhideWhenUsed/>
    <w:rsid w:val="003608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rPr>
  </w:style>
  <w:style w:type="character" w:customStyle="1" w:styleId="HTMLPreformattedChar">
    <w:name w:val="HTML Preformatted Char"/>
    <w:basedOn w:val="DefaultParagraphFont"/>
    <w:link w:val="HTMLPreformatted"/>
    <w:uiPriority w:val="99"/>
    <w:semiHidden/>
    <w:rsid w:val="00360825"/>
    <w:rPr>
      <w:rFonts w:ascii="Courier New" w:hAnsi="Courier New" w:cs="Courier New"/>
    </w:rPr>
  </w:style>
  <w:style w:type="paragraph" w:customStyle="1" w:styleId="msonormal0">
    <w:name w:val="msonormal"/>
    <w:basedOn w:val="Normal"/>
    <w:uiPriority w:val="99"/>
    <w:rsid w:val="00360825"/>
    <w:pPr>
      <w:spacing w:before="100" w:after="100" w:line="300" w:lineRule="auto"/>
      <w:jc w:val="left"/>
    </w:pPr>
    <w:rPr>
      <w:rFonts w:ascii="Times New Roman" w:hAnsi="Times New Roman"/>
      <w:sz w:val="24"/>
      <w:szCs w:val="24"/>
    </w:rPr>
  </w:style>
  <w:style w:type="paragraph" w:styleId="NormalWeb">
    <w:name w:val="Normal (Web)"/>
    <w:basedOn w:val="Normal"/>
    <w:uiPriority w:val="99"/>
    <w:semiHidden/>
    <w:unhideWhenUsed/>
    <w:rsid w:val="00360825"/>
    <w:pPr>
      <w:spacing w:before="100" w:after="100" w:line="300" w:lineRule="auto"/>
      <w:jc w:val="left"/>
    </w:pPr>
    <w:rPr>
      <w:rFonts w:ascii="Times New Roman" w:hAnsi="Times New Roman"/>
      <w:sz w:val="24"/>
      <w:szCs w:val="24"/>
    </w:rPr>
  </w:style>
  <w:style w:type="character" w:customStyle="1" w:styleId="Heading8Char1">
    <w:name w:val="Heading 8 Char1"/>
    <w:aliases w:val="Bullet 3 Char1"/>
    <w:basedOn w:val="DefaultParagraphFont"/>
    <w:uiPriority w:val="9"/>
    <w:semiHidden/>
    <w:rsid w:val="00360825"/>
    <w:rPr>
      <w:rFonts w:asciiTheme="majorHAnsi" w:eastAsiaTheme="majorEastAsia" w:hAnsiTheme="majorHAnsi" w:cstheme="majorBidi"/>
      <w:color w:val="272727" w:themeColor="text1" w:themeTint="D8"/>
      <w:sz w:val="21"/>
      <w:szCs w:val="21"/>
    </w:rPr>
  </w:style>
  <w:style w:type="character" w:customStyle="1" w:styleId="TOC1Char">
    <w:name w:val="TOC 1 Char"/>
    <w:basedOn w:val="DefaultParagraphFont"/>
    <w:link w:val="TOC1"/>
    <w:uiPriority w:val="39"/>
    <w:locked/>
    <w:rsid w:val="00360825"/>
    <w:rPr>
      <w:rFonts w:asciiTheme="minorHAnsi" w:hAnsiTheme="minorHAnsi"/>
      <w:caps/>
      <w:noProof/>
    </w:rPr>
  </w:style>
  <w:style w:type="paragraph" w:styleId="TOC4">
    <w:name w:val="toc 4"/>
    <w:basedOn w:val="Normal"/>
    <w:next w:val="Normal"/>
    <w:autoRedefine/>
    <w:uiPriority w:val="39"/>
    <w:semiHidden/>
    <w:unhideWhenUsed/>
    <w:rsid w:val="00360825"/>
    <w:pPr>
      <w:spacing w:after="0" w:line="240" w:lineRule="auto"/>
      <w:ind w:left="720"/>
      <w:jc w:val="left"/>
    </w:pPr>
    <w:rPr>
      <w:rFonts w:ascii="Arial" w:eastAsiaTheme="minorEastAsia" w:hAnsi="Arial" w:cs="Arial"/>
      <w:color w:val="000000" w:themeColor="text1"/>
      <w:lang w:eastAsia="ja-JP"/>
    </w:rPr>
  </w:style>
  <w:style w:type="paragraph" w:styleId="TOC5">
    <w:name w:val="toc 5"/>
    <w:basedOn w:val="Normal"/>
    <w:next w:val="Normal"/>
    <w:autoRedefine/>
    <w:uiPriority w:val="39"/>
    <w:semiHidden/>
    <w:unhideWhenUsed/>
    <w:rsid w:val="00360825"/>
    <w:pPr>
      <w:spacing w:after="0" w:line="240" w:lineRule="auto"/>
      <w:ind w:left="960"/>
      <w:jc w:val="left"/>
    </w:pPr>
    <w:rPr>
      <w:rFonts w:ascii="Arial" w:eastAsiaTheme="minorEastAsia" w:hAnsi="Arial" w:cs="Arial"/>
      <w:color w:val="000000" w:themeColor="text1"/>
      <w:lang w:eastAsia="ja-JP"/>
    </w:rPr>
  </w:style>
  <w:style w:type="paragraph" w:styleId="TOC6">
    <w:name w:val="toc 6"/>
    <w:basedOn w:val="Normal"/>
    <w:next w:val="Normal"/>
    <w:autoRedefine/>
    <w:uiPriority w:val="39"/>
    <w:semiHidden/>
    <w:unhideWhenUsed/>
    <w:rsid w:val="00360825"/>
    <w:pPr>
      <w:spacing w:after="0" w:line="240" w:lineRule="auto"/>
      <w:ind w:left="1200"/>
      <w:jc w:val="left"/>
    </w:pPr>
    <w:rPr>
      <w:rFonts w:ascii="Arial" w:eastAsiaTheme="minorEastAsia" w:hAnsi="Arial" w:cs="Arial"/>
      <w:color w:val="000000" w:themeColor="text1"/>
      <w:lang w:eastAsia="ja-JP"/>
    </w:rPr>
  </w:style>
  <w:style w:type="paragraph" w:styleId="TOC7">
    <w:name w:val="toc 7"/>
    <w:basedOn w:val="Normal"/>
    <w:next w:val="Normal"/>
    <w:autoRedefine/>
    <w:uiPriority w:val="39"/>
    <w:semiHidden/>
    <w:unhideWhenUsed/>
    <w:rsid w:val="00360825"/>
    <w:pPr>
      <w:spacing w:after="0" w:line="240" w:lineRule="auto"/>
      <w:ind w:left="1440"/>
      <w:jc w:val="left"/>
    </w:pPr>
    <w:rPr>
      <w:rFonts w:ascii="Arial" w:eastAsiaTheme="minorEastAsia" w:hAnsi="Arial" w:cs="Arial"/>
      <w:color w:val="000000" w:themeColor="text1"/>
      <w:lang w:eastAsia="ja-JP"/>
    </w:rPr>
  </w:style>
  <w:style w:type="paragraph" w:styleId="TOC8">
    <w:name w:val="toc 8"/>
    <w:basedOn w:val="Normal"/>
    <w:next w:val="Normal"/>
    <w:autoRedefine/>
    <w:uiPriority w:val="39"/>
    <w:semiHidden/>
    <w:unhideWhenUsed/>
    <w:rsid w:val="00360825"/>
    <w:pPr>
      <w:spacing w:after="0" w:line="240" w:lineRule="auto"/>
      <w:ind w:left="1680"/>
      <w:jc w:val="left"/>
    </w:pPr>
    <w:rPr>
      <w:rFonts w:ascii="Arial" w:eastAsiaTheme="minorEastAsia" w:hAnsi="Arial" w:cs="Arial"/>
      <w:color w:val="000000" w:themeColor="text1"/>
      <w:lang w:eastAsia="ja-JP"/>
    </w:rPr>
  </w:style>
  <w:style w:type="paragraph" w:styleId="TOC9">
    <w:name w:val="toc 9"/>
    <w:basedOn w:val="Normal"/>
    <w:next w:val="Normal"/>
    <w:autoRedefine/>
    <w:uiPriority w:val="39"/>
    <w:semiHidden/>
    <w:unhideWhenUsed/>
    <w:rsid w:val="00360825"/>
    <w:pPr>
      <w:spacing w:after="0" w:line="240" w:lineRule="auto"/>
      <w:ind w:left="1920"/>
      <w:jc w:val="left"/>
    </w:pPr>
    <w:rPr>
      <w:rFonts w:ascii="Arial" w:eastAsiaTheme="minorEastAsia" w:hAnsi="Arial" w:cs="Arial"/>
      <w:color w:val="000000" w:themeColor="text1"/>
      <w:lang w:eastAsia="ja-JP"/>
    </w:rPr>
  </w:style>
  <w:style w:type="paragraph" w:styleId="CommentText">
    <w:name w:val="annotation text"/>
    <w:basedOn w:val="Normal"/>
    <w:link w:val="CommentTextChar"/>
    <w:unhideWhenUsed/>
    <w:rsid w:val="00360825"/>
    <w:pPr>
      <w:spacing w:line="240" w:lineRule="auto"/>
    </w:pPr>
  </w:style>
  <w:style w:type="character" w:customStyle="1" w:styleId="CommentTextChar">
    <w:name w:val="Comment Text Char"/>
    <w:basedOn w:val="DefaultParagraphFont"/>
    <w:link w:val="CommentText"/>
    <w:rsid w:val="00360825"/>
    <w:rPr>
      <w:rFonts w:asciiTheme="minorHAnsi" w:hAnsiTheme="minorHAnsi"/>
    </w:rPr>
  </w:style>
  <w:style w:type="character" w:customStyle="1" w:styleId="HeaderChar1">
    <w:name w:val="Header Char1"/>
    <w:aliases w:val="Transport &amp; Traffic Char1"/>
    <w:basedOn w:val="DefaultParagraphFont"/>
    <w:uiPriority w:val="99"/>
    <w:semiHidden/>
    <w:rsid w:val="00360825"/>
    <w:rPr>
      <w:rFonts w:asciiTheme="minorHAnsi" w:hAnsiTheme="minorHAnsi"/>
    </w:rPr>
  </w:style>
  <w:style w:type="character" w:customStyle="1" w:styleId="CaptionChar">
    <w:name w:val="Caption Char"/>
    <w:basedOn w:val="DefaultParagraphFont"/>
    <w:link w:val="Caption"/>
    <w:uiPriority w:val="99"/>
    <w:locked/>
    <w:rsid w:val="00360825"/>
    <w:rPr>
      <w:rFonts w:ascii="Arial" w:hAnsi="Arial" w:cs="Arial"/>
      <w:iCs/>
      <w:color w:val="2C2A6B" w:themeColor="text2"/>
    </w:rPr>
  </w:style>
  <w:style w:type="paragraph" w:styleId="Caption">
    <w:name w:val="caption"/>
    <w:basedOn w:val="Normal"/>
    <w:next w:val="Normal"/>
    <w:link w:val="CaptionChar"/>
    <w:uiPriority w:val="99"/>
    <w:unhideWhenUsed/>
    <w:qFormat/>
    <w:rsid w:val="00360825"/>
    <w:pPr>
      <w:spacing w:after="0" w:line="300" w:lineRule="auto"/>
      <w:jc w:val="center"/>
    </w:pPr>
    <w:rPr>
      <w:rFonts w:ascii="Arial" w:hAnsi="Arial" w:cs="Arial"/>
      <w:iCs/>
      <w:color w:val="2C2A6B" w:themeColor="text2"/>
    </w:rPr>
  </w:style>
  <w:style w:type="paragraph" w:styleId="TableofFigures">
    <w:name w:val="table of figures"/>
    <w:basedOn w:val="Normal"/>
    <w:next w:val="Normal"/>
    <w:uiPriority w:val="99"/>
    <w:semiHidden/>
    <w:unhideWhenUsed/>
    <w:rsid w:val="00360825"/>
    <w:pPr>
      <w:tabs>
        <w:tab w:val="left" w:pos="1021"/>
        <w:tab w:val="left" w:pos="8222"/>
      </w:tabs>
      <w:spacing w:after="240" w:line="240" w:lineRule="exact"/>
      <w:jc w:val="left"/>
    </w:pPr>
    <w:rPr>
      <w:rFonts w:ascii="Times New Roman" w:hAnsi="Times New Roman"/>
      <w:b/>
      <w:sz w:val="24"/>
      <w:szCs w:val="24"/>
    </w:rPr>
  </w:style>
  <w:style w:type="paragraph" w:styleId="List">
    <w:name w:val="List"/>
    <w:basedOn w:val="Normal"/>
    <w:uiPriority w:val="99"/>
    <w:semiHidden/>
    <w:unhideWhenUsed/>
    <w:rsid w:val="00360825"/>
    <w:pPr>
      <w:spacing w:after="0" w:line="240" w:lineRule="auto"/>
      <w:ind w:left="283" w:hanging="283"/>
      <w:jc w:val="left"/>
    </w:pPr>
    <w:rPr>
      <w:rFonts w:ascii="Times New Roman" w:hAnsi="Times New Roman"/>
      <w:sz w:val="24"/>
      <w:szCs w:val="24"/>
    </w:rPr>
  </w:style>
  <w:style w:type="paragraph" w:styleId="BodyTextIndent">
    <w:name w:val="Body Text Indent"/>
    <w:basedOn w:val="Normal"/>
    <w:link w:val="BodyTextIndentChar"/>
    <w:uiPriority w:val="99"/>
    <w:semiHidden/>
    <w:unhideWhenUsed/>
    <w:rsid w:val="00360825"/>
    <w:pPr>
      <w:spacing w:after="120" w:line="240" w:lineRule="auto"/>
      <w:ind w:left="283"/>
      <w:jc w:val="left"/>
    </w:pPr>
    <w:rPr>
      <w:rFonts w:ascii="Times New Roman" w:hAnsi="Times New Roman"/>
      <w:sz w:val="24"/>
      <w:szCs w:val="24"/>
    </w:rPr>
  </w:style>
  <w:style w:type="character" w:customStyle="1" w:styleId="BodyTextIndentChar">
    <w:name w:val="Body Text Indent Char"/>
    <w:basedOn w:val="DefaultParagraphFont"/>
    <w:link w:val="BodyTextIndent"/>
    <w:uiPriority w:val="99"/>
    <w:semiHidden/>
    <w:rsid w:val="00360825"/>
    <w:rPr>
      <w:sz w:val="24"/>
      <w:szCs w:val="24"/>
    </w:rPr>
  </w:style>
  <w:style w:type="character" w:customStyle="1" w:styleId="SubtitleChar1">
    <w:name w:val="Subtitle Char1"/>
    <w:aliases w:val="Policy Title Char1"/>
    <w:basedOn w:val="DefaultParagraphFont"/>
    <w:uiPriority w:val="11"/>
    <w:rsid w:val="00360825"/>
    <w:rPr>
      <w:rFonts w:asciiTheme="minorHAnsi" w:eastAsiaTheme="minorEastAsia" w:hAnsiTheme="minorHAnsi" w:cstheme="minorBidi"/>
      <w:color w:val="5A5A5A" w:themeColor="text1" w:themeTint="A5"/>
      <w:spacing w:val="15"/>
      <w:sz w:val="22"/>
      <w:szCs w:val="22"/>
    </w:rPr>
  </w:style>
  <w:style w:type="paragraph" w:styleId="BodyText2">
    <w:name w:val="Body Text 2"/>
    <w:basedOn w:val="Normal"/>
    <w:link w:val="BodyText2Char"/>
    <w:uiPriority w:val="99"/>
    <w:semiHidden/>
    <w:unhideWhenUsed/>
    <w:rsid w:val="00360825"/>
    <w:pPr>
      <w:spacing w:after="120" w:line="480" w:lineRule="auto"/>
      <w:jc w:val="left"/>
    </w:pPr>
    <w:rPr>
      <w:rFonts w:ascii="Times New Roman" w:hAnsi="Times New Roman"/>
      <w:sz w:val="24"/>
      <w:szCs w:val="24"/>
    </w:rPr>
  </w:style>
  <w:style w:type="character" w:customStyle="1" w:styleId="BodyText2Char">
    <w:name w:val="Body Text 2 Char"/>
    <w:basedOn w:val="DefaultParagraphFont"/>
    <w:link w:val="BodyText2"/>
    <w:uiPriority w:val="99"/>
    <w:semiHidden/>
    <w:rsid w:val="00360825"/>
    <w:rPr>
      <w:sz w:val="24"/>
      <w:szCs w:val="24"/>
    </w:rPr>
  </w:style>
  <w:style w:type="paragraph" w:styleId="BodyTextIndent3">
    <w:name w:val="Body Text Indent 3"/>
    <w:basedOn w:val="Normal"/>
    <w:link w:val="BodyTextIndent3Char"/>
    <w:uiPriority w:val="99"/>
    <w:semiHidden/>
    <w:unhideWhenUsed/>
    <w:rsid w:val="00360825"/>
    <w:pPr>
      <w:spacing w:after="120" w:line="240" w:lineRule="auto"/>
      <w:ind w:left="283"/>
      <w:jc w:val="left"/>
    </w:pPr>
    <w:rPr>
      <w:rFonts w:ascii="Arial" w:hAnsi="Arial"/>
      <w:sz w:val="16"/>
      <w:szCs w:val="16"/>
      <w:lang w:eastAsia="en-US"/>
    </w:rPr>
  </w:style>
  <w:style w:type="character" w:customStyle="1" w:styleId="BodyTextIndent3Char">
    <w:name w:val="Body Text Indent 3 Char"/>
    <w:basedOn w:val="DefaultParagraphFont"/>
    <w:link w:val="BodyTextIndent3"/>
    <w:uiPriority w:val="99"/>
    <w:semiHidden/>
    <w:rsid w:val="00360825"/>
    <w:rPr>
      <w:rFonts w:ascii="Arial" w:hAnsi="Arial"/>
      <w:sz w:val="16"/>
      <w:szCs w:val="16"/>
      <w:lang w:eastAsia="en-US"/>
    </w:rPr>
  </w:style>
  <w:style w:type="paragraph" w:styleId="PlainText">
    <w:name w:val="Plain Text"/>
    <w:basedOn w:val="Normal"/>
    <w:link w:val="PlainTextChar1"/>
    <w:uiPriority w:val="99"/>
    <w:semiHidden/>
    <w:unhideWhenUsed/>
    <w:rsid w:val="00360825"/>
    <w:pPr>
      <w:spacing w:after="0" w:line="240" w:lineRule="auto"/>
      <w:jc w:val="left"/>
    </w:pPr>
    <w:rPr>
      <w:rFonts w:ascii="Calibri" w:hAnsi="Calibri"/>
      <w:sz w:val="21"/>
      <w:szCs w:val="21"/>
      <w:lang w:eastAsia="en-US"/>
    </w:rPr>
  </w:style>
  <w:style w:type="character" w:customStyle="1" w:styleId="PlainTextChar">
    <w:name w:val="Plain Text Char"/>
    <w:basedOn w:val="DefaultParagraphFont"/>
    <w:uiPriority w:val="99"/>
    <w:semiHidden/>
    <w:rsid w:val="00360825"/>
    <w:rPr>
      <w:rFonts w:ascii="Consolas" w:hAnsi="Consolas"/>
      <w:sz w:val="21"/>
      <w:szCs w:val="21"/>
    </w:rPr>
  </w:style>
  <w:style w:type="paragraph" w:styleId="CommentSubject">
    <w:name w:val="annotation subject"/>
    <w:basedOn w:val="CommentText"/>
    <w:next w:val="CommentText"/>
    <w:link w:val="CommentSubjectChar"/>
    <w:uiPriority w:val="99"/>
    <w:semiHidden/>
    <w:unhideWhenUsed/>
    <w:rsid w:val="00360825"/>
    <w:rPr>
      <w:b/>
      <w:bCs/>
    </w:rPr>
  </w:style>
  <w:style w:type="character" w:customStyle="1" w:styleId="CommentSubjectChar">
    <w:name w:val="Comment Subject Char"/>
    <w:basedOn w:val="CommentTextChar"/>
    <w:link w:val="CommentSubject"/>
    <w:uiPriority w:val="99"/>
    <w:semiHidden/>
    <w:rsid w:val="00360825"/>
    <w:rPr>
      <w:rFonts w:asciiTheme="minorHAnsi" w:hAnsiTheme="minorHAnsi"/>
      <w:b/>
      <w:bCs/>
    </w:rPr>
  </w:style>
  <w:style w:type="character" w:customStyle="1" w:styleId="NoSpacingChar">
    <w:name w:val="No Spacing Char"/>
    <w:basedOn w:val="DefaultParagraphFont"/>
    <w:link w:val="NoSpacing"/>
    <w:uiPriority w:val="1"/>
    <w:locked/>
    <w:rsid w:val="00360825"/>
    <w:rPr>
      <w:rFonts w:ascii="Arial" w:eastAsiaTheme="minorEastAsia" w:hAnsi="Arial" w:cs="Arial"/>
      <w:color w:val="000000" w:themeColor="text1"/>
      <w:lang w:eastAsia="ja-JP"/>
    </w:rPr>
  </w:style>
  <w:style w:type="paragraph" w:styleId="NoSpacing">
    <w:name w:val="No Spacing"/>
    <w:link w:val="NoSpacingChar"/>
    <w:uiPriority w:val="1"/>
    <w:qFormat/>
    <w:rsid w:val="00360825"/>
    <w:rPr>
      <w:rFonts w:ascii="Arial" w:eastAsiaTheme="minorEastAsia" w:hAnsi="Arial" w:cs="Arial"/>
      <w:color w:val="000000" w:themeColor="text1"/>
      <w:lang w:eastAsia="ja-JP"/>
    </w:rPr>
  </w:style>
  <w:style w:type="character" w:customStyle="1" w:styleId="ListParagraphChar">
    <w:name w:val="List Paragraph Char"/>
    <w:link w:val="ListParagraph"/>
    <w:uiPriority w:val="34"/>
    <w:locked/>
    <w:rsid w:val="00360825"/>
    <w:rPr>
      <w:rFonts w:asciiTheme="minorHAnsi" w:hAnsiTheme="minorHAnsi" w:cs="Arial"/>
    </w:rPr>
  </w:style>
  <w:style w:type="paragraph" w:styleId="ListParagraph">
    <w:name w:val="List Paragraph"/>
    <w:basedOn w:val="Normal"/>
    <w:link w:val="ListParagraphChar"/>
    <w:uiPriority w:val="34"/>
    <w:qFormat/>
    <w:rsid w:val="00360825"/>
    <w:pPr>
      <w:ind w:left="720"/>
      <w:contextualSpacing/>
    </w:pPr>
    <w:rPr>
      <w:rFonts w:cs="Arial"/>
    </w:rPr>
  </w:style>
  <w:style w:type="character" w:customStyle="1" w:styleId="BodyORANGEChar">
    <w:name w:val="Body ORANGE Char"/>
    <w:link w:val="BodyORANGE"/>
    <w:locked/>
    <w:rsid w:val="00360825"/>
    <w:rPr>
      <w:rFonts w:ascii="Arial" w:hAnsi="Arial" w:cs="Arial"/>
      <w:color w:val="4F81BD"/>
      <w:spacing w:val="-4"/>
    </w:rPr>
  </w:style>
  <w:style w:type="paragraph" w:customStyle="1" w:styleId="BodyORANGE">
    <w:name w:val="Body ORANGE"/>
    <w:next w:val="Normal"/>
    <w:link w:val="BodyORANGEChar"/>
    <w:rsid w:val="00360825"/>
    <w:pPr>
      <w:spacing w:before="200" w:after="120"/>
    </w:pPr>
    <w:rPr>
      <w:rFonts w:ascii="Arial" w:hAnsi="Arial" w:cs="Arial"/>
      <w:color w:val="4F81BD"/>
      <w:spacing w:val="-4"/>
    </w:rPr>
  </w:style>
  <w:style w:type="paragraph" w:customStyle="1" w:styleId="ChilmarkNumberedText">
    <w:name w:val="Chilmark Numbered Text"/>
    <w:basedOn w:val="Normal"/>
    <w:rsid w:val="00360825"/>
    <w:pPr>
      <w:numPr>
        <w:ilvl w:val="1"/>
        <w:numId w:val="9"/>
      </w:numPr>
      <w:spacing w:before="120" w:after="120" w:line="240" w:lineRule="auto"/>
    </w:pPr>
    <w:rPr>
      <w:rFonts w:ascii="Helvetica Neue" w:hAnsi="Helvetica Neue"/>
      <w:bCs/>
      <w:sz w:val="22"/>
      <w:szCs w:val="22"/>
      <w:lang w:eastAsia="en-US"/>
    </w:rPr>
  </w:style>
  <w:style w:type="paragraph" w:customStyle="1" w:styleId="ChilmarkHeader1">
    <w:name w:val="Chilmark Header 1"/>
    <w:basedOn w:val="Heading1"/>
    <w:next w:val="Normal"/>
    <w:rsid w:val="00360825"/>
    <w:pPr>
      <w:pageBreakBefore w:val="0"/>
      <w:numPr>
        <w:numId w:val="9"/>
      </w:numPr>
      <w:spacing w:before="480" w:after="0" w:line="240" w:lineRule="auto"/>
      <w:jc w:val="left"/>
    </w:pPr>
    <w:rPr>
      <w:rFonts w:ascii="Helvetica Neue" w:hAnsi="Helvetica Neue"/>
      <w:caps w:val="0"/>
      <w:color w:val="DB004C"/>
      <w:sz w:val="36"/>
      <w:szCs w:val="36"/>
      <w:lang w:val="en-US" w:eastAsia="en-US"/>
    </w:rPr>
  </w:style>
  <w:style w:type="character" w:customStyle="1" w:styleId="BulletblueplainChar">
    <w:name w:val="Bullet blue plain Char"/>
    <w:link w:val="Bulletblueplain"/>
    <w:locked/>
    <w:rsid w:val="00360825"/>
    <w:rPr>
      <w:rFonts w:ascii="Arial" w:eastAsia="MS PGothic" w:hAnsi="Arial" w:cs="Arial"/>
      <w:color w:val="000000"/>
      <w:szCs w:val="18"/>
      <w:lang w:eastAsia="ja-JP"/>
    </w:rPr>
  </w:style>
  <w:style w:type="character" w:customStyle="1" w:styleId="03NumberedHeadingsChar">
    <w:name w:val="03 Numbered Headings Char"/>
    <w:link w:val="03NumberedHeadings"/>
    <w:uiPriority w:val="99"/>
    <w:locked/>
    <w:rsid w:val="00360825"/>
    <w:rPr>
      <w:rFonts w:ascii="Arial" w:eastAsia="MS Mincho" w:hAnsi="Arial"/>
      <w:b/>
      <w:bCs/>
      <w:caps/>
      <w:color w:val="000000"/>
      <w:lang w:val="en-US" w:eastAsia="ja-JP"/>
    </w:rPr>
  </w:style>
  <w:style w:type="paragraph" w:customStyle="1" w:styleId="03NumberedHeadings">
    <w:name w:val="03 Numbered Headings"/>
    <w:basedOn w:val="Normal"/>
    <w:next w:val="Normal"/>
    <w:link w:val="03NumberedHeadingsChar"/>
    <w:uiPriority w:val="99"/>
    <w:qFormat/>
    <w:rsid w:val="00360825"/>
    <w:pPr>
      <w:numPr>
        <w:numId w:val="10"/>
      </w:numPr>
      <w:spacing w:before="240" w:after="0" w:line="240" w:lineRule="exact"/>
      <w:jc w:val="left"/>
    </w:pPr>
    <w:rPr>
      <w:rFonts w:ascii="Arial" w:eastAsia="MS Mincho" w:hAnsi="Arial"/>
      <w:b/>
      <w:bCs/>
      <w:caps/>
      <w:color w:val="000000"/>
      <w:lang w:val="en-US" w:eastAsia="ja-JP"/>
    </w:rPr>
  </w:style>
  <w:style w:type="character" w:customStyle="1" w:styleId="11BodyChar">
    <w:name w:val="1.1 Body Char"/>
    <w:link w:val="11Body"/>
    <w:uiPriority w:val="99"/>
    <w:locked/>
    <w:rsid w:val="00360825"/>
    <w:rPr>
      <w:rFonts w:ascii="Arial" w:eastAsia="MS Mincho" w:hAnsi="Arial"/>
      <w:bCs/>
      <w:color w:val="000000"/>
      <w:lang w:val="en-US" w:eastAsia="ja-JP"/>
    </w:rPr>
  </w:style>
  <w:style w:type="paragraph" w:customStyle="1" w:styleId="11Body">
    <w:name w:val="1.1 Body"/>
    <w:basedOn w:val="03NumberedHeadings"/>
    <w:link w:val="11BodyChar"/>
    <w:uiPriority w:val="99"/>
    <w:qFormat/>
    <w:rsid w:val="00360825"/>
    <w:pPr>
      <w:numPr>
        <w:numId w:val="0"/>
      </w:numPr>
      <w:tabs>
        <w:tab w:val="num" w:pos="1305"/>
      </w:tabs>
      <w:ind w:left="1305" w:hanging="1021"/>
    </w:pPr>
    <w:rPr>
      <w:b w:val="0"/>
      <w:caps w:val="0"/>
    </w:rPr>
  </w:style>
  <w:style w:type="paragraph" w:customStyle="1" w:styleId="111BodyList">
    <w:name w:val="1.1.1 Body List"/>
    <w:basedOn w:val="03NumberedHeadings"/>
    <w:uiPriority w:val="99"/>
    <w:qFormat/>
    <w:rsid w:val="00360825"/>
    <w:pPr>
      <w:numPr>
        <w:ilvl w:val="2"/>
      </w:numPr>
      <w:tabs>
        <w:tab w:val="left" w:pos="1304"/>
      </w:tabs>
    </w:pPr>
    <w:rPr>
      <w:b w:val="0"/>
      <w:caps w:val="0"/>
    </w:rPr>
  </w:style>
  <w:style w:type="character" w:customStyle="1" w:styleId="ReporttextCharChar">
    <w:name w:val="Report text Char Char"/>
    <w:link w:val="Reporttext0"/>
    <w:uiPriority w:val="99"/>
    <w:locked/>
    <w:rsid w:val="00360825"/>
    <w:rPr>
      <w:sz w:val="24"/>
    </w:rPr>
  </w:style>
  <w:style w:type="paragraph" w:customStyle="1" w:styleId="Reporttext0">
    <w:name w:val="Report text"/>
    <w:basedOn w:val="Normal"/>
    <w:link w:val="ReporttextCharChar"/>
    <w:uiPriority w:val="99"/>
    <w:rsid w:val="00360825"/>
    <w:pPr>
      <w:keepLines/>
      <w:numPr>
        <w:ilvl w:val="1"/>
        <w:numId w:val="11"/>
      </w:numPr>
      <w:spacing w:after="0" w:line="240" w:lineRule="auto"/>
      <w:jc w:val="left"/>
    </w:pPr>
    <w:rPr>
      <w:rFonts w:ascii="Times New Roman" w:hAnsi="Times New Roman"/>
      <w:sz w:val="24"/>
    </w:rPr>
  </w:style>
  <w:style w:type="character" w:customStyle="1" w:styleId="ReportlistbulletChar">
    <w:name w:val="Report list bullet Char"/>
    <w:link w:val="Reportlistbullet"/>
    <w:uiPriority w:val="99"/>
    <w:locked/>
    <w:rsid w:val="00360825"/>
    <w:rPr>
      <w:sz w:val="24"/>
      <w:szCs w:val="24"/>
    </w:rPr>
  </w:style>
  <w:style w:type="paragraph" w:customStyle="1" w:styleId="Reportlistbullet">
    <w:name w:val="Report list bullet"/>
    <w:basedOn w:val="Normal"/>
    <w:link w:val="ReportlistbulletChar"/>
    <w:uiPriority w:val="99"/>
    <w:rsid w:val="00360825"/>
    <w:pPr>
      <w:numPr>
        <w:numId w:val="12"/>
      </w:numPr>
      <w:spacing w:after="0" w:line="240" w:lineRule="auto"/>
      <w:jc w:val="left"/>
    </w:pPr>
    <w:rPr>
      <w:rFonts w:ascii="Times New Roman" w:hAnsi="Times New Roman"/>
      <w:sz w:val="24"/>
      <w:szCs w:val="24"/>
    </w:rPr>
  </w:style>
  <w:style w:type="character" w:customStyle="1" w:styleId="ReportHeading1Char1">
    <w:name w:val="Report Heading 1 Char1"/>
    <w:link w:val="ReportHeading1"/>
    <w:locked/>
    <w:rsid w:val="00360825"/>
    <w:rPr>
      <w:b/>
      <w:kern w:val="20"/>
      <w:sz w:val="44"/>
    </w:rPr>
  </w:style>
  <w:style w:type="paragraph" w:customStyle="1" w:styleId="ReportHeading1">
    <w:name w:val="Report Heading 1"/>
    <w:basedOn w:val="Heading1"/>
    <w:next w:val="Normal"/>
    <w:link w:val="ReportHeading1Char1"/>
    <w:rsid w:val="00360825"/>
    <w:pPr>
      <w:keepNext w:val="0"/>
      <w:keepLines w:val="0"/>
      <w:numPr>
        <w:numId w:val="0"/>
      </w:numPr>
      <w:spacing w:before="60" w:after="60" w:line="240" w:lineRule="auto"/>
      <w:jc w:val="left"/>
    </w:pPr>
    <w:rPr>
      <w:rFonts w:ascii="Times New Roman" w:eastAsia="Times New Roman" w:hAnsi="Times New Roman" w:cs="Times New Roman"/>
      <w:bCs w:val="0"/>
      <w:caps w:val="0"/>
      <w:color w:val="auto"/>
      <w:kern w:val="20"/>
      <w:sz w:val="44"/>
      <w:szCs w:val="20"/>
    </w:rPr>
  </w:style>
  <w:style w:type="paragraph" w:customStyle="1" w:styleId="Default">
    <w:name w:val="Default"/>
    <w:uiPriority w:val="99"/>
    <w:rsid w:val="00360825"/>
    <w:pPr>
      <w:autoSpaceDE w:val="0"/>
      <w:autoSpaceDN w:val="0"/>
      <w:adjustRightInd w:val="0"/>
    </w:pPr>
    <w:rPr>
      <w:rFonts w:ascii="Arial" w:hAnsi="Arial" w:cs="Arial"/>
      <w:color w:val="000000"/>
      <w:sz w:val="24"/>
      <w:szCs w:val="24"/>
    </w:rPr>
  </w:style>
  <w:style w:type="paragraph" w:customStyle="1" w:styleId="captionfigures">
    <w:name w:val="caption figures"/>
    <w:basedOn w:val="Normal"/>
    <w:autoRedefine/>
    <w:uiPriority w:val="99"/>
    <w:rsid w:val="00360825"/>
    <w:pPr>
      <w:widowControl w:val="0"/>
      <w:spacing w:before="60" w:after="60" w:line="300" w:lineRule="auto"/>
      <w:jc w:val="center"/>
    </w:pPr>
    <w:rPr>
      <w:rFonts w:ascii="Arial" w:hAnsi="Arial" w:cs="Arial"/>
      <w:b/>
      <w:bCs/>
      <w:spacing w:val="-2"/>
    </w:rPr>
  </w:style>
  <w:style w:type="paragraph" w:customStyle="1" w:styleId="ListParagraph1">
    <w:name w:val="List Paragraph1"/>
    <w:aliases w:val="F5 List Paragraph,List Paragraph11"/>
    <w:basedOn w:val="Normal"/>
    <w:uiPriority w:val="99"/>
    <w:qFormat/>
    <w:rsid w:val="00360825"/>
    <w:pPr>
      <w:spacing w:after="0" w:line="240" w:lineRule="auto"/>
      <w:ind w:left="720"/>
      <w:jc w:val="left"/>
    </w:pPr>
    <w:rPr>
      <w:rFonts w:ascii="Times New Roman" w:hAnsi="Times New Roman"/>
      <w:sz w:val="24"/>
      <w:szCs w:val="24"/>
    </w:rPr>
  </w:style>
  <w:style w:type="paragraph" w:customStyle="1" w:styleId="ReportHeaderLeft">
    <w:name w:val="Report Header Left"/>
    <w:basedOn w:val="Normal"/>
    <w:uiPriority w:val="99"/>
    <w:rsid w:val="00360825"/>
    <w:pPr>
      <w:pBdr>
        <w:bottom w:val="dotted" w:sz="4" w:space="3" w:color="auto"/>
      </w:pBdr>
      <w:spacing w:after="120" w:line="240" w:lineRule="auto"/>
      <w:jc w:val="left"/>
    </w:pPr>
    <w:rPr>
      <w:rFonts w:ascii="Times New Roman" w:hAnsi="Times New Roman"/>
      <w:i/>
      <w:color w:val="000000"/>
      <w:spacing w:val="20"/>
      <w:kern w:val="20"/>
      <w:sz w:val="18"/>
      <w:szCs w:val="18"/>
    </w:rPr>
  </w:style>
  <w:style w:type="paragraph" w:customStyle="1" w:styleId="ReportFooterRight">
    <w:name w:val="Report Footer Right"/>
    <w:basedOn w:val="Normal"/>
    <w:uiPriority w:val="99"/>
    <w:rsid w:val="00360825"/>
    <w:pPr>
      <w:pBdr>
        <w:top w:val="dotted" w:sz="4" w:space="4" w:color="auto"/>
      </w:pBdr>
      <w:spacing w:before="240" w:after="0" w:line="240" w:lineRule="auto"/>
      <w:jc w:val="right"/>
    </w:pPr>
    <w:rPr>
      <w:rFonts w:ascii="Times New Roman" w:hAnsi="Times New Roman"/>
      <w:i/>
      <w:color w:val="000000"/>
      <w:spacing w:val="20"/>
      <w:kern w:val="20"/>
      <w:sz w:val="17"/>
      <w:szCs w:val="17"/>
    </w:rPr>
  </w:style>
  <w:style w:type="paragraph" w:customStyle="1" w:styleId="ListParagraph2">
    <w:name w:val="List Paragraph2"/>
    <w:basedOn w:val="Normal"/>
    <w:uiPriority w:val="99"/>
    <w:qFormat/>
    <w:rsid w:val="00360825"/>
    <w:pPr>
      <w:spacing w:after="0" w:line="240" w:lineRule="auto"/>
      <w:ind w:left="720"/>
      <w:jc w:val="left"/>
    </w:pPr>
    <w:rPr>
      <w:rFonts w:ascii="Times New Roman" w:hAnsi="Times New Roman"/>
      <w:sz w:val="24"/>
      <w:szCs w:val="24"/>
    </w:rPr>
  </w:style>
  <w:style w:type="paragraph" w:customStyle="1" w:styleId="Numbers">
    <w:name w:val="Numbers"/>
    <w:basedOn w:val="Normal"/>
    <w:uiPriority w:val="99"/>
    <w:rsid w:val="00360825"/>
    <w:pPr>
      <w:tabs>
        <w:tab w:val="num" w:pos="567"/>
      </w:tabs>
      <w:spacing w:before="120" w:after="0" w:line="240" w:lineRule="auto"/>
      <w:ind w:left="567" w:hanging="567"/>
      <w:jc w:val="left"/>
    </w:pPr>
    <w:rPr>
      <w:rFonts w:ascii="Gill Sans MT" w:hAnsi="Gill Sans MT"/>
      <w:sz w:val="24"/>
      <w:lang w:eastAsia="en-US"/>
    </w:rPr>
  </w:style>
  <w:style w:type="paragraph" w:customStyle="1" w:styleId="SubnumbersDouble">
    <w:name w:val="Sub numbers (Double)"/>
    <w:basedOn w:val="Normal"/>
    <w:uiPriority w:val="99"/>
    <w:rsid w:val="00360825"/>
    <w:pPr>
      <w:tabs>
        <w:tab w:val="num" w:pos="567"/>
      </w:tabs>
      <w:spacing w:before="120" w:after="0" w:line="240" w:lineRule="auto"/>
      <w:ind w:left="567" w:hanging="567"/>
      <w:jc w:val="left"/>
    </w:pPr>
    <w:rPr>
      <w:rFonts w:ascii="Gill Sans MT" w:hAnsi="Gill Sans MT" w:cs="Arial"/>
      <w:bCs/>
      <w:sz w:val="24"/>
      <w:szCs w:val="24"/>
      <w:lang w:eastAsia="en-US"/>
    </w:rPr>
  </w:style>
  <w:style w:type="character" w:customStyle="1" w:styleId="smallserialChar">
    <w:name w:val="# small serial Char"/>
    <w:link w:val="smallserial"/>
    <w:uiPriority w:val="99"/>
    <w:locked/>
    <w:rsid w:val="00360825"/>
    <w:rPr>
      <w:rFonts w:ascii="Calibri" w:hAnsi="Calibri"/>
      <w:sz w:val="24"/>
      <w:szCs w:val="22"/>
    </w:rPr>
  </w:style>
  <w:style w:type="paragraph" w:customStyle="1" w:styleId="smallserial">
    <w:name w:val="# small serial"/>
    <w:basedOn w:val="Normal"/>
    <w:link w:val="smallserialChar"/>
    <w:uiPriority w:val="99"/>
    <w:qFormat/>
    <w:rsid w:val="00360825"/>
    <w:pPr>
      <w:numPr>
        <w:ilvl w:val="1"/>
        <w:numId w:val="13"/>
      </w:numPr>
      <w:spacing w:after="200" w:line="276" w:lineRule="auto"/>
    </w:pPr>
    <w:rPr>
      <w:rFonts w:ascii="Calibri" w:hAnsi="Calibri"/>
      <w:sz w:val="24"/>
      <w:szCs w:val="22"/>
    </w:rPr>
  </w:style>
  <w:style w:type="paragraph" w:customStyle="1" w:styleId="StyleListParagraphArial10ptJustified">
    <w:name w:val="Style List Paragraph + Arial 10 pt Justified"/>
    <w:basedOn w:val="ListParagraph"/>
    <w:uiPriority w:val="99"/>
    <w:rsid w:val="00360825"/>
    <w:pPr>
      <w:spacing w:after="200" w:line="276" w:lineRule="auto"/>
      <w:contextualSpacing w:val="0"/>
    </w:pPr>
    <w:rPr>
      <w:rFonts w:ascii="Arial" w:hAnsi="Arial"/>
    </w:rPr>
  </w:style>
  <w:style w:type="paragraph" w:customStyle="1" w:styleId="ReportHeaderRight">
    <w:name w:val="Report Header Right"/>
    <w:basedOn w:val="Normal"/>
    <w:uiPriority w:val="99"/>
    <w:rsid w:val="00360825"/>
    <w:pPr>
      <w:pBdr>
        <w:bottom w:val="dotted" w:sz="4" w:space="3" w:color="auto"/>
      </w:pBdr>
      <w:spacing w:after="120" w:line="240" w:lineRule="auto"/>
      <w:jc w:val="right"/>
    </w:pPr>
    <w:rPr>
      <w:rFonts w:ascii="Times New Roman" w:hAnsi="Times New Roman"/>
      <w:i/>
      <w:color w:val="000000"/>
      <w:spacing w:val="20"/>
      <w:kern w:val="20"/>
      <w:sz w:val="18"/>
      <w:szCs w:val="18"/>
    </w:rPr>
  </w:style>
  <w:style w:type="paragraph" w:customStyle="1" w:styleId="Body2">
    <w:name w:val="Body 2"/>
    <w:basedOn w:val="Normal"/>
    <w:uiPriority w:val="99"/>
    <w:rsid w:val="00360825"/>
    <w:pPr>
      <w:spacing w:after="0" w:line="240" w:lineRule="auto"/>
      <w:ind w:left="851"/>
      <w:jc w:val="left"/>
    </w:pPr>
    <w:rPr>
      <w:rFonts w:ascii="Arial" w:hAnsi="Arial"/>
      <w:sz w:val="24"/>
    </w:rPr>
  </w:style>
  <w:style w:type="character" w:customStyle="1" w:styleId="NumberedChar">
    <w:name w:val="Numbered Char"/>
    <w:link w:val="Numbered"/>
    <w:uiPriority w:val="99"/>
    <w:locked/>
    <w:rsid w:val="00360825"/>
    <w:rPr>
      <w:rFonts w:ascii="Arial" w:hAnsi="Arial" w:cs="Arial"/>
      <w:spacing w:val="-4"/>
    </w:rPr>
  </w:style>
  <w:style w:type="paragraph" w:customStyle="1" w:styleId="Numbered">
    <w:name w:val="Numbered"/>
    <w:basedOn w:val="Normal"/>
    <w:link w:val="NumberedChar"/>
    <w:uiPriority w:val="99"/>
    <w:qFormat/>
    <w:rsid w:val="00360825"/>
    <w:pPr>
      <w:numPr>
        <w:numId w:val="14"/>
      </w:numPr>
      <w:tabs>
        <w:tab w:val="num" w:pos="284"/>
      </w:tabs>
      <w:spacing w:after="120" w:line="240" w:lineRule="auto"/>
      <w:ind w:left="644"/>
      <w:jc w:val="left"/>
    </w:pPr>
    <w:rPr>
      <w:rFonts w:ascii="Arial" w:hAnsi="Arial" w:cs="Arial"/>
      <w:spacing w:val="-4"/>
    </w:rPr>
  </w:style>
  <w:style w:type="character" w:customStyle="1" w:styleId="SubheadBlue12Char">
    <w:name w:val="Subhead Blue 12 Char"/>
    <w:link w:val="SubheadBlue12"/>
    <w:locked/>
    <w:rsid w:val="00360825"/>
    <w:rPr>
      <w:rFonts w:ascii="Arial" w:eastAsia="MS PGothic" w:hAnsi="Arial" w:cs="Arial"/>
      <w:color w:val="0093D5"/>
      <w:sz w:val="24"/>
      <w:szCs w:val="24"/>
      <w:lang w:eastAsia="ja-JP"/>
    </w:rPr>
  </w:style>
  <w:style w:type="paragraph" w:customStyle="1" w:styleId="SubheadBlue12">
    <w:name w:val="Subhead Blue 12"/>
    <w:basedOn w:val="Normal"/>
    <w:next w:val="Normal"/>
    <w:link w:val="SubheadBlue12Char"/>
    <w:qFormat/>
    <w:rsid w:val="00360825"/>
    <w:pPr>
      <w:keepNext/>
      <w:spacing w:after="0" w:line="300" w:lineRule="atLeast"/>
      <w:ind w:left="794"/>
      <w:contextualSpacing/>
    </w:pPr>
    <w:rPr>
      <w:rFonts w:ascii="Arial" w:eastAsia="MS PGothic" w:hAnsi="Arial" w:cs="Arial"/>
      <w:color w:val="0093D5"/>
      <w:sz w:val="24"/>
      <w:szCs w:val="24"/>
      <w:lang w:eastAsia="ja-JP"/>
    </w:rPr>
  </w:style>
  <w:style w:type="character" w:customStyle="1" w:styleId="SubheadGrey12Char">
    <w:name w:val="Subhead Grey 12 Char"/>
    <w:link w:val="SubheadGrey12"/>
    <w:locked/>
    <w:rsid w:val="00360825"/>
    <w:rPr>
      <w:rFonts w:ascii="Arial" w:eastAsia="MS PGothic" w:hAnsi="Arial" w:cs="Arial"/>
      <w:color w:val="33393A"/>
      <w:sz w:val="24"/>
      <w:szCs w:val="24"/>
      <w:lang w:eastAsia="ja-JP"/>
    </w:rPr>
  </w:style>
  <w:style w:type="paragraph" w:customStyle="1" w:styleId="SubheadGrey12">
    <w:name w:val="Subhead Grey 12"/>
    <w:basedOn w:val="SubheadBlue12"/>
    <w:link w:val="SubheadGrey12Char"/>
    <w:qFormat/>
    <w:rsid w:val="00360825"/>
    <w:pPr>
      <w:tabs>
        <w:tab w:val="left" w:pos="227"/>
      </w:tabs>
    </w:pPr>
    <w:rPr>
      <w:color w:val="33393A"/>
    </w:rPr>
  </w:style>
  <w:style w:type="paragraph" w:customStyle="1" w:styleId="12SubheadGrey">
    <w:name w:val="12 Subhead Grey"/>
    <w:basedOn w:val="Normal"/>
    <w:uiPriority w:val="99"/>
    <w:qFormat/>
    <w:rsid w:val="00360825"/>
    <w:pPr>
      <w:keepNext/>
      <w:tabs>
        <w:tab w:val="left" w:pos="227"/>
      </w:tabs>
      <w:spacing w:after="0" w:line="300" w:lineRule="exact"/>
      <w:contextualSpacing/>
      <w:jc w:val="left"/>
    </w:pPr>
    <w:rPr>
      <w:rFonts w:ascii="Arial" w:eastAsia="MS PGothic" w:hAnsi="Arial" w:cs="Arial"/>
      <w:color w:val="33393A"/>
      <w:sz w:val="24"/>
      <w:szCs w:val="24"/>
      <w:lang w:eastAsia="ja-JP"/>
    </w:rPr>
  </w:style>
  <w:style w:type="character" w:customStyle="1" w:styleId="BodytextChar0">
    <w:name w:val="Body text Char"/>
    <w:link w:val="BodyText1"/>
    <w:locked/>
    <w:rsid w:val="00360825"/>
    <w:rPr>
      <w:rFonts w:ascii="Arial" w:hAnsi="Arial" w:cs="Arial"/>
      <w:color w:val="000000"/>
      <w:spacing w:val="-4"/>
    </w:rPr>
  </w:style>
  <w:style w:type="paragraph" w:customStyle="1" w:styleId="BodyText1">
    <w:name w:val="Body Text1"/>
    <w:link w:val="BodytextChar0"/>
    <w:qFormat/>
    <w:rsid w:val="00360825"/>
    <w:pPr>
      <w:autoSpaceDE w:val="0"/>
      <w:autoSpaceDN w:val="0"/>
      <w:adjustRightInd w:val="0"/>
      <w:spacing w:before="160" w:after="200"/>
    </w:pPr>
    <w:rPr>
      <w:rFonts w:ascii="Arial" w:hAnsi="Arial" w:cs="Arial"/>
      <w:color w:val="000000"/>
      <w:spacing w:val="-4"/>
    </w:rPr>
  </w:style>
  <w:style w:type="paragraph" w:customStyle="1" w:styleId="FigureHeading">
    <w:name w:val="Figure Heading"/>
    <w:basedOn w:val="Normal"/>
    <w:next w:val="Normal"/>
    <w:qFormat/>
    <w:rsid w:val="00360825"/>
    <w:pPr>
      <w:tabs>
        <w:tab w:val="left" w:pos="794"/>
        <w:tab w:val="left" w:pos="1843"/>
      </w:tabs>
      <w:spacing w:after="80" w:line="240" w:lineRule="atLeast"/>
      <w:ind w:left="1843" w:hanging="1049"/>
      <w:jc w:val="left"/>
    </w:pPr>
    <w:rPr>
      <w:rFonts w:ascii="Arial" w:eastAsia="MS PGothic" w:hAnsi="Arial" w:cs="Arial"/>
      <w:b/>
      <w:bCs/>
      <w:color w:val="000000"/>
      <w:szCs w:val="24"/>
      <w:lang w:eastAsia="ja-JP"/>
    </w:rPr>
  </w:style>
  <w:style w:type="paragraph" w:customStyle="1" w:styleId="Subheadingbold">
    <w:name w:val="Subheading bold"/>
    <w:basedOn w:val="Normal"/>
    <w:uiPriority w:val="99"/>
    <w:qFormat/>
    <w:rsid w:val="00360825"/>
    <w:pPr>
      <w:tabs>
        <w:tab w:val="left" w:pos="794"/>
      </w:tabs>
      <w:spacing w:after="0" w:line="300" w:lineRule="atLeast"/>
      <w:ind w:left="1588" w:hanging="794"/>
      <w:jc w:val="left"/>
    </w:pPr>
    <w:rPr>
      <w:rFonts w:ascii="Arial" w:eastAsia="MS PGothic" w:hAnsi="Arial" w:cs="Arial"/>
      <w:b/>
      <w:bCs/>
      <w:color w:val="000000"/>
      <w:szCs w:val="24"/>
      <w:lang w:eastAsia="ja-JP"/>
    </w:rPr>
  </w:style>
  <w:style w:type="paragraph" w:customStyle="1" w:styleId="StyleReporttextLinespacing15lines">
    <w:name w:val="Style Report text + Line spacing:  1.5 lines"/>
    <w:basedOn w:val="Reporttext0"/>
    <w:uiPriority w:val="99"/>
    <w:rsid w:val="00360825"/>
    <w:pPr>
      <w:numPr>
        <w:ilvl w:val="0"/>
        <w:numId w:val="0"/>
      </w:numPr>
      <w:tabs>
        <w:tab w:val="num" w:pos="1021"/>
      </w:tabs>
      <w:spacing w:after="200" w:line="276" w:lineRule="auto"/>
      <w:ind w:left="1021" w:hanging="1021"/>
    </w:pPr>
    <w:rPr>
      <w:rFonts w:ascii="Arial" w:eastAsia="Arial" w:hAnsi="Arial"/>
      <w:kern w:val="20"/>
      <w:sz w:val="22"/>
      <w:lang w:eastAsia="en-US"/>
    </w:rPr>
  </w:style>
  <w:style w:type="character" w:customStyle="1" w:styleId="ReportHeading2Char">
    <w:name w:val="Report Heading 2 Char"/>
    <w:link w:val="ReportHeading2"/>
    <w:uiPriority w:val="99"/>
    <w:locked/>
    <w:rsid w:val="00360825"/>
    <w:rPr>
      <w:b/>
      <w:kern w:val="20"/>
      <w:sz w:val="24"/>
    </w:rPr>
  </w:style>
  <w:style w:type="paragraph" w:customStyle="1" w:styleId="ReportHeading2">
    <w:name w:val="Report Heading 2"/>
    <w:basedOn w:val="Heading2"/>
    <w:next w:val="Normal"/>
    <w:link w:val="ReportHeading2Char"/>
    <w:uiPriority w:val="99"/>
    <w:rsid w:val="00360825"/>
    <w:pPr>
      <w:keepLines w:val="0"/>
      <w:pBdr>
        <w:bottom w:val="none" w:sz="0" w:space="0" w:color="auto"/>
      </w:pBdr>
      <w:tabs>
        <w:tab w:val="left" w:pos="0"/>
      </w:tabs>
      <w:spacing w:before="0" w:line="240" w:lineRule="auto"/>
      <w:jc w:val="left"/>
    </w:pPr>
    <w:rPr>
      <w:rFonts w:ascii="Times New Roman" w:hAnsi="Times New Roman"/>
      <w:color w:val="auto"/>
      <w:kern w:val="20"/>
      <w:sz w:val="24"/>
    </w:rPr>
  </w:style>
  <w:style w:type="character" w:customStyle="1" w:styleId="ReportSourceundertableChar">
    <w:name w:val="Report Source under table Char"/>
    <w:link w:val="ReportSourceundertable0"/>
    <w:uiPriority w:val="99"/>
    <w:locked/>
    <w:rsid w:val="00360825"/>
    <w:rPr>
      <w:rFonts w:ascii="Arial Narrow" w:hAnsi="Arial Narrow" w:cs="Arial"/>
      <w:iCs/>
      <w:color w:val="000000"/>
      <w:szCs w:val="24"/>
    </w:rPr>
  </w:style>
  <w:style w:type="paragraph" w:customStyle="1" w:styleId="ReportSourceundertable0">
    <w:name w:val="Report Source under table"/>
    <w:basedOn w:val="Normal"/>
    <w:next w:val="Normal"/>
    <w:link w:val="ReportSourceundertableChar"/>
    <w:uiPriority w:val="99"/>
    <w:rsid w:val="00360825"/>
    <w:pPr>
      <w:spacing w:after="0" w:line="240" w:lineRule="auto"/>
      <w:jc w:val="center"/>
    </w:pPr>
    <w:rPr>
      <w:rFonts w:ascii="Arial Narrow" w:hAnsi="Arial Narrow" w:cs="Arial"/>
      <w:iCs/>
      <w:color w:val="000000"/>
      <w:szCs w:val="24"/>
    </w:rPr>
  </w:style>
  <w:style w:type="character" w:customStyle="1" w:styleId="captionChar0">
    <w:name w:val="caption Char"/>
    <w:link w:val="Caption1"/>
    <w:uiPriority w:val="99"/>
    <w:locked/>
    <w:rsid w:val="00360825"/>
    <w:rPr>
      <w:rFonts w:ascii="Arial" w:hAnsi="Arial" w:cs="Arial"/>
      <w:b/>
      <w:bCs/>
      <w:sz w:val="24"/>
      <w:szCs w:val="24"/>
    </w:rPr>
  </w:style>
  <w:style w:type="paragraph" w:customStyle="1" w:styleId="Caption1">
    <w:name w:val="Caption1"/>
    <w:basedOn w:val="Normal"/>
    <w:next w:val="Normal"/>
    <w:link w:val="captionChar0"/>
    <w:uiPriority w:val="99"/>
    <w:rsid w:val="00360825"/>
    <w:pPr>
      <w:keepNext/>
      <w:spacing w:before="120" w:after="120" w:line="240" w:lineRule="auto"/>
      <w:jc w:val="center"/>
    </w:pPr>
    <w:rPr>
      <w:rFonts w:ascii="Arial" w:hAnsi="Arial" w:cs="Arial"/>
      <w:b/>
      <w:bCs/>
      <w:sz w:val="24"/>
      <w:szCs w:val="24"/>
    </w:rPr>
  </w:style>
  <w:style w:type="character" w:customStyle="1" w:styleId="TableheadingChar">
    <w:name w:val="Table heading Char"/>
    <w:basedOn w:val="DefaultParagraphFont"/>
    <w:link w:val="Tableheading"/>
    <w:locked/>
    <w:rsid w:val="00360825"/>
    <w:rPr>
      <w:rFonts w:ascii="Arial" w:eastAsia="MS PGothic" w:hAnsi="Arial"/>
      <w:b/>
      <w:color w:val="0093D5"/>
      <w:szCs w:val="24"/>
      <w:lang w:eastAsia="ja-JP"/>
    </w:rPr>
  </w:style>
  <w:style w:type="paragraph" w:customStyle="1" w:styleId="Tableheading">
    <w:name w:val="Table heading"/>
    <w:basedOn w:val="FigureHeading"/>
    <w:next w:val="Normal"/>
    <w:link w:val="TableheadingChar"/>
    <w:qFormat/>
    <w:rsid w:val="00360825"/>
    <w:pPr>
      <w:numPr>
        <w:numId w:val="15"/>
      </w:numPr>
    </w:pPr>
    <w:rPr>
      <w:rFonts w:cs="Times New Roman"/>
      <w:bCs w:val="0"/>
      <w:color w:val="0093D5"/>
    </w:rPr>
  </w:style>
  <w:style w:type="paragraph" w:customStyle="1" w:styleId="Reportsourceundertable">
    <w:name w:val="Report source under table"/>
    <w:basedOn w:val="Normal"/>
    <w:next w:val="Normal"/>
    <w:uiPriority w:val="99"/>
    <w:rsid w:val="00360825"/>
    <w:pPr>
      <w:numPr>
        <w:ilvl w:val="1"/>
        <w:numId w:val="16"/>
      </w:numPr>
      <w:spacing w:after="0" w:line="240" w:lineRule="auto"/>
      <w:ind w:left="0" w:firstLine="0"/>
      <w:jc w:val="center"/>
    </w:pPr>
    <w:rPr>
      <w:rFonts w:ascii="Arial Narrow" w:hAnsi="Arial Narrow"/>
      <w:szCs w:val="24"/>
    </w:rPr>
  </w:style>
  <w:style w:type="paragraph" w:customStyle="1" w:styleId="Caption2">
    <w:name w:val="Caption2"/>
    <w:basedOn w:val="Normal"/>
    <w:next w:val="Normal"/>
    <w:uiPriority w:val="99"/>
    <w:rsid w:val="00360825"/>
    <w:pPr>
      <w:keepNext/>
      <w:spacing w:before="120" w:after="120" w:line="240" w:lineRule="auto"/>
      <w:jc w:val="center"/>
    </w:pPr>
    <w:rPr>
      <w:rFonts w:ascii="Times New Roman" w:hAnsi="Times New Roman" w:cs="Arial"/>
      <w:b/>
      <w:bCs/>
      <w:sz w:val="24"/>
      <w:szCs w:val="24"/>
    </w:rPr>
  </w:style>
  <w:style w:type="paragraph" w:customStyle="1" w:styleId="ReportText">
    <w:name w:val="Report Text"/>
    <w:basedOn w:val="Normal"/>
    <w:uiPriority w:val="99"/>
    <w:rsid w:val="00360825"/>
    <w:pPr>
      <w:keepLines/>
      <w:numPr>
        <w:ilvl w:val="1"/>
        <w:numId w:val="17"/>
      </w:numPr>
      <w:tabs>
        <w:tab w:val="num" w:pos="360"/>
        <w:tab w:val="left" w:pos="720"/>
      </w:tabs>
      <w:spacing w:after="0" w:line="240" w:lineRule="auto"/>
      <w:ind w:left="0" w:firstLine="0"/>
      <w:jc w:val="left"/>
    </w:pPr>
    <w:rPr>
      <w:rFonts w:ascii="Times New Roman" w:hAnsi="Times New Roman"/>
      <w:sz w:val="24"/>
      <w:szCs w:val="24"/>
    </w:rPr>
  </w:style>
  <w:style w:type="character" w:customStyle="1" w:styleId="BlueBulletChar">
    <w:name w:val="Blue Bullet Char"/>
    <w:link w:val="BlueBullet"/>
    <w:uiPriority w:val="99"/>
    <w:locked/>
    <w:rsid w:val="00360825"/>
    <w:rPr>
      <w:rFonts w:ascii="Arial" w:eastAsia="MS Mincho" w:hAnsi="Arial" w:cs="Arial"/>
      <w:bCs/>
      <w:color w:val="000000"/>
      <w:lang w:eastAsia="ja-JP"/>
    </w:rPr>
  </w:style>
  <w:style w:type="paragraph" w:customStyle="1" w:styleId="BlueBullet">
    <w:name w:val="Blue Bullet"/>
    <w:basedOn w:val="111BodyList"/>
    <w:link w:val="BlueBulletChar"/>
    <w:uiPriority w:val="99"/>
    <w:qFormat/>
    <w:rsid w:val="00360825"/>
    <w:pPr>
      <w:numPr>
        <w:numId w:val="18"/>
      </w:numPr>
      <w:tabs>
        <w:tab w:val="clear" w:pos="1304"/>
        <w:tab w:val="left" w:pos="1560"/>
      </w:tabs>
      <w:spacing w:before="120" w:line="240" w:lineRule="atLeast"/>
    </w:pPr>
    <w:rPr>
      <w:rFonts w:cs="Arial"/>
      <w:lang w:val="en-GB"/>
    </w:rPr>
  </w:style>
  <w:style w:type="character" w:customStyle="1" w:styleId="SubHeadingChar">
    <w:name w:val="SubHeading Char"/>
    <w:link w:val="SubHeading"/>
    <w:locked/>
    <w:rsid w:val="00360825"/>
    <w:rPr>
      <w:rFonts w:ascii="Arial" w:eastAsia="MS Mincho" w:hAnsi="Arial" w:cs="Arial"/>
      <w:b/>
      <w:color w:val="000000"/>
      <w:szCs w:val="18"/>
      <w:lang w:eastAsia="ja-JP"/>
    </w:rPr>
  </w:style>
  <w:style w:type="paragraph" w:customStyle="1" w:styleId="SubHeading">
    <w:name w:val="SubHeading"/>
    <w:basedOn w:val="Normal"/>
    <w:link w:val="SubHeadingChar"/>
    <w:qFormat/>
    <w:rsid w:val="00360825"/>
    <w:pPr>
      <w:spacing w:before="240" w:after="0" w:line="240" w:lineRule="exact"/>
      <w:ind w:left="1021"/>
      <w:jc w:val="left"/>
    </w:pPr>
    <w:rPr>
      <w:rFonts w:ascii="Arial" w:eastAsia="MS Mincho" w:hAnsi="Arial" w:cs="Arial"/>
      <w:b/>
      <w:color w:val="000000"/>
      <w:szCs w:val="18"/>
      <w:lang w:eastAsia="ja-JP"/>
    </w:rPr>
  </w:style>
  <w:style w:type="paragraph" w:customStyle="1" w:styleId="Caption21">
    <w:name w:val="Caption21"/>
    <w:basedOn w:val="Normal"/>
    <w:next w:val="Normal"/>
    <w:uiPriority w:val="99"/>
    <w:rsid w:val="00360825"/>
    <w:pPr>
      <w:keepNext/>
      <w:spacing w:before="120" w:after="120" w:line="240" w:lineRule="auto"/>
      <w:jc w:val="center"/>
    </w:pPr>
    <w:rPr>
      <w:rFonts w:ascii="Arial" w:hAnsi="Arial" w:cs="Arial"/>
      <w:b/>
      <w:bCs/>
      <w:sz w:val="24"/>
      <w:szCs w:val="24"/>
    </w:rPr>
  </w:style>
  <w:style w:type="character" w:customStyle="1" w:styleId="bulletsChar">
    <w:name w:val="bullets Char"/>
    <w:link w:val="bullets"/>
    <w:locked/>
    <w:rsid w:val="00360825"/>
    <w:rPr>
      <w:rFonts w:ascii="Arial" w:eastAsia="MS Mincho" w:hAnsi="Arial" w:cs="Arial"/>
      <w:bCs/>
      <w:color w:val="000000"/>
      <w:lang w:val="en-US" w:eastAsia="ja-JP"/>
    </w:rPr>
  </w:style>
  <w:style w:type="paragraph" w:customStyle="1" w:styleId="bullets">
    <w:name w:val="bullets"/>
    <w:basedOn w:val="111BodyList"/>
    <w:link w:val="bulletsChar"/>
    <w:qFormat/>
    <w:rsid w:val="00360825"/>
    <w:pPr>
      <w:numPr>
        <w:ilvl w:val="0"/>
        <w:numId w:val="0"/>
      </w:numPr>
      <w:tabs>
        <w:tab w:val="clear" w:pos="1304"/>
        <w:tab w:val="num" w:pos="1021"/>
        <w:tab w:val="left" w:pos="1560"/>
      </w:tabs>
      <w:spacing w:before="120"/>
      <w:ind w:left="1021" w:hanging="1021"/>
    </w:pPr>
    <w:rPr>
      <w:rFonts w:cs="Arial"/>
    </w:rPr>
  </w:style>
  <w:style w:type="paragraph" w:customStyle="1" w:styleId="05Tableheading">
    <w:name w:val="05 Table heading"/>
    <w:basedOn w:val="Normal"/>
    <w:next w:val="Normal"/>
    <w:uiPriority w:val="99"/>
    <w:qFormat/>
    <w:rsid w:val="00360825"/>
    <w:pPr>
      <w:tabs>
        <w:tab w:val="num" w:pos="1021"/>
      </w:tabs>
      <w:spacing w:after="0" w:line="300" w:lineRule="exact"/>
      <w:ind w:left="1021" w:hanging="1021"/>
      <w:jc w:val="left"/>
    </w:pPr>
    <w:rPr>
      <w:rFonts w:ascii="Arial" w:eastAsia="MS Mincho" w:hAnsi="Arial" w:cs="Arial"/>
      <w:b/>
      <w:bCs/>
      <w:color w:val="000000"/>
      <w:sz w:val="24"/>
      <w:szCs w:val="24"/>
      <w:lang w:eastAsia="ja-JP"/>
    </w:rPr>
  </w:style>
  <w:style w:type="character" w:customStyle="1" w:styleId="10aIndenttextChar">
    <w:name w:val="10a Indent text Char"/>
    <w:link w:val="10aIndenttext"/>
    <w:locked/>
    <w:rsid w:val="00360825"/>
    <w:rPr>
      <w:rFonts w:ascii="Arial" w:eastAsia="MS Mincho" w:hAnsi="Arial" w:cs="Arial"/>
      <w:color w:val="000000"/>
      <w:szCs w:val="18"/>
    </w:rPr>
  </w:style>
  <w:style w:type="paragraph" w:customStyle="1" w:styleId="10aIndenttext">
    <w:name w:val="10a Indent text"/>
    <w:basedOn w:val="Normal"/>
    <w:next w:val="03NumberedHeadings"/>
    <w:link w:val="10aIndenttextChar"/>
    <w:qFormat/>
    <w:rsid w:val="00360825"/>
    <w:pPr>
      <w:spacing w:after="0" w:line="240" w:lineRule="exact"/>
      <w:ind w:left="1021"/>
      <w:jc w:val="left"/>
    </w:pPr>
    <w:rPr>
      <w:rFonts w:ascii="Arial" w:eastAsia="MS Mincho" w:hAnsi="Arial" w:cs="Arial"/>
      <w:color w:val="000000"/>
      <w:szCs w:val="18"/>
    </w:rPr>
  </w:style>
  <w:style w:type="paragraph" w:customStyle="1" w:styleId="immtextalignjustify1">
    <w:name w:val="immtextalign_justify1"/>
    <w:basedOn w:val="Normal"/>
    <w:uiPriority w:val="99"/>
    <w:rsid w:val="00360825"/>
    <w:pPr>
      <w:spacing w:after="0" w:line="240" w:lineRule="auto"/>
    </w:pPr>
    <w:rPr>
      <w:rFonts w:ascii="Times New Roman" w:eastAsia="Calibri" w:hAnsi="Times New Roman"/>
      <w:sz w:val="24"/>
      <w:szCs w:val="24"/>
    </w:rPr>
  </w:style>
  <w:style w:type="paragraph" w:customStyle="1" w:styleId="ListParagraph3">
    <w:name w:val="List Paragraph3"/>
    <w:basedOn w:val="Normal"/>
    <w:uiPriority w:val="99"/>
    <w:qFormat/>
    <w:rsid w:val="00360825"/>
    <w:pPr>
      <w:spacing w:after="0" w:line="240" w:lineRule="auto"/>
      <w:ind w:left="720"/>
      <w:jc w:val="left"/>
    </w:pPr>
    <w:rPr>
      <w:rFonts w:ascii="Times New Roman" w:hAnsi="Times New Roman"/>
      <w:sz w:val="24"/>
      <w:szCs w:val="24"/>
    </w:rPr>
  </w:style>
  <w:style w:type="character" w:customStyle="1" w:styleId="HeadmainChar">
    <w:name w:val="Head main Char"/>
    <w:link w:val="Headmain"/>
    <w:locked/>
    <w:rsid w:val="00360825"/>
    <w:rPr>
      <w:rFonts w:ascii="Calibri" w:hAnsi="Calibri" w:cs="Calibri"/>
      <w:b/>
      <w:color w:val="4F81BD"/>
      <w:sz w:val="32"/>
      <w:szCs w:val="22"/>
      <w:lang w:eastAsia="en-US"/>
    </w:rPr>
  </w:style>
  <w:style w:type="paragraph" w:customStyle="1" w:styleId="Headmain">
    <w:name w:val="Head main"/>
    <w:basedOn w:val="Normal"/>
    <w:next w:val="Normal"/>
    <w:link w:val="HeadmainChar"/>
    <w:rsid w:val="00360825"/>
    <w:pPr>
      <w:spacing w:after="200" w:line="276" w:lineRule="auto"/>
      <w:jc w:val="left"/>
      <w:outlineLvl w:val="1"/>
    </w:pPr>
    <w:rPr>
      <w:rFonts w:ascii="Calibri" w:hAnsi="Calibri" w:cs="Calibri"/>
      <w:b/>
      <w:color w:val="4F81BD"/>
      <w:sz w:val="32"/>
      <w:szCs w:val="22"/>
      <w:lang w:eastAsia="en-US"/>
    </w:rPr>
  </w:style>
  <w:style w:type="character" w:customStyle="1" w:styleId="HeadsubChar">
    <w:name w:val="Head sub Char"/>
    <w:link w:val="Headsub"/>
    <w:locked/>
    <w:rsid w:val="00360825"/>
    <w:rPr>
      <w:rFonts w:ascii="Calibri" w:hAnsi="Calibri" w:cs="Tahoma"/>
      <w:b/>
      <w:bCs/>
      <w:iCs/>
      <w:color w:val="4F81BD"/>
      <w:sz w:val="22"/>
      <w:szCs w:val="22"/>
    </w:rPr>
  </w:style>
  <w:style w:type="paragraph" w:customStyle="1" w:styleId="Headsub">
    <w:name w:val="Head sub"/>
    <w:basedOn w:val="Normal"/>
    <w:next w:val="Normal"/>
    <w:link w:val="HeadsubChar"/>
    <w:rsid w:val="00360825"/>
    <w:pPr>
      <w:keepNext/>
      <w:spacing w:after="240" w:line="240" w:lineRule="auto"/>
      <w:jc w:val="left"/>
      <w:outlineLvl w:val="1"/>
    </w:pPr>
    <w:rPr>
      <w:rFonts w:ascii="Calibri" w:hAnsi="Calibri" w:cs="Tahoma"/>
      <w:b/>
      <w:bCs/>
      <w:iCs/>
      <w:color w:val="4F81BD"/>
      <w:sz w:val="22"/>
      <w:szCs w:val="22"/>
    </w:rPr>
  </w:style>
  <w:style w:type="character" w:customStyle="1" w:styleId="bulletChar">
    <w:name w:val="bullet Char"/>
    <w:link w:val="bullet"/>
    <w:uiPriority w:val="99"/>
    <w:locked/>
    <w:rsid w:val="00360825"/>
    <w:rPr>
      <w:rFonts w:ascii="Calibri" w:hAnsi="Calibri"/>
      <w:sz w:val="22"/>
      <w:szCs w:val="22"/>
    </w:rPr>
  </w:style>
  <w:style w:type="paragraph" w:customStyle="1" w:styleId="bullet">
    <w:name w:val="bullet"/>
    <w:basedOn w:val="Normal"/>
    <w:link w:val="bulletChar"/>
    <w:uiPriority w:val="99"/>
    <w:qFormat/>
    <w:rsid w:val="00360825"/>
    <w:pPr>
      <w:numPr>
        <w:numId w:val="19"/>
      </w:numPr>
      <w:spacing w:after="80" w:line="276" w:lineRule="auto"/>
      <w:jc w:val="left"/>
    </w:pPr>
    <w:rPr>
      <w:rFonts w:ascii="Calibri" w:hAnsi="Calibri"/>
      <w:sz w:val="22"/>
      <w:szCs w:val="22"/>
    </w:rPr>
  </w:style>
  <w:style w:type="character" w:customStyle="1" w:styleId="Level1OrangeChar">
    <w:name w:val="Level 1 Orange Char"/>
    <w:link w:val="Level1Orange"/>
    <w:locked/>
    <w:rsid w:val="00360825"/>
    <w:rPr>
      <w:rFonts w:ascii="Arial" w:hAnsi="Arial" w:cs="Arial"/>
      <w:color w:val="D2711C"/>
      <w:sz w:val="28"/>
      <w:szCs w:val="28"/>
    </w:rPr>
  </w:style>
  <w:style w:type="paragraph" w:customStyle="1" w:styleId="Level1Orange">
    <w:name w:val="Level 1 Orange"/>
    <w:next w:val="Normal"/>
    <w:link w:val="Level1OrangeChar"/>
    <w:rsid w:val="00360825"/>
    <w:pPr>
      <w:spacing w:before="240" w:after="120"/>
    </w:pPr>
    <w:rPr>
      <w:rFonts w:ascii="Arial" w:hAnsi="Arial" w:cs="Arial"/>
      <w:color w:val="D2711C"/>
      <w:sz w:val="28"/>
      <w:szCs w:val="28"/>
    </w:rPr>
  </w:style>
  <w:style w:type="character" w:customStyle="1" w:styleId="BulletORANGEChar">
    <w:name w:val="Bullet ORANGE Char"/>
    <w:link w:val="BulletORANGE"/>
    <w:uiPriority w:val="99"/>
    <w:locked/>
    <w:rsid w:val="00360825"/>
    <w:rPr>
      <w:rFonts w:ascii="Arial" w:hAnsi="Arial" w:cs="Arial"/>
      <w:spacing w:val="-4"/>
    </w:rPr>
  </w:style>
  <w:style w:type="paragraph" w:customStyle="1" w:styleId="BulletORANGE">
    <w:name w:val="Bullet ORANGE"/>
    <w:basedOn w:val="Normal"/>
    <w:link w:val="BulletORANGEChar"/>
    <w:uiPriority w:val="99"/>
    <w:qFormat/>
    <w:rsid w:val="00360825"/>
    <w:pPr>
      <w:numPr>
        <w:numId w:val="20"/>
      </w:numPr>
      <w:spacing w:after="120" w:line="240" w:lineRule="auto"/>
      <w:jc w:val="left"/>
    </w:pPr>
    <w:rPr>
      <w:rFonts w:ascii="Arial" w:hAnsi="Arial" w:cs="Arial"/>
      <w:spacing w:val="-4"/>
    </w:rPr>
  </w:style>
  <w:style w:type="character" w:customStyle="1" w:styleId="BulletblackplainChar">
    <w:name w:val="Bullet black plain Char"/>
    <w:basedOn w:val="BodytextChar0"/>
    <w:link w:val="Bulletblackplain"/>
    <w:locked/>
    <w:rsid w:val="00360825"/>
    <w:rPr>
      <w:rFonts w:ascii="Arial" w:eastAsia="MS PGothic" w:hAnsi="Arial" w:cs="Arial"/>
      <w:color w:val="000000"/>
      <w:spacing w:val="-4"/>
      <w:szCs w:val="18"/>
      <w:lang w:eastAsia="ja-JP"/>
    </w:rPr>
  </w:style>
  <w:style w:type="paragraph" w:customStyle="1" w:styleId="Bulletblackplain">
    <w:name w:val="Bullet black plain"/>
    <w:basedOn w:val="Normal"/>
    <w:link w:val="BulletblackplainChar"/>
    <w:qFormat/>
    <w:rsid w:val="00360825"/>
    <w:pPr>
      <w:numPr>
        <w:numId w:val="21"/>
      </w:numPr>
      <w:tabs>
        <w:tab w:val="num" w:pos="720"/>
      </w:tabs>
      <w:spacing w:before="60" w:after="60" w:line="240" w:lineRule="atLeast"/>
      <w:ind w:left="1078" w:hanging="284"/>
    </w:pPr>
    <w:rPr>
      <w:rFonts w:ascii="Arial" w:eastAsia="MS PGothic" w:hAnsi="Arial" w:cs="Arial"/>
      <w:color w:val="000000"/>
      <w:spacing w:val="-4"/>
      <w:szCs w:val="18"/>
      <w:lang w:eastAsia="ja-JP"/>
    </w:rPr>
  </w:style>
  <w:style w:type="character" w:customStyle="1" w:styleId="Listinga-iChar">
    <w:name w:val="Listing a-i Char"/>
    <w:basedOn w:val="BodytextwithindentChar"/>
    <w:link w:val="Listinga-i"/>
    <w:uiPriority w:val="99"/>
    <w:locked/>
    <w:rsid w:val="00360825"/>
    <w:rPr>
      <w:rFonts w:ascii="Arial" w:eastAsia="MS PGothic" w:hAnsi="Arial" w:cs="Arial"/>
      <w:color w:val="000000"/>
      <w:spacing w:val="-4"/>
      <w:szCs w:val="18"/>
      <w:lang w:eastAsia="ja-JP"/>
    </w:rPr>
  </w:style>
  <w:style w:type="paragraph" w:customStyle="1" w:styleId="Listinga-i">
    <w:name w:val="Listing a-i"/>
    <w:basedOn w:val="Normal"/>
    <w:link w:val="Listinga-iChar"/>
    <w:uiPriority w:val="99"/>
    <w:qFormat/>
    <w:rsid w:val="00360825"/>
    <w:pPr>
      <w:numPr>
        <w:numId w:val="22"/>
      </w:numPr>
      <w:tabs>
        <w:tab w:val="num" w:pos="870"/>
      </w:tabs>
      <w:spacing w:before="60" w:after="60"/>
      <w:ind w:left="1078" w:hanging="284"/>
    </w:pPr>
    <w:rPr>
      <w:rFonts w:ascii="Arial" w:eastAsia="MS PGothic" w:hAnsi="Arial" w:cs="Arial"/>
      <w:color w:val="000000"/>
      <w:spacing w:val="-4"/>
      <w:szCs w:val="18"/>
      <w:lang w:eastAsia="ja-JP"/>
    </w:rPr>
  </w:style>
  <w:style w:type="character" w:customStyle="1" w:styleId="BodytextwithindentChar">
    <w:name w:val="Body text with indent Char"/>
    <w:basedOn w:val="BodytextChar0"/>
    <w:link w:val="Bodytextwithindent"/>
    <w:locked/>
    <w:rsid w:val="00360825"/>
    <w:rPr>
      <w:rFonts w:ascii="Arial" w:eastAsiaTheme="minorEastAsia" w:hAnsi="Arial" w:cs="Arial"/>
      <w:color w:val="000000" w:themeColor="text1"/>
      <w:spacing w:val="-4"/>
      <w:szCs w:val="18"/>
      <w:lang w:eastAsia="ja-JP"/>
    </w:rPr>
  </w:style>
  <w:style w:type="paragraph" w:customStyle="1" w:styleId="Bodytextwithindent">
    <w:name w:val="Body text with indent"/>
    <w:basedOn w:val="BodyText1"/>
    <w:next w:val="Normal"/>
    <w:link w:val="BodytextwithindentChar"/>
    <w:qFormat/>
    <w:rsid w:val="00360825"/>
    <w:pPr>
      <w:autoSpaceDE/>
      <w:autoSpaceDN/>
      <w:adjustRightInd/>
      <w:spacing w:before="120" w:after="240" w:line="360" w:lineRule="auto"/>
      <w:ind w:left="794"/>
      <w:jc w:val="both"/>
    </w:pPr>
    <w:rPr>
      <w:rFonts w:eastAsiaTheme="minorEastAsia"/>
      <w:color w:val="000000" w:themeColor="text1"/>
      <w:szCs w:val="18"/>
      <w:lang w:eastAsia="ja-JP"/>
    </w:rPr>
  </w:style>
  <w:style w:type="character" w:customStyle="1" w:styleId="QuotelistingaChar">
    <w:name w:val="Quote listing (a) Char"/>
    <w:basedOn w:val="Listinga-iChar"/>
    <w:link w:val="Quotelistinga"/>
    <w:uiPriority w:val="99"/>
    <w:locked/>
    <w:rsid w:val="00360825"/>
    <w:rPr>
      <w:rFonts w:ascii="Arial" w:eastAsiaTheme="minorEastAsia" w:hAnsi="Arial" w:cs="Arial"/>
      <w:i/>
      <w:color w:val="000000" w:themeColor="text1"/>
      <w:spacing w:val="-4"/>
      <w:szCs w:val="18"/>
      <w:lang w:eastAsia="ja-JP"/>
    </w:rPr>
  </w:style>
  <w:style w:type="paragraph" w:customStyle="1" w:styleId="Quotelistinga">
    <w:name w:val="Quote listing (a)"/>
    <w:link w:val="QuotelistingaChar"/>
    <w:uiPriority w:val="99"/>
    <w:qFormat/>
    <w:rsid w:val="00360825"/>
    <w:pPr>
      <w:numPr>
        <w:numId w:val="23"/>
      </w:numPr>
      <w:spacing w:before="60" w:after="60" w:line="240" w:lineRule="atLeast"/>
    </w:pPr>
    <w:rPr>
      <w:rFonts w:ascii="Arial" w:eastAsiaTheme="minorEastAsia" w:hAnsi="Arial" w:cs="Arial"/>
      <w:i/>
      <w:color w:val="000000" w:themeColor="text1"/>
      <w:spacing w:val="-4"/>
      <w:szCs w:val="18"/>
      <w:lang w:eastAsia="ja-JP"/>
    </w:rPr>
  </w:style>
  <w:style w:type="character" w:customStyle="1" w:styleId="QuotelistingiChar">
    <w:name w:val="Quote listing (i) Char"/>
    <w:basedOn w:val="QuotelistingaChar"/>
    <w:link w:val="Quotelistingi"/>
    <w:uiPriority w:val="99"/>
    <w:locked/>
    <w:rsid w:val="00360825"/>
    <w:rPr>
      <w:rFonts w:ascii="Arial" w:eastAsiaTheme="minorEastAsia" w:hAnsi="Arial" w:cs="Arial"/>
      <w:i/>
      <w:color w:val="000000" w:themeColor="text1"/>
      <w:spacing w:val="-4"/>
      <w:szCs w:val="18"/>
      <w:lang w:eastAsia="ja-JP"/>
    </w:rPr>
  </w:style>
  <w:style w:type="paragraph" w:customStyle="1" w:styleId="Quotelistingi">
    <w:name w:val="Quote listing (i)"/>
    <w:basedOn w:val="Quotelistinga"/>
    <w:link w:val="QuotelistingiChar"/>
    <w:uiPriority w:val="99"/>
    <w:qFormat/>
    <w:rsid w:val="00360825"/>
    <w:pPr>
      <w:numPr>
        <w:ilvl w:val="1"/>
      </w:numPr>
    </w:pPr>
  </w:style>
  <w:style w:type="paragraph" w:customStyle="1" w:styleId="Quotetext">
    <w:name w:val="Quote text"/>
    <w:basedOn w:val="Normal"/>
    <w:uiPriority w:val="99"/>
    <w:qFormat/>
    <w:rsid w:val="00360825"/>
    <w:pPr>
      <w:spacing w:before="120" w:after="240" w:line="240" w:lineRule="atLeast"/>
      <w:ind w:left="1077" w:right="284"/>
    </w:pPr>
    <w:rPr>
      <w:rFonts w:ascii="Arial" w:eastAsiaTheme="minorEastAsia" w:hAnsi="Arial" w:cs="Arial"/>
      <w:i/>
      <w:iCs/>
      <w:color w:val="000000" w:themeColor="text1"/>
      <w:lang w:eastAsia="ja-JP"/>
    </w:rPr>
  </w:style>
  <w:style w:type="paragraph" w:customStyle="1" w:styleId="ReportNumberedList2">
    <w:name w:val="Report Numbered List 2"/>
    <w:basedOn w:val="Normal"/>
    <w:uiPriority w:val="99"/>
    <w:rsid w:val="00360825"/>
    <w:pPr>
      <w:numPr>
        <w:numId w:val="24"/>
      </w:numPr>
      <w:spacing w:after="0" w:line="240" w:lineRule="auto"/>
      <w:jc w:val="left"/>
    </w:pPr>
    <w:rPr>
      <w:rFonts w:ascii="Book Antiqua" w:hAnsi="Book Antiqua"/>
      <w:kern w:val="20"/>
      <w:sz w:val="24"/>
    </w:rPr>
  </w:style>
  <w:style w:type="character" w:customStyle="1" w:styleId="MaintextChar">
    <w:name w:val="Main text Char"/>
    <w:link w:val="Maintext"/>
    <w:locked/>
    <w:rsid w:val="00360825"/>
    <w:rPr>
      <w:rFonts w:ascii="Arial" w:eastAsiaTheme="minorHAnsi" w:hAnsi="Arial" w:cs="Arial"/>
      <w:sz w:val="22"/>
      <w:szCs w:val="22"/>
      <w:lang w:eastAsia="en-US"/>
    </w:rPr>
  </w:style>
  <w:style w:type="paragraph" w:customStyle="1" w:styleId="Maintext">
    <w:name w:val="Main text"/>
    <w:basedOn w:val="Normal"/>
    <w:link w:val="MaintextChar"/>
    <w:qFormat/>
    <w:rsid w:val="00360825"/>
    <w:pPr>
      <w:tabs>
        <w:tab w:val="num" w:pos="1361"/>
      </w:tabs>
      <w:spacing w:before="180" w:after="0" w:line="280" w:lineRule="atLeast"/>
      <w:ind w:left="1361" w:hanging="1361"/>
      <w:jc w:val="left"/>
    </w:pPr>
    <w:rPr>
      <w:rFonts w:ascii="Arial" w:eastAsiaTheme="minorHAnsi" w:hAnsi="Arial" w:cs="Arial"/>
      <w:sz w:val="22"/>
      <w:szCs w:val="22"/>
      <w:lang w:eastAsia="en-US"/>
    </w:rPr>
  </w:style>
  <w:style w:type="paragraph" w:customStyle="1" w:styleId="NumberList">
    <w:name w:val="Number List"/>
    <w:basedOn w:val="Normal"/>
    <w:uiPriority w:val="99"/>
    <w:qFormat/>
    <w:rsid w:val="00360825"/>
    <w:pPr>
      <w:tabs>
        <w:tab w:val="num" w:pos="1928"/>
      </w:tabs>
      <w:spacing w:before="100" w:after="20" w:line="280" w:lineRule="atLeast"/>
      <w:ind w:left="1928" w:hanging="567"/>
      <w:jc w:val="left"/>
    </w:pPr>
    <w:rPr>
      <w:rFonts w:ascii="Arial" w:eastAsiaTheme="minorHAnsi" w:hAnsi="Arial" w:cstheme="minorBidi"/>
      <w:color w:val="D40536" w:themeColor="accent1"/>
      <w:sz w:val="22"/>
      <w:szCs w:val="22"/>
      <w:lang w:eastAsia="en-US"/>
    </w:rPr>
  </w:style>
  <w:style w:type="character" w:customStyle="1" w:styleId="10BulletBodytextChar">
    <w:name w:val="10 Bullet Body text Char"/>
    <w:link w:val="10BulletBodytext"/>
    <w:locked/>
    <w:rsid w:val="00360825"/>
    <w:rPr>
      <w:rFonts w:eastAsia="MS Mincho"/>
      <w:bCs/>
      <w:noProof/>
      <w:color w:val="000000"/>
      <w:szCs w:val="18"/>
    </w:rPr>
  </w:style>
  <w:style w:type="paragraph" w:customStyle="1" w:styleId="10BulletBodytext">
    <w:name w:val="10 Bullet Body text"/>
    <w:basedOn w:val="Normal"/>
    <w:link w:val="10BulletBodytextChar"/>
    <w:qFormat/>
    <w:rsid w:val="00360825"/>
    <w:pPr>
      <w:numPr>
        <w:numId w:val="25"/>
      </w:numPr>
      <w:spacing w:after="0" w:line="240" w:lineRule="exact"/>
      <w:jc w:val="left"/>
    </w:pPr>
    <w:rPr>
      <w:rFonts w:ascii="Times New Roman" w:eastAsia="MS Mincho" w:hAnsi="Times New Roman"/>
      <w:bCs/>
      <w:noProof/>
      <w:color w:val="000000"/>
      <w:szCs w:val="18"/>
    </w:rPr>
  </w:style>
  <w:style w:type="paragraph" w:customStyle="1" w:styleId="story-bodyintroduction">
    <w:name w:val="story-body__introduction"/>
    <w:basedOn w:val="Normal"/>
    <w:uiPriority w:val="99"/>
    <w:rsid w:val="00360825"/>
    <w:pPr>
      <w:spacing w:before="100" w:beforeAutospacing="1" w:after="100" w:afterAutospacing="1" w:line="240" w:lineRule="auto"/>
      <w:jc w:val="left"/>
    </w:pPr>
    <w:rPr>
      <w:rFonts w:ascii="Times New Roman" w:hAnsi="Times New Roman"/>
      <w:sz w:val="24"/>
      <w:szCs w:val="24"/>
    </w:rPr>
  </w:style>
  <w:style w:type="paragraph" w:customStyle="1" w:styleId="NoParagraphStyle">
    <w:name w:val="[No Paragraph Style]"/>
    <w:uiPriority w:val="99"/>
    <w:rsid w:val="00360825"/>
    <w:pPr>
      <w:widowControl w:val="0"/>
      <w:autoSpaceDE w:val="0"/>
      <w:autoSpaceDN w:val="0"/>
      <w:adjustRightInd w:val="0"/>
      <w:spacing w:line="288" w:lineRule="auto"/>
    </w:pPr>
    <w:rPr>
      <w:rFonts w:ascii="Arial" w:eastAsiaTheme="minorEastAsia" w:hAnsi="Arial" w:cs="MinionPro-Regular"/>
      <w:color w:val="000000"/>
      <w:lang w:eastAsia="ja-JP"/>
    </w:rPr>
  </w:style>
  <w:style w:type="character" w:customStyle="1" w:styleId="BoldBodytextChar">
    <w:name w:val="Bold Body text Char"/>
    <w:basedOn w:val="BodytextChar0"/>
    <w:link w:val="BoldBodytext"/>
    <w:locked/>
    <w:rsid w:val="00360825"/>
    <w:rPr>
      <w:rFonts w:ascii="Arial" w:eastAsiaTheme="minorEastAsia" w:hAnsi="Arial" w:cs="Arial"/>
      <w:b/>
      <w:bCs/>
      <w:color w:val="000000" w:themeColor="text1"/>
      <w:spacing w:val="-4"/>
      <w:szCs w:val="18"/>
      <w:lang w:eastAsia="ja-JP"/>
    </w:rPr>
  </w:style>
  <w:style w:type="paragraph" w:customStyle="1" w:styleId="BoldBodytext">
    <w:name w:val="Bold Body text"/>
    <w:basedOn w:val="BodyText1"/>
    <w:next w:val="BodyText1"/>
    <w:link w:val="BoldBodytextChar"/>
    <w:qFormat/>
    <w:rsid w:val="00360825"/>
    <w:pPr>
      <w:autoSpaceDE/>
      <w:autoSpaceDN/>
      <w:adjustRightInd/>
      <w:spacing w:before="0" w:after="0" w:line="360" w:lineRule="auto"/>
      <w:jc w:val="both"/>
    </w:pPr>
    <w:rPr>
      <w:rFonts w:eastAsiaTheme="minorEastAsia"/>
      <w:b/>
      <w:bCs/>
      <w:color w:val="000000" w:themeColor="text1"/>
      <w:szCs w:val="18"/>
      <w:lang w:eastAsia="ja-JP"/>
    </w:rPr>
  </w:style>
  <w:style w:type="character" w:customStyle="1" w:styleId="ReportTitleChar">
    <w:name w:val="Report Title Char"/>
    <w:basedOn w:val="BodytextChar0"/>
    <w:link w:val="ReportTitle"/>
    <w:locked/>
    <w:rsid w:val="00360825"/>
    <w:rPr>
      <w:rFonts w:ascii="Arial" w:eastAsiaTheme="minorEastAsia" w:hAnsi="Arial" w:cs="Arial"/>
      <w:color w:val="0093D5"/>
      <w:spacing w:val="-4"/>
      <w:sz w:val="48"/>
      <w:szCs w:val="48"/>
      <w:lang w:eastAsia="ja-JP"/>
    </w:rPr>
  </w:style>
  <w:style w:type="paragraph" w:customStyle="1" w:styleId="ReportTitle">
    <w:name w:val="Report Title"/>
    <w:basedOn w:val="BodyText1"/>
    <w:link w:val="ReportTitleChar"/>
    <w:qFormat/>
    <w:rsid w:val="00360825"/>
    <w:pPr>
      <w:autoSpaceDE/>
      <w:autoSpaceDN/>
      <w:adjustRightInd/>
      <w:spacing w:before="0" w:after="0" w:line="520" w:lineRule="atLeast"/>
    </w:pPr>
    <w:rPr>
      <w:rFonts w:eastAsiaTheme="minorEastAsia"/>
      <w:color w:val="0093D5"/>
      <w:sz w:val="48"/>
      <w:szCs w:val="48"/>
      <w:lang w:eastAsia="ja-JP"/>
    </w:rPr>
  </w:style>
  <w:style w:type="character" w:customStyle="1" w:styleId="HeadingboldChar">
    <w:name w:val="Heading bold Char"/>
    <w:basedOn w:val="ReportTitleChar"/>
    <w:link w:val="Headingbold"/>
    <w:locked/>
    <w:rsid w:val="00360825"/>
    <w:rPr>
      <w:rFonts w:ascii="Arial" w:eastAsiaTheme="minorEastAsia" w:hAnsi="Arial" w:cs="Arial"/>
      <w:b/>
      <w:bCs/>
      <w:color w:val="000000" w:themeColor="text1"/>
      <w:spacing w:val="-4"/>
      <w:sz w:val="24"/>
      <w:szCs w:val="24"/>
      <w:lang w:eastAsia="ja-JP"/>
    </w:rPr>
  </w:style>
  <w:style w:type="paragraph" w:customStyle="1" w:styleId="Headingbold">
    <w:name w:val="Heading bold"/>
    <w:basedOn w:val="ReportTitle"/>
    <w:link w:val="HeadingboldChar"/>
    <w:qFormat/>
    <w:rsid w:val="00360825"/>
    <w:pPr>
      <w:tabs>
        <w:tab w:val="left" w:pos="1021"/>
      </w:tabs>
      <w:spacing w:line="300" w:lineRule="atLeast"/>
    </w:pPr>
    <w:rPr>
      <w:b/>
      <w:bCs/>
      <w:color w:val="000000" w:themeColor="text1"/>
      <w:sz w:val="24"/>
      <w:szCs w:val="24"/>
    </w:rPr>
  </w:style>
  <w:style w:type="paragraph" w:customStyle="1" w:styleId="Text">
    <w:name w:val="Text"/>
    <w:basedOn w:val="NoParagraphStyle"/>
    <w:autoRedefine/>
    <w:uiPriority w:val="99"/>
    <w:locked/>
    <w:rsid w:val="00360825"/>
    <w:pPr>
      <w:tabs>
        <w:tab w:val="left" w:pos="170"/>
      </w:tabs>
      <w:suppressAutoHyphens/>
      <w:spacing w:line="240" w:lineRule="atLeast"/>
    </w:pPr>
    <w:rPr>
      <w:rFonts w:cs="Arial"/>
      <w:b/>
      <w:color w:val="FFFFFF" w:themeColor="background1"/>
    </w:rPr>
  </w:style>
  <w:style w:type="paragraph" w:customStyle="1" w:styleId="Referencetext8pt">
    <w:name w:val="Reference text 8pt"/>
    <w:basedOn w:val="BodyText1"/>
    <w:next w:val="BodyText1"/>
    <w:uiPriority w:val="99"/>
    <w:qFormat/>
    <w:rsid w:val="00360825"/>
    <w:pPr>
      <w:autoSpaceDE/>
      <w:autoSpaceDN/>
      <w:adjustRightInd/>
      <w:spacing w:before="0" w:after="0" w:line="220" w:lineRule="exact"/>
      <w:jc w:val="both"/>
    </w:pPr>
    <w:rPr>
      <w:rFonts w:eastAsiaTheme="minorEastAsia" w:cs="ArialMT"/>
      <w:color w:val="000000" w:themeColor="text1"/>
      <w:spacing w:val="0"/>
      <w:sz w:val="16"/>
      <w:szCs w:val="18"/>
      <w:lang w:eastAsia="ja-JP"/>
    </w:rPr>
  </w:style>
  <w:style w:type="character" w:customStyle="1" w:styleId="12SubheadbluecoverpageChar">
    <w:name w:val="12 Subhead blue (cover page) Char"/>
    <w:basedOn w:val="SubheadBlue12Char"/>
    <w:link w:val="12Subheadbluecoverpage"/>
    <w:locked/>
    <w:rsid w:val="00360825"/>
    <w:rPr>
      <w:rFonts w:ascii="Arial" w:eastAsiaTheme="minorEastAsia" w:hAnsi="Arial" w:cs="Arial"/>
      <w:color w:val="0093D5"/>
      <w:sz w:val="24"/>
      <w:szCs w:val="24"/>
      <w:lang w:eastAsia="ja-JP"/>
    </w:rPr>
  </w:style>
  <w:style w:type="paragraph" w:customStyle="1" w:styleId="12Subheadbluecoverpage">
    <w:name w:val="12 Subhead blue (cover page)"/>
    <w:basedOn w:val="SubheadBlue12"/>
    <w:link w:val="12SubheadbluecoverpageChar"/>
    <w:rsid w:val="00360825"/>
    <w:pPr>
      <w:ind w:left="0"/>
    </w:pPr>
    <w:rPr>
      <w:rFonts w:eastAsiaTheme="minorEastAsia"/>
    </w:rPr>
  </w:style>
  <w:style w:type="paragraph" w:customStyle="1" w:styleId="NameofClient">
    <w:name w:val="Name of Client"/>
    <w:basedOn w:val="12Subheadbluecoverpage"/>
    <w:uiPriority w:val="99"/>
    <w:qFormat/>
    <w:rsid w:val="00360825"/>
    <w:pPr>
      <w:jc w:val="left"/>
    </w:pPr>
    <w:rPr>
      <w:b/>
    </w:rPr>
  </w:style>
  <w:style w:type="paragraph" w:customStyle="1" w:styleId="Postcode">
    <w:name w:val="Postcode"/>
    <w:basedOn w:val="SubheadBlue12"/>
    <w:uiPriority w:val="99"/>
    <w:qFormat/>
    <w:rsid w:val="00360825"/>
    <w:pPr>
      <w:ind w:left="0"/>
      <w:jc w:val="left"/>
    </w:pPr>
    <w:rPr>
      <w:rFonts w:eastAsiaTheme="minorEastAsia"/>
    </w:rPr>
  </w:style>
  <w:style w:type="paragraph" w:customStyle="1" w:styleId="Dateofreport">
    <w:name w:val="Date of report"/>
    <w:basedOn w:val="SubheadBlue12"/>
    <w:uiPriority w:val="99"/>
    <w:qFormat/>
    <w:rsid w:val="00360825"/>
    <w:pPr>
      <w:ind w:left="0"/>
      <w:jc w:val="left"/>
    </w:pPr>
    <w:rPr>
      <w:rFonts w:eastAsiaTheme="minorEastAsia"/>
    </w:rPr>
  </w:style>
  <w:style w:type="paragraph" w:customStyle="1" w:styleId="Footerlandscape">
    <w:name w:val="Footer landscape"/>
    <w:basedOn w:val="Normal"/>
    <w:uiPriority w:val="99"/>
    <w:qFormat/>
    <w:rsid w:val="00360825"/>
    <w:pPr>
      <w:framePr w:w="14572" w:h="748" w:wrap="around" w:vAnchor="page" w:hAnchor="page" w:x="1379" w:y="10723"/>
      <w:tabs>
        <w:tab w:val="right" w:pos="14572"/>
      </w:tabs>
      <w:spacing w:after="0" w:line="200" w:lineRule="exact"/>
      <w:jc w:val="left"/>
    </w:pPr>
    <w:rPr>
      <w:rFonts w:ascii="Arial" w:eastAsiaTheme="minorEastAsia" w:hAnsi="Arial" w:cs="Arial"/>
      <w:color w:val="000000" w:themeColor="text1"/>
      <w:sz w:val="16"/>
      <w:lang w:eastAsia="ja-JP"/>
    </w:rPr>
  </w:style>
  <w:style w:type="paragraph" w:customStyle="1" w:styleId="FooterPortrait">
    <w:name w:val="Footer Portrait"/>
    <w:basedOn w:val="Normal"/>
    <w:uiPriority w:val="99"/>
    <w:qFormat/>
    <w:rsid w:val="00360825"/>
    <w:pPr>
      <w:framePr w:w="9639" w:h="748" w:wrap="around" w:vAnchor="page" w:hAnchor="page" w:x="1379" w:y="15656"/>
      <w:tabs>
        <w:tab w:val="right" w:pos="9639"/>
      </w:tabs>
      <w:spacing w:after="0" w:line="200" w:lineRule="exact"/>
      <w:jc w:val="left"/>
    </w:pPr>
    <w:rPr>
      <w:rFonts w:ascii="Arial" w:eastAsiaTheme="minorEastAsia" w:hAnsi="Arial" w:cs="Arial"/>
      <w:color w:val="000000" w:themeColor="text1"/>
      <w:sz w:val="16"/>
      <w:lang w:eastAsia="ja-JP"/>
    </w:rPr>
  </w:style>
  <w:style w:type="character" w:customStyle="1" w:styleId="TableBodytextChar">
    <w:name w:val="Table Body text Char"/>
    <w:basedOn w:val="DefaultParagraphFont"/>
    <w:link w:val="TableBodytext"/>
    <w:locked/>
    <w:rsid w:val="00360825"/>
    <w:rPr>
      <w:rFonts w:ascii="Arial" w:eastAsiaTheme="minorEastAsia" w:hAnsi="Arial" w:cs="Arial"/>
      <w:color w:val="000000" w:themeColor="text1"/>
      <w:sz w:val="18"/>
      <w:szCs w:val="18"/>
      <w:lang w:eastAsia="ja-JP"/>
    </w:rPr>
  </w:style>
  <w:style w:type="paragraph" w:customStyle="1" w:styleId="TableBodytext">
    <w:name w:val="Table Body text"/>
    <w:basedOn w:val="Normal"/>
    <w:link w:val="TableBodytextChar"/>
    <w:qFormat/>
    <w:rsid w:val="00360825"/>
    <w:pPr>
      <w:spacing w:before="60" w:after="60" w:line="240" w:lineRule="atLeast"/>
      <w:jc w:val="left"/>
    </w:pPr>
    <w:rPr>
      <w:rFonts w:ascii="Arial" w:eastAsiaTheme="minorEastAsia" w:hAnsi="Arial" w:cs="Arial"/>
      <w:color w:val="000000" w:themeColor="text1"/>
      <w:sz w:val="18"/>
      <w:szCs w:val="18"/>
      <w:lang w:eastAsia="ja-JP"/>
    </w:rPr>
  </w:style>
  <w:style w:type="paragraph" w:customStyle="1" w:styleId="NameofDevelopment">
    <w:name w:val="Name of Development"/>
    <w:basedOn w:val="NameofClient"/>
    <w:uiPriority w:val="99"/>
    <w:qFormat/>
    <w:rsid w:val="00360825"/>
    <w:rPr>
      <w:b w:val="0"/>
    </w:rPr>
  </w:style>
  <w:style w:type="paragraph" w:customStyle="1" w:styleId="Appendices">
    <w:name w:val="Appendices"/>
    <w:uiPriority w:val="99"/>
    <w:qFormat/>
    <w:rsid w:val="00360825"/>
    <w:pPr>
      <w:numPr>
        <w:numId w:val="26"/>
      </w:numPr>
      <w:spacing w:after="200"/>
      <w:jc w:val="both"/>
    </w:pPr>
    <w:rPr>
      <w:rFonts w:ascii="Arial" w:eastAsiaTheme="minorEastAsia" w:hAnsi="Arial" w:cs="Arial"/>
      <w:color w:val="000000" w:themeColor="text1"/>
      <w:szCs w:val="24"/>
      <w:lang w:eastAsia="ja-JP"/>
    </w:rPr>
  </w:style>
  <w:style w:type="character" w:customStyle="1" w:styleId="12SubheadGreyCoverpageChar">
    <w:name w:val="12 Subhead Grey (Cover page) Char"/>
    <w:basedOn w:val="SubheadGrey12Char"/>
    <w:link w:val="12SubheadGreyCoverpage"/>
    <w:locked/>
    <w:rsid w:val="00360825"/>
    <w:rPr>
      <w:rFonts w:ascii="Arial" w:eastAsiaTheme="minorEastAsia" w:hAnsi="Arial" w:cs="Arial"/>
      <w:color w:val="33393A"/>
      <w:sz w:val="24"/>
      <w:szCs w:val="24"/>
      <w:lang w:eastAsia="ja-JP"/>
    </w:rPr>
  </w:style>
  <w:style w:type="paragraph" w:customStyle="1" w:styleId="12SubheadGreyCoverpage">
    <w:name w:val="12 Subhead Grey (Cover page)"/>
    <w:basedOn w:val="SubheadGrey12"/>
    <w:link w:val="12SubheadGreyCoverpageChar"/>
    <w:rsid w:val="00360825"/>
    <w:pPr>
      <w:spacing w:line="300" w:lineRule="exact"/>
      <w:ind w:left="0"/>
    </w:pPr>
    <w:rPr>
      <w:rFonts w:eastAsiaTheme="minorEastAsia"/>
    </w:rPr>
  </w:style>
  <w:style w:type="character" w:customStyle="1" w:styleId="QuoteBulletBlackChar">
    <w:name w:val="Quote Bullet Black Char"/>
    <w:basedOn w:val="BulletblackplainChar"/>
    <w:link w:val="QuoteBulletBlack"/>
    <w:uiPriority w:val="99"/>
    <w:locked/>
    <w:rsid w:val="00360825"/>
    <w:rPr>
      <w:rFonts w:ascii="Arial" w:eastAsiaTheme="minorEastAsia" w:hAnsi="Arial" w:cs="Arial"/>
      <w:i/>
      <w:color w:val="000000" w:themeColor="text1"/>
      <w:spacing w:val="-4"/>
      <w:szCs w:val="18"/>
      <w:lang w:eastAsia="ja-JP"/>
    </w:rPr>
  </w:style>
  <w:style w:type="paragraph" w:customStyle="1" w:styleId="QuoteBulletBlack">
    <w:name w:val="Quote Bullet Black"/>
    <w:basedOn w:val="Bulletblackplain"/>
    <w:link w:val="QuoteBulletBlackChar"/>
    <w:uiPriority w:val="99"/>
    <w:qFormat/>
    <w:rsid w:val="00360825"/>
    <w:pPr>
      <w:numPr>
        <w:numId w:val="16"/>
      </w:numPr>
      <w:tabs>
        <w:tab w:val="num" w:pos="794"/>
      </w:tabs>
      <w:ind w:left="1078" w:hanging="284"/>
    </w:pPr>
    <w:rPr>
      <w:rFonts w:eastAsiaTheme="minorEastAsia"/>
      <w:i/>
      <w:color w:val="000000" w:themeColor="text1"/>
    </w:rPr>
  </w:style>
  <w:style w:type="paragraph" w:customStyle="1" w:styleId="Quotes">
    <w:name w:val="Quotes"/>
    <w:next w:val="Normal"/>
    <w:uiPriority w:val="99"/>
    <w:rsid w:val="00360825"/>
    <w:pPr>
      <w:spacing w:before="240" w:after="240"/>
      <w:ind w:right="956"/>
    </w:pPr>
    <w:rPr>
      <w:rFonts w:ascii="Arial" w:hAnsi="Arial" w:cs="Arial"/>
      <w:i/>
      <w:color w:val="D2711C"/>
      <w:spacing w:val="-4"/>
      <w:sz w:val="22"/>
      <w:szCs w:val="24"/>
    </w:rPr>
  </w:style>
  <w:style w:type="paragraph" w:customStyle="1" w:styleId="HeadChapt">
    <w:name w:val="Head Chapt"/>
    <w:basedOn w:val="Normal"/>
    <w:next w:val="Normal"/>
    <w:uiPriority w:val="99"/>
    <w:qFormat/>
    <w:rsid w:val="00360825"/>
    <w:pPr>
      <w:numPr>
        <w:ilvl w:val="1"/>
        <w:numId w:val="27"/>
      </w:numPr>
      <w:pBdr>
        <w:bottom w:val="single" w:sz="4" w:space="1" w:color="4F81BD"/>
      </w:pBdr>
      <w:spacing w:before="1200" w:after="600" w:line="276" w:lineRule="auto"/>
      <w:ind w:left="5670" w:firstLine="0"/>
      <w:jc w:val="right"/>
      <w:outlineLvl w:val="0"/>
    </w:pPr>
    <w:rPr>
      <w:rFonts w:ascii="Calibri" w:eastAsia="Calibri" w:hAnsi="Calibri"/>
      <w:b/>
      <w:color w:val="4F81BD"/>
      <w:sz w:val="40"/>
    </w:rPr>
  </w:style>
  <w:style w:type="paragraph" w:customStyle="1" w:styleId="smalldecimal">
    <w:name w:val="# small decimal"/>
    <w:basedOn w:val="Normal"/>
    <w:autoRedefine/>
    <w:uiPriority w:val="99"/>
    <w:qFormat/>
    <w:rsid w:val="00360825"/>
    <w:pPr>
      <w:tabs>
        <w:tab w:val="num" w:pos="199"/>
      </w:tabs>
      <w:spacing w:after="200" w:line="276" w:lineRule="auto"/>
      <w:ind w:left="505" w:hanging="363"/>
    </w:pPr>
    <w:rPr>
      <w:rFonts w:ascii="Calibri" w:eastAsia="Calibri" w:hAnsi="Calibri"/>
    </w:rPr>
  </w:style>
  <w:style w:type="paragraph" w:customStyle="1" w:styleId="headmainnumbered">
    <w:name w:val="head main numbered"/>
    <w:basedOn w:val="Headmain"/>
    <w:uiPriority w:val="99"/>
    <w:qFormat/>
    <w:rsid w:val="00360825"/>
    <w:pPr>
      <w:numPr>
        <w:numId w:val="28"/>
      </w:numPr>
      <w:tabs>
        <w:tab w:val="num" w:pos="720"/>
        <w:tab w:val="num" w:pos="794"/>
        <w:tab w:val="num" w:pos="1440"/>
      </w:tabs>
      <w:spacing w:before="240"/>
      <w:ind w:left="794" w:hanging="794"/>
    </w:pPr>
    <w:rPr>
      <w:rFonts w:eastAsia="Calibri"/>
      <w:color w:val="2C2A6B" w:themeColor="text2"/>
      <w:lang w:eastAsia="en-GB"/>
    </w:rPr>
  </w:style>
  <w:style w:type="character" w:customStyle="1" w:styleId="bigserialChar">
    <w:name w:val="# big serial Char"/>
    <w:basedOn w:val="smallserialChar"/>
    <w:link w:val="bigserial"/>
    <w:uiPriority w:val="99"/>
    <w:locked/>
    <w:rsid w:val="00360825"/>
    <w:rPr>
      <w:rFonts w:ascii="Calibri" w:hAnsi="Calibri"/>
      <w:sz w:val="24"/>
      <w:szCs w:val="22"/>
    </w:rPr>
  </w:style>
  <w:style w:type="paragraph" w:customStyle="1" w:styleId="bigserial">
    <w:name w:val="# big serial"/>
    <w:basedOn w:val="smallserial"/>
    <w:link w:val="bigserialChar"/>
    <w:uiPriority w:val="99"/>
    <w:qFormat/>
    <w:rsid w:val="00360825"/>
    <w:pPr>
      <w:numPr>
        <w:ilvl w:val="0"/>
        <w:numId w:val="29"/>
      </w:numPr>
    </w:pPr>
  </w:style>
  <w:style w:type="paragraph" w:customStyle="1" w:styleId="type">
    <w:name w:val="type"/>
    <w:basedOn w:val="Normal"/>
    <w:uiPriority w:val="99"/>
    <w:rsid w:val="00360825"/>
    <w:pPr>
      <w:spacing w:before="100" w:beforeAutospacing="1" w:after="100" w:afterAutospacing="1" w:line="240" w:lineRule="auto"/>
      <w:jc w:val="left"/>
    </w:pPr>
    <w:rPr>
      <w:rFonts w:ascii="Times New Roman" w:hAnsi="Times New Roman"/>
      <w:sz w:val="24"/>
      <w:szCs w:val="24"/>
    </w:rPr>
  </w:style>
  <w:style w:type="character" w:customStyle="1" w:styleId="04Bodytext-10ptChar">
    <w:name w:val="04 Body text - 10pt Char"/>
    <w:basedOn w:val="DefaultParagraphFont"/>
    <w:link w:val="04Bodytext-10pt"/>
    <w:locked/>
    <w:rsid w:val="00360825"/>
    <w:rPr>
      <w:rFonts w:ascii="Arial" w:eastAsiaTheme="minorEastAsia" w:hAnsi="Arial" w:cs="Arial"/>
      <w:color w:val="000000" w:themeColor="text1"/>
      <w:szCs w:val="18"/>
      <w:lang w:eastAsia="ja-JP"/>
    </w:rPr>
  </w:style>
  <w:style w:type="paragraph" w:customStyle="1" w:styleId="04Bodytext-10pt">
    <w:name w:val="04 Body text - 10pt"/>
    <w:basedOn w:val="Normal"/>
    <w:link w:val="04Bodytext-10ptChar"/>
    <w:qFormat/>
    <w:rsid w:val="00360825"/>
    <w:pPr>
      <w:spacing w:after="0" w:line="240" w:lineRule="atLeast"/>
      <w:jc w:val="left"/>
    </w:pPr>
    <w:rPr>
      <w:rFonts w:ascii="Arial" w:eastAsiaTheme="minorEastAsia" w:hAnsi="Arial" w:cs="Arial"/>
      <w:color w:val="000000" w:themeColor="text1"/>
      <w:szCs w:val="18"/>
      <w:lang w:eastAsia="ja-JP"/>
    </w:rPr>
  </w:style>
  <w:style w:type="character" w:customStyle="1" w:styleId="Style22Char">
    <w:name w:val="Style22 Char"/>
    <w:basedOn w:val="DefaultParagraphFont"/>
    <w:link w:val="Style22"/>
    <w:locked/>
    <w:rsid w:val="00360825"/>
    <w:rPr>
      <w:rFonts w:asciiTheme="minorHAnsi" w:eastAsiaTheme="majorEastAsia" w:hAnsiTheme="minorHAnsi" w:cstheme="majorBidi"/>
      <w:sz w:val="24"/>
      <w:lang w:eastAsia="en-US"/>
    </w:rPr>
  </w:style>
  <w:style w:type="paragraph" w:customStyle="1" w:styleId="Style22">
    <w:name w:val="Style22"/>
    <w:basedOn w:val="Normal"/>
    <w:link w:val="Style22Char"/>
    <w:qFormat/>
    <w:rsid w:val="00360825"/>
    <w:pPr>
      <w:tabs>
        <w:tab w:val="left" w:pos="567"/>
        <w:tab w:val="num" w:pos="720"/>
      </w:tabs>
      <w:spacing w:before="120" w:after="160" w:line="300" w:lineRule="auto"/>
      <w:ind w:left="794" w:hanging="397"/>
      <w:jc w:val="left"/>
    </w:pPr>
    <w:rPr>
      <w:rFonts w:eastAsiaTheme="majorEastAsia" w:cstheme="majorBidi"/>
      <w:sz w:val="24"/>
      <w:lang w:eastAsia="en-US"/>
    </w:rPr>
  </w:style>
  <w:style w:type="paragraph" w:customStyle="1" w:styleId="21">
    <w:name w:val="2.1"/>
    <w:basedOn w:val="Normal"/>
    <w:autoRedefine/>
    <w:uiPriority w:val="99"/>
    <w:qFormat/>
    <w:rsid w:val="00360825"/>
    <w:pPr>
      <w:numPr>
        <w:numId w:val="30"/>
      </w:numPr>
      <w:adjustRightInd w:val="0"/>
      <w:spacing w:after="160" w:line="256" w:lineRule="auto"/>
      <w:jc w:val="left"/>
    </w:pPr>
    <w:rPr>
      <w:rFonts w:eastAsiaTheme="minorHAnsi" w:cstheme="minorBidi"/>
      <w:sz w:val="24"/>
      <w:szCs w:val="24"/>
      <w:lang w:eastAsia="en-US"/>
    </w:rPr>
  </w:style>
  <w:style w:type="paragraph" w:customStyle="1" w:styleId="articledetails">
    <w:name w:val="articledetails"/>
    <w:basedOn w:val="Normal"/>
    <w:uiPriority w:val="99"/>
    <w:rsid w:val="00360825"/>
    <w:pPr>
      <w:spacing w:before="100" w:beforeAutospacing="1" w:after="100" w:afterAutospacing="1" w:line="240" w:lineRule="auto"/>
      <w:jc w:val="left"/>
    </w:pPr>
    <w:rPr>
      <w:rFonts w:ascii="Times New Roman" w:hAnsi="Times New Roman"/>
      <w:sz w:val="24"/>
      <w:szCs w:val="24"/>
    </w:rPr>
  </w:style>
  <w:style w:type="character" w:customStyle="1" w:styleId="Style24Char">
    <w:name w:val="Style24 Char"/>
    <w:basedOn w:val="DefaultParagraphFont"/>
    <w:link w:val="Style24"/>
    <w:locked/>
    <w:rsid w:val="00360825"/>
    <w:rPr>
      <w:rFonts w:asciiTheme="minorHAnsi" w:eastAsia="MS PGothic" w:hAnsiTheme="minorHAnsi" w:cs="Arial"/>
      <w:bCs/>
      <w:color w:val="000000"/>
      <w:lang w:eastAsia="ja-JP"/>
    </w:rPr>
  </w:style>
  <w:style w:type="paragraph" w:customStyle="1" w:styleId="Style24">
    <w:name w:val="Style24"/>
    <w:basedOn w:val="Normal"/>
    <w:link w:val="Style24Char"/>
    <w:qFormat/>
    <w:rsid w:val="00360825"/>
    <w:pPr>
      <w:widowControl w:val="0"/>
      <w:spacing w:after="0" w:line="300" w:lineRule="auto"/>
      <w:jc w:val="left"/>
    </w:pPr>
    <w:rPr>
      <w:rFonts w:eastAsia="MS PGothic" w:cs="Arial"/>
      <w:bCs/>
      <w:color w:val="000000"/>
      <w:lang w:eastAsia="ja-JP"/>
    </w:rPr>
  </w:style>
  <w:style w:type="character" w:customStyle="1" w:styleId="bulletCBAChar">
    <w:name w:val="bullet CBA Char"/>
    <w:basedOn w:val="DefaultParagraphFont"/>
    <w:link w:val="bulletCBA"/>
    <w:locked/>
    <w:rsid w:val="00360825"/>
    <w:rPr>
      <w:rFonts w:asciiTheme="minorHAnsi" w:eastAsiaTheme="majorEastAsia" w:hAnsiTheme="minorHAnsi" w:cs="Arial"/>
      <w:sz w:val="24"/>
      <w:szCs w:val="24"/>
    </w:rPr>
  </w:style>
  <w:style w:type="paragraph" w:customStyle="1" w:styleId="bulletCBA">
    <w:name w:val="bullet CBA"/>
    <w:basedOn w:val="Normal"/>
    <w:link w:val="bulletCBAChar"/>
    <w:qFormat/>
    <w:rsid w:val="00360825"/>
    <w:pPr>
      <w:spacing w:after="0" w:line="256" w:lineRule="auto"/>
      <w:ind w:left="1208" w:hanging="357"/>
      <w:contextualSpacing/>
      <w:jc w:val="left"/>
    </w:pPr>
    <w:rPr>
      <w:rFonts w:eastAsiaTheme="majorEastAsia" w:cs="Arial"/>
      <w:sz w:val="24"/>
      <w:szCs w:val="24"/>
    </w:rPr>
  </w:style>
  <w:style w:type="paragraph" w:customStyle="1" w:styleId="Syle111">
    <w:name w:val="Syle 11.1"/>
    <w:basedOn w:val="11Body"/>
    <w:uiPriority w:val="99"/>
    <w:qFormat/>
    <w:rsid w:val="00360825"/>
    <w:pPr>
      <w:widowControl w:val="0"/>
      <w:numPr>
        <w:numId w:val="31"/>
      </w:numPr>
      <w:tabs>
        <w:tab w:val="num" w:pos="643"/>
        <w:tab w:val="num" w:pos="1021"/>
      </w:tabs>
      <w:spacing w:before="0" w:line="300" w:lineRule="auto"/>
      <w:ind w:left="643" w:hanging="1021"/>
    </w:pPr>
    <w:rPr>
      <w:rFonts w:cs="Arial"/>
      <w:lang w:val="en-GB"/>
    </w:rPr>
  </w:style>
  <w:style w:type="character" w:styleId="CommentReference">
    <w:name w:val="annotation reference"/>
    <w:basedOn w:val="DefaultParagraphFont"/>
    <w:uiPriority w:val="99"/>
    <w:semiHidden/>
    <w:unhideWhenUsed/>
    <w:rsid w:val="00360825"/>
    <w:rPr>
      <w:sz w:val="16"/>
      <w:szCs w:val="16"/>
    </w:rPr>
  </w:style>
  <w:style w:type="character" w:styleId="LineNumber">
    <w:name w:val="line number"/>
    <w:basedOn w:val="DefaultParagraphFont"/>
    <w:uiPriority w:val="99"/>
    <w:semiHidden/>
    <w:unhideWhenUsed/>
    <w:rsid w:val="00360825"/>
    <w:rPr>
      <w:rFonts w:ascii="Arial" w:hAnsi="Arial" w:cs="Arial" w:hint="default"/>
      <w:b w:val="0"/>
      <w:bCs w:val="0"/>
      <w:i w:val="0"/>
      <w:iCs w:val="0"/>
      <w:caps w:val="0"/>
      <w:smallCaps w:val="0"/>
      <w:strike w:val="0"/>
      <w:dstrike w:val="0"/>
      <w:vanish w:val="0"/>
      <w:webHidden w:val="0"/>
      <w:color w:val="595959" w:themeColor="text1" w:themeTint="A6"/>
      <w:sz w:val="16"/>
      <w:szCs w:val="16"/>
      <w:u w:val="none"/>
      <w:effect w:val="none"/>
      <w:vertAlign w:val="baseline"/>
      <w:specVanish w:val="0"/>
    </w:rPr>
  </w:style>
  <w:style w:type="character" w:styleId="SubtleEmphasis">
    <w:name w:val="Subtle Emphasis"/>
    <w:basedOn w:val="DefaultParagraphFont"/>
    <w:uiPriority w:val="19"/>
    <w:qFormat/>
    <w:rsid w:val="00360825"/>
    <w:rPr>
      <w:i/>
      <w:iCs/>
      <w:color w:val="808080" w:themeColor="text1" w:themeTint="7F"/>
    </w:rPr>
  </w:style>
  <w:style w:type="character" w:styleId="SubtleReference">
    <w:name w:val="Subtle Reference"/>
    <w:basedOn w:val="DefaultParagraphFont"/>
    <w:uiPriority w:val="99"/>
    <w:qFormat/>
    <w:rsid w:val="00360825"/>
    <w:rPr>
      <w:smallCaps/>
      <w:color w:val="5A5A5A" w:themeColor="text1" w:themeTint="A5"/>
    </w:rPr>
  </w:style>
  <w:style w:type="character" w:styleId="BookTitle">
    <w:name w:val="Book Title"/>
    <w:basedOn w:val="DefaultParagraphFont"/>
    <w:uiPriority w:val="33"/>
    <w:qFormat/>
    <w:rsid w:val="00360825"/>
    <w:rPr>
      <w:b/>
      <w:bCs/>
      <w:i/>
      <w:iCs/>
      <w:spacing w:val="5"/>
    </w:rPr>
  </w:style>
  <w:style w:type="character" w:customStyle="1" w:styleId="apple-style-span">
    <w:name w:val="apple-style-span"/>
    <w:basedOn w:val="DefaultParagraphFont"/>
    <w:rsid w:val="00360825"/>
  </w:style>
  <w:style w:type="character" w:customStyle="1" w:styleId="PlainTextChar1">
    <w:name w:val="Plain Text Char1"/>
    <w:link w:val="PlainText"/>
    <w:uiPriority w:val="99"/>
    <w:semiHidden/>
    <w:locked/>
    <w:rsid w:val="00360825"/>
    <w:rPr>
      <w:rFonts w:ascii="Calibri" w:hAnsi="Calibri"/>
      <w:sz w:val="21"/>
      <w:szCs w:val="21"/>
      <w:lang w:eastAsia="en-US"/>
    </w:rPr>
  </w:style>
  <w:style w:type="character" w:customStyle="1" w:styleId="apple-converted-space">
    <w:name w:val="apple-converted-space"/>
    <w:rsid w:val="00360825"/>
  </w:style>
  <w:style w:type="character" w:customStyle="1" w:styleId="CharChar5">
    <w:name w:val="Char Char5"/>
    <w:locked/>
    <w:rsid w:val="00360825"/>
    <w:rPr>
      <w:rFonts w:ascii="Courier New" w:hAnsi="Courier New" w:cs="Courier New" w:hint="default"/>
      <w:lang w:val="en-GB" w:eastAsia="en-GB" w:bidi="ar-SA"/>
    </w:rPr>
  </w:style>
  <w:style w:type="paragraph" w:styleId="z-BottomofForm">
    <w:name w:val="HTML Bottom of Form"/>
    <w:basedOn w:val="Normal"/>
    <w:next w:val="Normal"/>
    <w:link w:val="z-BottomofFormChar"/>
    <w:hidden/>
    <w:semiHidden/>
    <w:unhideWhenUsed/>
    <w:rsid w:val="00360825"/>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semiHidden/>
    <w:rsid w:val="00360825"/>
    <w:rPr>
      <w:rFonts w:ascii="Arial" w:hAnsi="Arial" w:cs="Arial"/>
      <w:vanish/>
      <w:sz w:val="16"/>
      <w:szCs w:val="16"/>
    </w:rPr>
  </w:style>
  <w:style w:type="character" w:customStyle="1" w:styleId="CharChar2">
    <w:name w:val="Char Char2"/>
    <w:rsid w:val="00360825"/>
    <w:rPr>
      <w:rFonts w:ascii="Courier New" w:hAnsi="Courier New" w:cs="Courier New" w:hint="default"/>
      <w:lang w:val="en-GB" w:eastAsia="en-GB" w:bidi="ar-SA"/>
    </w:rPr>
  </w:style>
  <w:style w:type="character" w:customStyle="1" w:styleId="legds2">
    <w:name w:val="legds2"/>
    <w:basedOn w:val="DefaultParagraphFont"/>
    <w:rsid w:val="00360825"/>
    <w:rPr>
      <w:vanish/>
      <w:webHidden w:val="0"/>
      <w:specVanish/>
    </w:rPr>
  </w:style>
  <w:style w:type="character" w:customStyle="1" w:styleId="A1">
    <w:name w:val="A1"/>
    <w:uiPriority w:val="99"/>
    <w:rsid w:val="00360825"/>
    <w:rPr>
      <w:rFonts w:ascii="Houschka Pro Light" w:hAnsi="Houschka Pro Light" w:cs="Houschka Pro Light" w:hint="default"/>
      <w:color w:val="000000"/>
      <w:sz w:val="96"/>
      <w:szCs w:val="96"/>
    </w:rPr>
  </w:style>
  <w:style w:type="character" w:customStyle="1" w:styleId="A11">
    <w:name w:val="A11"/>
    <w:uiPriority w:val="99"/>
    <w:rsid w:val="00360825"/>
    <w:rPr>
      <w:rFonts w:ascii="Gotham" w:hAnsi="Gotham" w:cs="Gotham" w:hint="default"/>
      <w:color w:val="000000"/>
      <w:sz w:val="18"/>
      <w:szCs w:val="18"/>
    </w:rPr>
  </w:style>
  <w:style w:type="character" w:customStyle="1" w:styleId="Filelocation6pt">
    <w:name w:val="File location 6pt"/>
    <w:basedOn w:val="DefaultParagraphFont"/>
    <w:uiPriority w:val="1"/>
    <w:qFormat/>
    <w:rsid w:val="00360825"/>
    <w:rPr>
      <w:rFonts w:ascii="Arial" w:hAnsi="Arial" w:cs="Arial" w:hint="default"/>
      <w:b w:val="0"/>
      <w:bCs w:val="0"/>
      <w:i w:val="0"/>
      <w:iCs w:val="0"/>
      <w:sz w:val="12"/>
    </w:rPr>
  </w:style>
  <w:style w:type="character" w:customStyle="1" w:styleId="HTMLPreformattedChar1">
    <w:name w:val="HTML Preformatted Char1"/>
    <w:basedOn w:val="DefaultParagraphFont"/>
    <w:semiHidden/>
    <w:rsid w:val="00360825"/>
    <w:rPr>
      <w:rFonts w:ascii="Consolas" w:hAnsi="Consolas" w:hint="default"/>
    </w:rPr>
  </w:style>
  <w:style w:type="character" w:customStyle="1" w:styleId="maintitle">
    <w:name w:val="maintitle"/>
    <w:rsid w:val="00360825"/>
  </w:style>
  <w:style w:type="paragraph" w:customStyle="1" w:styleId="Subnumbers">
    <w:name w:val="Sub numbers"/>
    <w:basedOn w:val="Numbers"/>
    <w:rsid w:val="00360825"/>
  </w:style>
  <w:style w:type="paragraph" w:customStyle="1" w:styleId="Addressline1">
    <w:name w:val="Address line 1"/>
    <w:basedOn w:val="12Subheadbluecoverpage"/>
    <w:qFormat/>
    <w:rsid w:val="00360825"/>
    <w:pPr>
      <w:jc w:val="left"/>
    </w:pPr>
  </w:style>
  <w:style w:type="table" w:customStyle="1" w:styleId="TableGrid1">
    <w:name w:val="Table Grid1"/>
    <w:basedOn w:val="TableNormal"/>
    <w:uiPriority w:val="39"/>
    <w:rsid w:val="00360825"/>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1"/>
    <w:qFormat/>
    <w:rsid w:val="00360825"/>
    <w:rPr>
      <w:i/>
      <w:iCs/>
    </w:rPr>
  </w:style>
  <w:style w:type="paragraph" w:customStyle="1" w:styleId="SPRUTables">
    <w:name w:val="SPRU Tables"/>
    <w:basedOn w:val="Normal"/>
    <w:uiPriority w:val="99"/>
    <w:qFormat/>
    <w:rsid w:val="00360825"/>
    <w:pPr>
      <w:widowControl w:val="0"/>
      <w:numPr>
        <w:numId w:val="39"/>
      </w:numPr>
      <w:spacing w:after="120" w:line="240" w:lineRule="auto"/>
    </w:pPr>
    <w:rPr>
      <w:rFonts w:ascii="Arial Bold" w:eastAsiaTheme="minorHAnsi" w:hAnsi="Arial Bold" w:cs="Arial"/>
      <w:b/>
      <w:szCs w:val="22"/>
      <w:lang w:eastAsia="en-US"/>
    </w:rPr>
  </w:style>
  <w:style w:type="table" w:styleId="LightList-Accent2">
    <w:name w:val="Light List Accent 2"/>
    <w:basedOn w:val="TableNormal"/>
    <w:uiPriority w:val="61"/>
    <w:semiHidden/>
    <w:unhideWhenUsed/>
    <w:rsid w:val="00360825"/>
    <w:rPr>
      <w:rFonts w:ascii="Arial" w:eastAsia="MS PGothic" w:hAnsi="Arial" w:cs="Arial"/>
      <w:color w:val="000000"/>
      <w:lang w:val="en-US" w:eastAsia="ja-JP"/>
    </w:rPr>
    <w:tblPr>
      <w:tblStyleRowBandSize w:val="1"/>
      <w:tblStyleColBandSize w:val="1"/>
      <w:tblInd w:w="0" w:type="nil"/>
      <w:tblBorders>
        <w:top w:val="single" w:sz="8" w:space="0" w:color="0093D5"/>
        <w:left w:val="single" w:sz="8" w:space="0" w:color="0093D5"/>
        <w:bottom w:val="single" w:sz="8" w:space="0" w:color="0093D5"/>
        <w:right w:val="single" w:sz="8" w:space="0" w:color="0093D5"/>
      </w:tblBorders>
    </w:tblPr>
    <w:tblStylePr w:type="firstRow">
      <w:pPr>
        <w:spacing w:beforeLines="0" w:before="0" w:beforeAutospacing="0" w:afterLines="0" w:after="0" w:afterAutospacing="0" w:line="240" w:lineRule="auto"/>
      </w:pPr>
      <w:rPr>
        <w:b/>
        <w:bCs/>
        <w:color w:val="FFFFFF"/>
      </w:rPr>
      <w:tblPr/>
      <w:tcPr>
        <w:shd w:val="clear" w:color="auto" w:fill="0093D5"/>
      </w:tcPr>
    </w:tblStylePr>
    <w:tblStylePr w:type="lastRow">
      <w:pPr>
        <w:spacing w:beforeLines="0" w:before="0" w:beforeAutospacing="0" w:afterLines="0" w:after="0" w:afterAutospacing="0" w:line="240" w:lineRule="auto"/>
      </w:pPr>
      <w:rPr>
        <w:b/>
        <w:bCs/>
      </w:rPr>
      <w:tblPr/>
      <w:tcPr>
        <w:tcBorders>
          <w:top w:val="double" w:sz="6" w:space="0" w:color="0093D5"/>
          <w:left w:val="single" w:sz="8" w:space="0" w:color="0093D5"/>
          <w:bottom w:val="single" w:sz="8" w:space="0" w:color="0093D5"/>
          <w:right w:val="single" w:sz="8" w:space="0" w:color="0093D5"/>
        </w:tcBorders>
      </w:tcPr>
    </w:tblStylePr>
    <w:tblStylePr w:type="firstCol">
      <w:rPr>
        <w:b/>
        <w:bCs/>
      </w:rPr>
    </w:tblStylePr>
    <w:tblStylePr w:type="lastCol">
      <w:rPr>
        <w:b/>
        <w:bCs/>
      </w:rPr>
    </w:tblStylePr>
    <w:tblStylePr w:type="band1Vert">
      <w:tblPr/>
      <w:tcPr>
        <w:tcBorders>
          <w:top w:val="single" w:sz="8" w:space="0" w:color="0093D5"/>
          <w:left w:val="single" w:sz="8" w:space="0" w:color="0093D5"/>
          <w:bottom w:val="single" w:sz="8" w:space="0" w:color="0093D5"/>
          <w:right w:val="single" w:sz="8" w:space="0" w:color="0093D5"/>
        </w:tcBorders>
      </w:tcPr>
    </w:tblStylePr>
    <w:tblStylePr w:type="band1Horz">
      <w:tblPr/>
      <w:tcPr>
        <w:tcBorders>
          <w:top w:val="single" w:sz="8" w:space="0" w:color="0093D5"/>
          <w:left w:val="single" w:sz="8" w:space="0" w:color="0093D5"/>
          <w:bottom w:val="single" w:sz="8" w:space="0" w:color="0093D5"/>
          <w:right w:val="single" w:sz="8" w:space="0" w:color="0093D5"/>
        </w:tcBorders>
      </w:tcPr>
    </w:tblStylePr>
  </w:style>
  <w:style w:type="table" w:styleId="LightList-Accent3">
    <w:name w:val="Light List Accent 3"/>
    <w:basedOn w:val="TableNormal"/>
    <w:uiPriority w:val="61"/>
    <w:semiHidden/>
    <w:unhideWhenUsed/>
    <w:rsid w:val="00360825"/>
    <w:rPr>
      <w:rFonts w:ascii="Arial" w:eastAsiaTheme="minorEastAsia" w:hAnsi="Arial" w:cs="Arial"/>
      <w:color w:val="000000" w:themeColor="text1"/>
      <w:lang w:eastAsia="en-US"/>
    </w:rPr>
    <w:tblPr>
      <w:tblStyleRowBandSize w:val="1"/>
      <w:tblStyleColBandSize w:val="1"/>
      <w:tblInd w:w="0" w:type="nil"/>
      <w:tblBorders>
        <w:top w:val="single" w:sz="8" w:space="0" w:color="52AD33" w:themeColor="accent3"/>
        <w:left w:val="single" w:sz="8" w:space="0" w:color="52AD33" w:themeColor="accent3"/>
        <w:bottom w:val="single" w:sz="8" w:space="0" w:color="52AD33" w:themeColor="accent3"/>
        <w:right w:val="single" w:sz="8" w:space="0" w:color="52AD33"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52AD33" w:themeFill="accent3"/>
      </w:tcPr>
    </w:tblStylePr>
    <w:tblStylePr w:type="lastRow">
      <w:pPr>
        <w:spacing w:beforeLines="0" w:before="0" w:beforeAutospacing="0" w:afterLines="0" w:after="0" w:afterAutospacing="0" w:line="240" w:lineRule="auto"/>
      </w:pPr>
      <w:rPr>
        <w:b/>
        <w:bCs/>
      </w:rPr>
      <w:tblPr/>
      <w:tcPr>
        <w:tcBorders>
          <w:top w:val="double" w:sz="6" w:space="0" w:color="52AD33" w:themeColor="accent3"/>
          <w:left w:val="single" w:sz="8" w:space="0" w:color="52AD33" w:themeColor="accent3"/>
          <w:bottom w:val="single" w:sz="8" w:space="0" w:color="52AD33" w:themeColor="accent3"/>
          <w:right w:val="single" w:sz="8" w:space="0" w:color="52AD33" w:themeColor="accent3"/>
        </w:tcBorders>
      </w:tcPr>
    </w:tblStylePr>
    <w:tblStylePr w:type="firstCol">
      <w:rPr>
        <w:b/>
        <w:bCs/>
      </w:rPr>
    </w:tblStylePr>
    <w:tblStylePr w:type="lastCol">
      <w:rPr>
        <w:b/>
        <w:bCs/>
      </w:rPr>
    </w:tblStylePr>
    <w:tblStylePr w:type="band1Vert">
      <w:tblPr/>
      <w:tcPr>
        <w:tcBorders>
          <w:top w:val="single" w:sz="8" w:space="0" w:color="52AD33" w:themeColor="accent3"/>
          <w:left w:val="single" w:sz="8" w:space="0" w:color="52AD33" w:themeColor="accent3"/>
          <w:bottom w:val="single" w:sz="8" w:space="0" w:color="52AD33" w:themeColor="accent3"/>
          <w:right w:val="single" w:sz="8" w:space="0" w:color="52AD33" w:themeColor="accent3"/>
        </w:tcBorders>
      </w:tcPr>
    </w:tblStylePr>
    <w:tblStylePr w:type="band1Horz">
      <w:tblPr/>
      <w:tcPr>
        <w:tcBorders>
          <w:top w:val="single" w:sz="8" w:space="0" w:color="52AD33" w:themeColor="accent3"/>
          <w:left w:val="single" w:sz="8" w:space="0" w:color="52AD33" w:themeColor="accent3"/>
          <w:bottom w:val="single" w:sz="8" w:space="0" w:color="52AD33" w:themeColor="accent3"/>
          <w:right w:val="single" w:sz="8" w:space="0" w:color="52AD33" w:themeColor="accent3"/>
        </w:tcBorders>
      </w:tcPr>
    </w:tblStylePr>
  </w:style>
  <w:style w:type="table" w:customStyle="1" w:styleId="PlainTable11">
    <w:name w:val="Plain Table 11"/>
    <w:basedOn w:val="TableNormal"/>
    <w:uiPriority w:val="41"/>
    <w:rsid w:val="00360825"/>
    <w:rPr>
      <w:rFonts w:asciiTheme="minorHAnsi" w:eastAsiaTheme="minorHAnsi" w:hAnsiTheme="minorHAnsi" w:cstheme="minorBidi"/>
      <w:sz w:val="22"/>
      <w:szCs w:val="22"/>
      <w:lang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LHearntable1">
    <w:name w:val="GL Hearn table 1"/>
    <w:basedOn w:val="TableNormal"/>
    <w:uiPriority w:val="99"/>
    <w:rsid w:val="00360825"/>
    <w:pPr>
      <w:spacing w:line="220" w:lineRule="atLeast"/>
    </w:pPr>
    <w:rPr>
      <w:rFonts w:ascii="Arial" w:eastAsia="MS PGothic" w:hAnsi="Arial" w:cs="Arial"/>
      <w:color w:val="000000"/>
      <w:sz w:val="18"/>
      <w:lang w:val="en-US" w:eastAsia="ja-JP"/>
    </w:rPr>
    <w:tblPr>
      <w:tblStyleRowBandSize w:val="1"/>
      <w:tblInd w:w="0" w:type="nil"/>
      <w:tblBorders>
        <w:top w:val="single" w:sz="2" w:space="0" w:color="0093D5"/>
        <w:left w:val="single" w:sz="2" w:space="0" w:color="0093D5"/>
        <w:bottom w:val="single" w:sz="2" w:space="0" w:color="0093D5"/>
        <w:right w:val="single" w:sz="2" w:space="0" w:color="0093D5"/>
        <w:insideH w:val="single" w:sz="2" w:space="0" w:color="0093D5"/>
        <w:insideV w:val="single" w:sz="2" w:space="0" w:color="0093D5"/>
      </w:tblBorders>
    </w:tblPr>
    <w:tblStylePr w:type="firstRow">
      <w:pPr>
        <w:jc w:val="left"/>
      </w:pPr>
      <w:rPr>
        <w:rFonts w:ascii="Arial" w:hAnsi="Arial" w:cs="Arial" w:hint="default"/>
        <w:b/>
        <w:strike w:val="0"/>
        <w:dstrike w:val="0"/>
        <w:color w:val="FFFFFF"/>
        <w:sz w:val="20"/>
        <w:szCs w:val="20"/>
        <w:u w:val="none"/>
        <w:effect w:val="none"/>
      </w:rPr>
      <w:tblPr/>
      <w:tcPr>
        <w:shd w:val="clear" w:color="auto" w:fill="0093D5"/>
        <w:vAlign w:val="center"/>
      </w:tcPr>
    </w:tblStylePr>
    <w:tblStylePr w:type="lastRow">
      <w:rPr>
        <w:rFonts w:ascii="Arial" w:hAnsi="Arial" w:cs="Arial" w:hint="default"/>
        <w:b/>
        <w:sz w:val="18"/>
        <w:szCs w:val="18"/>
      </w:rPr>
      <w:tblPr/>
      <w:tcPr>
        <w:shd w:val="clear" w:color="auto" w:fill="99D4EE"/>
      </w:tcPr>
    </w:tblStylePr>
    <w:tblStylePr w:type="firstCol">
      <w:rPr>
        <w:rFonts w:ascii="Arial" w:hAnsi="Arial" w:cs="Arial" w:hint="default"/>
        <w:b/>
        <w:i w:val="0"/>
        <w:color w:val="000000"/>
        <w:sz w:val="18"/>
        <w:szCs w:val="18"/>
      </w:rPr>
    </w:tblStylePr>
    <w:tblStylePr w:type="band2Horz">
      <w:tblPr/>
      <w:tcPr>
        <w:shd w:val="clear" w:color="auto" w:fill="C3ECFF"/>
      </w:tcPr>
    </w:tblStylePr>
  </w:style>
  <w:style w:type="table" w:customStyle="1" w:styleId="LightList-Accent11">
    <w:name w:val="Light List - Accent 11"/>
    <w:basedOn w:val="TableNormal"/>
    <w:uiPriority w:val="61"/>
    <w:rsid w:val="00360825"/>
    <w:rPr>
      <w:rFonts w:asciiTheme="minorHAnsi" w:eastAsiaTheme="minorHAnsi" w:hAnsiTheme="minorHAnsi" w:cstheme="minorBidi"/>
      <w:sz w:val="22"/>
      <w:szCs w:val="22"/>
      <w:lang w:eastAsia="en-US"/>
    </w:rPr>
    <w:tblPr>
      <w:tblStyleRowBandSize w:val="1"/>
      <w:tblStyleColBandSize w:val="1"/>
      <w:tblInd w:w="0" w:type="nil"/>
      <w:tblBorders>
        <w:top w:val="single" w:sz="8" w:space="0" w:color="D40536" w:themeColor="accent1"/>
        <w:left w:val="single" w:sz="8" w:space="0" w:color="D40536" w:themeColor="accent1"/>
        <w:bottom w:val="single" w:sz="8" w:space="0" w:color="D40536" w:themeColor="accent1"/>
        <w:right w:val="single" w:sz="8" w:space="0" w:color="D40536"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D40536" w:themeFill="accent1"/>
      </w:tcPr>
    </w:tblStylePr>
    <w:tblStylePr w:type="lastRow">
      <w:pPr>
        <w:spacing w:beforeLines="0" w:before="0" w:beforeAutospacing="0" w:afterLines="0" w:after="0" w:afterAutospacing="0" w:line="240" w:lineRule="auto"/>
      </w:pPr>
      <w:rPr>
        <w:b/>
        <w:bCs/>
      </w:rPr>
      <w:tblPr/>
      <w:tcPr>
        <w:tcBorders>
          <w:top w:val="double" w:sz="6" w:space="0" w:color="D40536" w:themeColor="accent1"/>
          <w:left w:val="single" w:sz="8" w:space="0" w:color="D40536" w:themeColor="accent1"/>
          <w:bottom w:val="single" w:sz="8" w:space="0" w:color="D40536" w:themeColor="accent1"/>
          <w:right w:val="single" w:sz="8" w:space="0" w:color="D40536" w:themeColor="accent1"/>
        </w:tcBorders>
      </w:tcPr>
    </w:tblStylePr>
    <w:tblStylePr w:type="firstCol">
      <w:rPr>
        <w:b/>
        <w:bCs/>
      </w:rPr>
    </w:tblStylePr>
    <w:tblStylePr w:type="lastCol">
      <w:rPr>
        <w:b/>
        <w:bCs/>
      </w:rPr>
    </w:tblStylePr>
    <w:tblStylePr w:type="band1Vert">
      <w:tblPr/>
      <w:tcPr>
        <w:tcBorders>
          <w:top w:val="single" w:sz="8" w:space="0" w:color="D40536" w:themeColor="accent1"/>
          <w:left w:val="single" w:sz="8" w:space="0" w:color="D40536" w:themeColor="accent1"/>
          <w:bottom w:val="single" w:sz="8" w:space="0" w:color="D40536" w:themeColor="accent1"/>
          <w:right w:val="single" w:sz="8" w:space="0" w:color="D40536" w:themeColor="accent1"/>
        </w:tcBorders>
      </w:tcPr>
    </w:tblStylePr>
    <w:tblStylePr w:type="band1Horz">
      <w:tblPr/>
      <w:tcPr>
        <w:tcBorders>
          <w:top w:val="single" w:sz="8" w:space="0" w:color="D40536" w:themeColor="accent1"/>
          <w:left w:val="single" w:sz="8" w:space="0" w:color="D40536" w:themeColor="accent1"/>
          <w:bottom w:val="single" w:sz="8" w:space="0" w:color="D40536" w:themeColor="accent1"/>
          <w:right w:val="single" w:sz="8" w:space="0" w:color="D40536" w:themeColor="accent1"/>
        </w:tcBorders>
      </w:tcPr>
    </w:tblStylePr>
  </w:style>
  <w:style w:type="table" w:customStyle="1" w:styleId="ListTable3-Accent21">
    <w:name w:val="List Table 3 - Accent 21"/>
    <w:basedOn w:val="TableNormal"/>
    <w:uiPriority w:val="48"/>
    <w:rsid w:val="00360825"/>
    <w:rPr>
      <w:rFonts w:ascii="Arial" w:eastAsiaTheme="minorEastAsia" w:hAnsi="Arial" w:cs="Arial"/>
      <w:color w:val="000000" w:themeColor="text1"/>
      <w:lang w:val="en-US" w:eastAsia="ja-JP"/>
    </w:rPr>
    <w:tblPr>
      <w:tblStyleRowBandSize w:val="1"/>
      <w:tblStyleColBandSize w:val="1"/>
      <w:tblInd w:w="0" w:type="nil"/>
      <w:tblBorders>
        <w:top w:val="single" w:sz="4" w:space="0" w:color="007866" w:themeColor="accent2"/>
        <w:left w:val="single" w:sz="4" w:space="0" w:color="007866" w:themeColor="accent2"/>
        <w:bottom w:val="single" w:sz="4" w:space="0" w:color="007866" w:themeColor="accent2"/>
        <w:right w:val="single" w:sz="4" w:space="0" w:color="007866" w:themeColor="accent2"/>
      </w:tblBorders>
    </w:tblPr>
    <w:tblStylePr w:type="firstRow">
      <w:rPr>
        <w:b/>
        <w:bCs/>
        <w:color w:val="FFFFFF" w:themeColor="background1"/>
      </w:rPr>
      <w:tblPr/>
      <w:tcPr>
        <w:shd w:val="clear" w:color="auto" w:fill="007866" w:themeFill="accent2"/>
      </w:tcPr>
    </w:tblStylePr>
    <w:tblStylePr w:type="lastRow">
      <w:rPr>
        <w:b/>
        <w:bCs/>
      </w:rPr>
      <w:tblPr/>
      <w:tcPr>
        <w:tcBorders>
          <w:top w:val="double" w:sz="4" w:space="0" w:color="00786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866" w:themeColor="accent2"/>
          <w:right w:val="single" w:sz="4" w:space="0" w:color="007866" w:themeColor="accent2"/>
        </w:tcBorders>
      </w:tcPr>
    </w:tblStylePr>
    <w:tblStylePr w:type="band1Horz">
      <w:tblPr/>
      <w:tcPr>
        <w:tcBorders>
          <w:top w:val="single" w:sz="4" w:space="0" w:color="007866" w:themeColor="accent2"/>
          <w:bottom w:val="single" w:sz="4" w:space="0" w:color="00786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866" w:themeColor="accent2"/>
          <w:left w:val="nil"/>
        </w:tcBorders>
      </w:tcPr>
    </w:tblStylePr>
    <w:tblStylePr w:type="swCell">
      <w:tblPr/>
      <w:tcPr>
        <w:tcBorders>
          <w:top w:val="double" w:sz="4" w:space="0" w:color="007866" w:themeColor="accent2"/>
          <w:right w:val="nil"/>
        </w:tcBorders>
      </w:tcPr>
    </w:tblStylePr>
  </w:style>
  <w:style w:type="table" w:customStyle="1" w:styleId="ListTable3-Accent11">
    <w:name w:val="List Table 3 - Accent 11"/>
    <w:basedOn w:val="TableNormal"/>
    <w:uiPriority w:val="48"/>
    <w:rsid w:val="00360825"/>
    <w:rPr>
      <w:rFonts w:asciiTheme="minorHAnsi" w:eastAsiaTheme="minorHAnsi" w:hAnsiTheme="minorHAnsi" w:cstheme="minorBidi"/>
      <w:sz w:val="22"/>
      <w:szCs w:val="22"/>
      <w:lang w:eastAsia="en-US"/>
    </w:rPr>
    <w:tblPr>
      <w:tblStyleRowBandSize w:val="1"/>
      <w:tblStyleColBandSize w:val="1"/>
      <w:tblInd w:w="0" w:type="nil"/>
      <w:tblBorders>
        <w:top w:val="single" w:sz="4" w:space="0" w:color="D40536" w:themeColor="accent1"/>
        <w:left w:val="single" w:sz="4" w:space="0" w:color="D40536" w:themeColor="accent1"/>
        <w:bottom w:val="single" w:sz="4" w:space="0" w:color="D40536" w:themeColor="accent1"/>
        <w:right w:val="single" w:sz="4" w:space="0" w:color="D40536" w:themeColor="accent1"/>
      </w:tblBorders>
    </w:tblPr>
    <w:tblStylePr w:type="firstRow">
      <w:rPr>
        <w:b/>
        <w:bCs/>
        <w:color w:val="FFFFFF" w:themeColor="background1"/>
      </w:rPr>
      <w:tblPr/>
      <w:tcPr>
        <w:shd w:val="clear" w:color="auto" w:fill="D40536" w:themeFill="accent1"/>
      </w:tcPr>
    </w:tblStylePr>
    <w:tblStylePr w:type="lastRow">
      <w:rPr>
        <w:b/>
        <w:bCs/>
      </w:rPr>
      <w:tblPr/>
      <w:tcPr>
        <w:tcBorders>
          <w:top w:val="double" w:sz="4" w:space="0" w:color="D4053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40536" w:themeColor="accent1"/>
          <w:right w:val="single" w:sz="4" w:space="0" w:color="D40536" w:themeColor="accent1"/>
        </w:tcBorders>
      </w:tcPr>
    </w:tblStylePr>
    <w:tblStylePr w:type="band1Horz">
      <w:tblPr/>
      <w:tcPr>
        <w:tcBorders>
          <w:top w:val="single" w:sz="4" w:space="0" w:color="D40536" w:themeColor="accent1"/>
          <w:bottom w:val="single" w:sz="4" w:space="0" w:color="D4053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40536" w:themeColor="accent1"/>
          <w:left w:val="nil"/>
        </w:tcBorders>
      </w:tcPr>
    </w:tblStylePr>
    <w:tblStylePr w:type="swCell">
      <w:tblPr/>
      <w:tcPr>
        <w:tcBorders>
          <w:top w:val="double" w:sz="4" w:space="0" w:color="D40536" w:themeColor="accent1"/>
          <w:right w:val="nil"/>
        </w:tcBorders>
      </w:tcPr>
    </w:tblStylePr>
  </w:style>
  <w:style w:type="table" w:customStyle="1" w:styleId="ListTable3-Accent211">
    <w:name w:val="List Table 3 - Accent 211"/>
    <w:basedOn w:val="TableNormal"/>
    <w:uiPriority w:val="48"/>
    <w:rsid w:val="00360825"/>
    <w:rPr>
      <w:rFonts w:ascii="Arial" w:eastAsiaTheme="minorEastAsia" w:hAnsi="Arial" w:cs="Arial"/>
      <w:color w:val="000000" w:themeColor="text1"/>
      <w:lang w:val="en-US" w:eastAsia="ja-JP"/>
    </w:rPr>
    <w:tblPr>
      <w:tblStyleRowBandSize w:val="1"/>
      <w:tblStyleColBandSize w:val="1"/>
      <w:tblInd w:w="0" w:type="nil"/>
      <w:tblBorders>
        <w:top w:val="single" w:sz="4" w:space="0" w:color="007866" w:themeColor="accent2"/>
        <w:left w:val="single" w:sz="4" w:space="0" w:color="007866" w:themeColor="accent2"/>
        <w:bottom w:val="single" w:sz="4" w:space="0" w:color="007866" w:themeColor="accent2"/>
        <w:right w:val="single" w:sz="4" w:space="0" w:color="007866" w:themeColor="accent2"/>
      </w:tblBorders>
    </w:tblPr>
    <w:tblStylePr w:type="firstRow">
      <w:rPr>
        <w:b/>
        <w:bCs/>
        <w:color w:val="FFFFFF" w:themeColor="background1"/>
      </w:rPr>
      <w:tblPr/>
      <w:tcPr>
        <w:shd w:val="clear" w:color="auto" w:fill="007866" w:themeFill="accent2"/>
      </w:tcPr>
    </w:tblStylePr>
    <w:tblStylePr w:type="lastRow">
      <w:rPr>
        <w:b/>
        <w:bCs/>
      </w:rPr>
      <w:tblPr/>
      <w:tcPr>
        <w:tcBorders>
          <w:top w:val="double" w:sz="4" w:space="0" w:color="00786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866" w:themeColor="accent2"/>
          <w:right w:val="single" w:sz="4" w:space="0" w:color="007866" w:themeColor="accent2"/>
        </w:tcBorders>
      </w:tcPr>
    </w:tblStylePr>
    <w:tblStylePr w:type="band1Horz">
      <w:tblPr/>
      <w:tcPr>
        <w:tcBorders>
          <w:top w:val="single" w:sz="4" w:space="0" w:color="007866" w:themeColor="accent2"/>
          <w:bottom w:val="single" w:sz="4" w:space="0" w:color="00786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866" w:themeColor="accent2"/>
          <w:left w:val="nil"/>
        </w:tcBorders>
      </w:tcPr>
    </w:tblStylePr>
    <w:tblStylePr w:type="swCell">
      <w:tblPr/>
      <w:tcPr>
        <w:tcBorders>
          <w:top w:val="double" w:sz="4" w:space="0" w:color="007866" w:themeColor="accent2"/>
          <w:right w:val="nil"/>
        </w:tcBorders>
      </w:tcPr>
    </w:tblStylePr>
  </w:style>
  <w:style w:type="table" w:customStyle="1" w:styleId="Style1">
    <w:name w:val="Style1"/>
    <w:basedOn w:val="TableNormal"/>
    <w:uiPriority w:val="99"/>
    <w:rsid w:val="00360825"/>
    <w:pPr>
      <w:spacing w:line="300" w:lineRule="auto"/>
    </w:pPr>
    <w:rPr>
      <w:rFonts w:ascii="Arial" w:eastAsiaTheme="minorHAnsi" w:hAnsi="Arial" w:cstheme="minorBidi"/>
      <w:szCs w:val="22"/>
      <w:lang w:eastAsia="en-US"/>
    </w:rPr>
    <w:tblPr>
      <w:tblInd w:w="0" w:type="nil"/>
      <w:tblBorders>
        <w:top w:val="single" w:sz="4" w:space="0" w:color="007866" w:themeColor="accent2"/>
        <w:left w:val="single" w:sz="4" w:space="0" w:color="007866" w:themeColor="accent2"/>
        <w:bottom w:val="single" w:sz="4" w:space="0" w:color="007866" w:themeColor="accent2"/>
        <w:right w:val="single" w:sz="4" w:space="0" w:color="007866" w:themeColor="accent2"/>
        <w:insideH w:val="single" w:sz="4" w:space="0" w:color="007866" w:themeColor="accent2"/>
        <w:insideV w:val="single" w:sz="4" w:space="0" w:color="007866" w:themeColor="accent2"/>
      </w:tblBorders>
    </w:tblPr>
    <w:tblStylePr w:type="firstRow">
      <w:pPr>
        <w:jc w:val="center"/>
      </w:pPr>
      <w:rPr>
        <w:rFonts w:ascii="Arial" w:hAnsi="Arial" w:cs="Arial" w:hint="default"/>
        <w:b w:val="0"/>
        <w:i w:val="0"/>
        <w:color w:val="FFFFFF" w:themeColor="background1"/>
        <w:sz w:val="20"/>
        <w:szCs w:val="20"/>
      </w:rPr>
      <w:tblPr/>
      <w:tcPr>
        <w:shd w:val="clear" w:color="auto" w:fill="007866" w:themeFill="accent2"/>
      </w:tcPr>
    </w:tblStylePr>
    <w:tblStylePr w:type="firstCol">
      <w:pPr>
        <w:jc w:val="left"/>
      </w:pPr>
      <w:tblPr/>
      <w:tcPr>
        <w:vAlign w:val="center"/>
      </w:tcPr>
    </w:tblStylePr>
  </w:style>
  <w:style w:type="table" w:customStyle="1" w:styleId="GridTable4-Accent11">
    <w:name w:val="Grid Table 4 - Accent 11"/>
    <w:basedOn w:val="TableNormal"/>
    <w:uiPriority w:val="49"/>
    <w:rsid w:val="00360825"/>
    <w:rPr>
      <w:rFonts w:asciiTheme="minorHAnsi" w:eastAsiaTheme="minorHAnsi" w:hAnsiTheme="minorHAnsi" w:cstheme="minorBidi"/>
      <w:sz w:val="22"/>
      <w:szCs w:val="22"/>
      <w:lang w:eastAsia="en-US"/>
    </w:rPr>
    <w:tblPr>
      <w:tblStyleRowBandSize w:val="1"/>
      <w:tblStyleColBandSize w:val="1"/>
      <w:tblInd w:w="0" w:type="nil"/>
      <w:tblBorders>
        <w:top w:val="single" w:sz="4" w:space="0" w:color="FB537A" w:themeColor="accent1" w:themeTint="99"/>
        <w:left w:val="single" w:sz="4" w:space="0" w:color="FB537A" w:themeColor="accent1" w:themeTint="99"/>
        <w:bottom w:val="single" w:sz="4" w:space="0" w:color="FB537A" w:themeColor="accent1" w:themeTint="99"/>
        <w:right w:val="single" w:sz="4" w:space="0" w:color="FB537A" w:themeColor="accent1" w:themeTint="99"/>
        <w:insideH w:val="single" w:sz="4" w:space="0" w:color="FB537A" w:themeColor="accent1" w:themeTint="99"/>
        <w:insideV w:val="single" w:sz="4" w:space="0" w:color="FB537A" w:themeColor="accent1" w:themeTint="99"/>
      </w:tblBorders>
    </w:tblPr>
    <w:tblStylePr w:type="firstRow">
      <w:rPr>
        <w:b/>
        <w:bCs/>
        <w:color w:val="FFFFFF" w:themeColor="background1"/>
      </w:rPr>
      <w:tblPr/>
      <w:tcPr>
        <w:tcBorders>
          <w:top w:val="single" w:sz="4" w:space="0" w:color="D40536" w:themeColor="accent1"/>
          <w:left w:val="single" w:sz="4" w:space="0" w:color="D40536" w:themeColor="accent1"/>
          <w:bottom w:val="single" w:sz="4" w:space="0" w:color="D40536" w:themeColor="accent1"/>
          <w:right w:val="single" w:sz="4" w:space="0" w:color="D40536" w:themeColor="accent1"/>
          <w:insideH w:val="nil"/>
          <w:insideV w:val="nil"/>
        </w:tcBorders>
        <w:shd w:val="clear" w:color="auto" w:fill="D40536" w:themeFill="accent1"/>
      </w:tcPr>
    </w:tblStylePr>
    <w:tblStylePr w:type="lastRow">
      <w:rPr>
        <w:b/>
        <w:bCs/>
      </w:rPr>
      <w:tblPr/>
      <w:tcPr>
        <w:tcBorders>
          <w:top w:val="double" w:sz="4" w:space="0" w:color="D40536" w:themeColor="accent1"/>
        </w:tcBorders>
      </w:tcPr>
    </w:tblStylePr>
    <w:tblStylePr w:type="firstCol">
      <w:rPr>
        <w:b/>
        <w:bCs/>
      </w:rPr>
    </w:tblStylePr>
    <w:tblStylePr w:type="lastCol">
      <w:rPr>
        <w:b/>
        <w:bCs/>
      </w:rPr>
    </w:tblStylePr>
    <w:tblStylePr w:type="band1Vert">
      <w:tblPr/>
      <w:tcPr>
        <w:shd w:val="clear" w:color="auto" w:fill="FDC5D2" w:themeFill="accent1" w:themeFillTint="33"/>
      </w:tcPr>
    </w:tblStylePr>
    <w:tblStylePr w:type="band1Horz">
      <w:tblPr/>
      <w:tcPr>
        <w:shd w:val="clear" w:color="auto" w:fill="FDC5D2" w:themeFill="accent1" w:themeFillTint="33"/>
      </w:tcPr>
    </w:tblStylePr>
  </w:style>
  <w:style w:type="paragraph" w:customStyle="1" w:styleId="02Heading-12pt">
    <w:name w:val="02 Heading - 12pt"/>
    <w:basedOn w:val="Normal"/>
    <w:link w:val="02Heading-12ptChar"/>
    <w:qFormat/>
    <w:rsid w:val="00360825"/>
    <w:pPr>
      <w:spacing w:after="120" w:line="240" w:lineRule="atLeast"/>
    </w:pPr>
    <w:rPr>
      <w:rFonts w:ascii="Times New Roman" w:hAnsi="Times New Roman"/>
      <w:b/>
      <w:bCs/>
      <w:sz w:val="24"/>
      <w:szCs w:val="24"/>
    </w:rPr>
  </w:style>
  <w:style w:type="character" w:customStyle="1" w:styleId="02Heading-12ptChar">
    <w:name w:val="02 Heading - 12pt Char"/>
    <w:basedOn w:val="DefaultParagraphFont"/>
    <w:link w:val="02Heading-12pt"/>
    <w:rsid w:val="00360825"/>
    <w:rPr>
      <w:b/>
      <w:bCs/>
      <w:sz w:val="24"/>
      <w:szCs w:val="24"/>
    </w:rPr>
  </w:style>
  <w:style w:type="paragraph" w:customStyle="1" w:styleId="Style2">
    <w:name w:val="Style2"/>
    <w:basedOn w:val="BodyText"/>
    <w:uiPriority w:val="7"/>
    <w:qFormat/>
    <w:rsid w:val="00360825"/>
    <w:pPr>
      <w:numPr>
        <w:ilvl w:val="0"/>
        <w:numId w:val="0"/>
      </w:numPr>
      <w:tabs>
        <w:tab w:val="num" w:pos="0"/>
      </w:tabs>
      <w:ind w:hanging="709"/>
    </w:pPr>
  </w:style>
  <w:style w:type="paragraph" w:styleId="Revision">
    <w:name w:val="Revision"/>
    <w:hidden/>
    <w:uiPriority w:val="99"/>
    <w:semiHidden/>
    <w:rsid w:val="00360825"/>
    <w:rPr>
      <w:rFonts w:asciiTheme="minorHAnsi" w:hAnsiTheme="minorHAnsi"/>
    </w:rPr>
  </w:style>
  <w:style w:type="character" w:customStyle="1" w:styleId="Style1Char">
    <w:name w:val="Style1 Char"/>
    <w:basedOn w:val="DefaultParagraphFont"/>
    <w:uiPriority w:val="7"/>
    <w:locked/>
    <w:rsid w:val="00360825"/>
  </w:style>
  <w:style w:type="paragraph" w:customStyle="1" w:styleId="TableCorrect">
    <w:name w:val="Table Correct"/>
    <w:basedOn w:val="Heading4"/>
    <w:link w:val="TableCorrectChar"/>
    <w:uiPriority w:val="7"/>
    <w:qFormat/>
    <w:rsid w:val="00360825"/>
    <w:rPr>
      <w:rFonts w:ascii="Arial" w:hAnsi="Arial" w:cs="Arial"/>
      <w:iCs/>
    </w:rPr>
  </w:style>
  <w:style w:type="character" w:customStyle="1" w:styleId="TableCorrectChar">
    <w:name w:val="Table Correct Char"/>
    <w:basedOn w:val="Heading4Char"/>
    <w:link w:val="TableCorrect"/>
    <w:uiPriority w:val="7"/>
    <w:rsid w:val="00360825"/>
    <w:rPr>
      <w:rFonts w:ascii="Arial" w:hAnsi="Arial" w:cs="Arial"/>
      <w:b/>
      <w:iCs/>
      <w:color w:val="646464" w:themeColor="background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303611">
      <w:bodyDiv w:val="1"/>
      <w:marLeft w:val="0"/>
      <w:marRight w:val="0"/>
      <w:marTop w:val="0"/>
      <w:marBottom w:val="0"/>
      <w:divBdr>
        <w:top w:val="none" w:sz="0" w:space="0" w:color="auto"/>
        <w:left w:val="none" w:sz="0" w:space="0" w:color="auto"/>
        <w:bottom w:val="none" w:sz="0" w:space="0" w:color="auto"/>
        <w:right w:val="none" w:sz="0" w:space="0" w:color="auto"/>
      </w:divBdr>
    </w:div>
    <w:div w:id="867719570">
      <w:bodyDiv w:val="1"/>
      <w:marLeft w:val="0"/>
      <w:marRight w:val="0"/>
      <w:marTop w:val="0"/>
      <w:marBottom w:val="0"/>
      <w:divBdr>
        <w:top w:val="none" w:sz="0" w:space="0" w:color="auto"/>
        <w:left w:val="none" w:sz="0" w:space="0" w:color="auto"/>
        <w:bottom w:val="none" w:sz="0" w:space="0" w:color="auto"/>
        <w:right w:val="none" w:sz="0" w:space="0" w:color="auto"/>
      </w:divBdr>
    </w:div>
    <w:div w:id="1348407056">
      <w:bodyDiv w:val="1"/>
      <w:marLeft w:val="0"/>
      <w:marRight w:val="0"/>
      <w:marTop w:val="0"/>
      <w:marBottom w:val="0"/>
      <w:divBdr>
        <w:top w:val="none" w:sz="0" w:space="0" w:color="auto"/>
        <w:left w:val="none" w:sz="0" w:space="0" w:color="auto"/>
        <w:bottom w:val="none" w:sz="0" w:space="0" w:color="auto"/>
        <w:right w:val="none" w:sz="0" w:space="0" w:color="auto"/>
      </w:divBdr>
    </w:div>
    <w:div w:id="1553036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6.xml"/><Relationship Id="rId26" Type="http://schemas.openxmlformats.org/officeDocument/2006/relationships/chart" Target="charts/chart14.xml"/><Relationship Id="rId39" Type="http://schemas.openxmlformats.org/officeDocument/2006/relationships/chart" Target="charts/chart22.xml"/><Relationship Id="rId21" Type="http://schemas.openxmlformats.org/officeDocument/2006/relationships/chart" Target="charts/chart9.xml"/><Relationship Id="rId34" Type="http://schemas.openxmlformats.org/officeDocument/2006/relationships/diagramQuickStyle" Target="diagrams/quickStyle1.xml"/><Relationship Id="rId42" Type="http://schemas.openxmlformats.org/officeDocument/2006/relationships/chart" Target="charts/chart25.xml"/><Relationship Id="rId47" Type="http://schemas.openxmlformats.org/officeDocument/2006/relationships/chart" Target="charts/chart30.xml"/><Relationship Id="rId50" Type="http://schemas.openxmlformats.org/officeDocument/2006/relationships/chart" Target="charts/chart33.xml"/><Relationship Id="rId55" Type="http://schemas.openxmlformats.org/officeDocument/2006/relationships/chart" Target="charts/chart38.xml"/><Relationship Id="rId63" Type="http://schemas.openxmlformats.org/officeDocument/2006/relationships/chart" Target="charts/chart43.xml"/><Relationship Id="rId68" Type="http://schemas.openxmlformats.org/officeDocument/2006/relationships/chart" Target="charts/chart48.xml"/><Relationship Id="rId76" Type="http://schemas.openxmlformats.org/officeDocument/2006/relationships/diagramQuickStyle" Target="diagrams/quickStyle2.xml"/><Relationship Id="rId7" Type="http://schemas.openxmlformats.org/officeDocument/2006/relationships/endnotes" Target="endnotes.xml"/><Relationship Id="rId71" Type="http://schemas.openxmlformats.org/officeDocument/2006/relationships/chart" Target="charts/chart51.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chart" Target="charts/chart17.xml"/><Relationship Id="rId11" Type="http://schemas.openxmlformats.org/officeDocument/2006/relationships/chart" Target="charts/chart1.xml"/><Relationship Id="rId24" Type="http://schemas.openxmlformats.org/officeDocument/2006/relationships/chart" Target="charts/chart12.xml"/><Relationship Id="rId32" Type="http://schemas.openxmlformats.org/officeDocument/2006/relationships/diagramData" Target="diagrams/data1.xml"/><Relationship Id="rId37" Type="http://schemas.openxmlformats.org/officeDocument/2006/relationships/chart" Target="charts/chart20.xml"/><Relationship Id="rId40" Type="http://schemas.openxmlformats.org/officeDocument/2006/relationships/chart" Target="charts/chart23.xml"/><Relationship Id="rId45" Type="http://schemas.openxmlformats.org/officeDocument/2006/relationships/chart" Target="charts/chart28.xml"/><Relationship Id="rId53" Type="http://schemas.openxmlformats.org/officeDocument/2006/relationships/chart" Target="charts/chart36.xml"/><Relationship Id="rId58" Type="http://schemas.openxmlformats.org/officeDocument/2006/relationships/image" Target="media/image5.png"/><Relationship Id="rId66" Type="http://schemas.openxmlformats.org/officeDocument/2006/relationships/chart" Target="charts/chart46.xml"/><Relationship Id="rId74" Type="http://schemas.openxmlformats.org/officeDocument/2006/relationships/diagramData" Target="diagrams/data2.xml"/><Relationship Id="rId79"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chart" Target="charts/chart41.xml"/><Relationship Id="rId82"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chart" Target="charts/chart7.xml"/><Relationship Id="rId31" Type="http://schemas.openxmlformats.org/officeDocument/2006/relationships/chart" Target="charts/chart19.xml"/><Relationship Id="rId44" Type="http://schemas.openxmlformats.org/officeDocument/2006/relationships/chart" Target="charts/chart27.xml"/><Relationship Id="rId52" Type="http://schemas.openxmlformats.org/officeDocument/2006/relationships/chart" Target="charts/chart35.xml"/><Relationship Id="rId60" Type="http://schemas.openxmlformats.org/officeDocument/2006/relationships/chart" Target="charts/chart40.xml"/><Relationship Id="rId65" Type="http://schemas.openxmlformats.org/officeDocument/2006/relationships/chart" Target="charts/chart45.xml"/><Relationship Id="rId73" Type="http://schemas.openxmlformats.org/officeDocument/2006/relationships/chart" Target="charts/chart53.xml"/><Relationship Id="rId78" Type="http://schemas.microsoft.com/office/2007/relationships/diagramDrawing" Target="diagrams/drawing2.xm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3.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diagramColors" Target="diagrams/colors1.xml"/><Relationship Id="rId43" Type="http://schemas.openxmlformats.org/officeDocument/2006/relationships/chart" Target="charts/chart26.xml"/><Relationship Id="rId48" Type="http://schemas.openxmlformats.org/officeDocument/2006/relationships/chart" Target="charts/chart31.xml"/><Relationship Id="rId56" Type="http://schemas.openxmlformats.org/officeDocument/2006/relationships/chart" Target="charts/chart39.xml"/><Relationship Id="rId64" Type="http://schemas.openxmlformats.org/officeDocument/2006/relationships/chart" Target="charts/chart44.xml"/><Relationship Id="rId69" Type="http://schemas.openxmlformats.org/officeDocument/2006/relationships/chart" Target="charts/chart49.xml"/><Relationship Id="rId77" Type="http://schemas.openxmlformats.org/officeDocument/2006/relationships/diagramColors" Target="diagrams/colors2.xml"/><Relationship Id="rId8" Type="http://schemas.openxmlformats.org/officeDocument/2006/relationships/footer" Target="footer1.xml"/><Relationship Id="rId51" Type="http://schemas.openxmlformats.org/officeDocument/2006/relationships/chart" Target="charts/chart34.xml"/><Relationship Id="rId72" Type="http://schemas.openxmlformats.org/officeDocument/2006/relationships/chart" Target="charts/chart52.xml"/><Relationship Id="rId80"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diagramLayout" Target="diagrams/layout1.xml"/><Relationship Id="rId38" Type="http://schemas.openxmlformats.org/officeDocument/2006/relationships/chart" Target="charts/chart21.xml"/><Relationship Id="rId46" Type="http://schemas.openxmlformats.org/officeDocument/2006/relationships/chart" Target="charts/chart29.xml"/><Relationship Id="rId59" Type="http://schemas.openxmlformats.org/officeDocument/2006/relationships/image" Target="media/image6.png"/><Relationship Id="rId67" Type="http://schemas.openxmlformats.org/officeDocument/2006/relationships/chart" Target="charts/chart47.xml"/><Relationship Id="rId20" Type="http://schemas.openxmlformats.org/officeDocument/2006/relationships/chart" Target="charts/chart8.xml"/><Relationship Id="rId41" Type="http://schemas.openxmlformats.org/officeDocument/2006/relationships/chart" Target="charts/chart24.xml"/><Relationship Id="rId54" Type="http://schemas.openxmlformats.org/officeDocument/2006/relationships/chart" Target="charts/chart37.xml"/><Relationship Id="rId62" Type="http://schemas.openxmlformats.org/officeDocument/2006/relationships/chart" Target="charts/chart42.xml"/><Relationship Id="rId70" Type="http://schemas.openxmlformats.org/officeDocument/2006/relationships/chart" Target="charts/chart50.xml"/><Relationship Id="rId75" Type="http://schemas.openxmlformats.org/officeDocument/2006/relationships/diagramLayout" Target="diagrams/layout2.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chart" Target="charts/chart11.xml"/><Relationship Id="rId28" Type="http://schemas.openxmlformats.org/officeDocument/2006/relationships/chart" Target="charts/chart16.xml"/><Relationship Id="rId36" Type="http://schemas.microsoft.com/office/2007/relationships/diagramDrawing" Target="diagrams/drawing1.xml"/><Relationship Id="rId49" Type="http://schemas.openxmlformats.org/officeDocument/2006/relationships/chart" Target="charts/chart32.xml"/><Relationship Id="rId57" Type="http://schemas.openxmlformats.org/officeDocument/2006/relationships/image" Target="media/image4.png"/></Relationships>
</file>

<file path=word/_rels/footnotes.xml.rels><?xml version="1.0" encoding="UTF-8" standalone="yes"?>
<Relationships xmlns="http://schemas.openxmlformats.org/package/2006/relationships"><Relationship Id="rId3" Type="http://schemas.openxmlformats.org/officeDocument/2006/relationships/hyperlink" Target="https://www.costar.com/docs/default-source/brs-lib/costar_buildingratingsystem-definition.pdf?sfvrsn=12a507a4_2" TargetMode="External"/><Relationship Id="rId2" Type="http://schemas.openxmlformats.org/officeDocument/2006/relationships/hyperlink" Target="https://www.housinglin.org.uk/_assets/Resources/Housing/Support_materials/Toolkit/Housing_in_Later_Life_Toolkit.pdf" TargetMode="External"/><Relationship Id="rId1" Type="http://schemas.openxmlformats.org/officeDocument/2006/relationships/hyperlink" Target="https://www.housinglin.org.uk/_assets/Resources/Housing/Support_materials/Reports/MCGVdocument.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Housing%20Market\Sales%20Da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Iceni-FP01\Company%20Data\Iceni%20Projects\Data%20Depository\Completions.xlsx" TargetMode="External"/><Relationship Id="rId2" Type="http://schemas.microsoft.com/office/2011/relationships/chartColorStyle" Target="colors6.xml"/><Relationship Id="rId1" Type="http://schemas.microsoft.com/office/2011/relationships/chartStyle" Target="style6.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7.xml"/><Relationship Id="rId1" Type="http://schemas.microsoft.com/office/2011/relationships/chartStyle" Target="style7.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8.xml"/><Relationship Id="rId1" Type="http://schemas.microsoft.com/office/2011/relationships/chartStyle" Target="style8.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9.xml"/><Relationship Id="rId1" Type="http://schemas.microsoft.com/office/2011/relationships/chartStyle" Target="style9.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0.xml"/><Relationship Id="rId1" Type="http://schemas.microsoft.com/office/2011/relationships/chartStyle" Target="style10.xm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1.xml"/><Relationship Id="rId1" Type="http://schemas.microsoft.com/office/2011/relationships/chartStyle" Target="style11.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2.xml"/><Relationship Id="rId1" Type="http://schemas.microsoft.com/office/2011/relationships/chartStyle" Target="style12.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3.xml"/><Relationship Id="rId1" Type="http://schemas.microsoft.com/office/2011/relationships/chartStyle" Target="style13.xm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3.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Housing%20Market\Sales%20Data.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4.xml.rels><?xml version="1.0" encoding="UTF-8" standalone="yes"?>
<Relationships xmlns="http://schemas.openxmlformats.org/package/2006/relationships"><Relationship Id="rId3" Type="http://schemas.openxmlformats.org/officeDocument/2006/relationships/oleObject" Target="Book7" TargetMode="External"/><Relationship Id="rId2" Type="http://schemas.microsoft.com/office/2011/relationships/chartColorStyle" Target="colors14.xml"/><Relationship Id="rId1" Type="http://schemas.microsoft.com/office/2011/relationships/chartStyle" Target="style14.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25.xlsx"/></Relationships>
</file>

<file path=word/charts/_rels/chart36.xml.rels><?xml version="1.0" encoding="UTF-8" standalone="yes"?>
<Relationships xmlns="http://schemas.openxmlformats.org/package/2006/relationships"><Relationship Id="rId3" Type="http://schemas.openxmlformats.org/officeDocument/2006/relationships/oleObject" Target="Book7" TargetMode="External"/><Relationship Id="rId2" Type="http://schemas.microsoft.com/office/2011/relationships/chartColorStyle" Target="colors16.xml"/><Relationship Id="rId1" Type="http://schemas.microsoft.com/office/2011/relationships/chartStyle" Target="style16.xml"/></Relationships>
</file>

<file path=word/charts/_rels/chart37.xml.rels><?xml version="1.0" encoding="UTF-8" standalone="yes"?>
<Relationships xmlns="http://schemas.openxmlformats.org/package/2006/relationships"><Relationship Id="rId3" Type="http://schemas.openxmlformats.org/officeDocument/2006/relationships/oleObject" Target="Book7" TargetMode="External"/><Relationship Id="rId2" Type="http://schemas.microsoft.com/office/2011/relationships/chartColorStyle" Target="colors17.xml"/><Relationship Id="rId1" Type="http://schemas.microsoft.com/office/2011/relationships/chartStyle" Target="style17.xml"/></Relationships>
</file>

<file path=word/charts/_rels/chart38.xml.rels><?xml version="1.0" encoding="UTF-8" standalone="yes"?>
<Relationships xmlns="http://schemas.openxmlformats.org/package/2006/relationships"><Relationship Id="rId3" Type="http://schemas.openxmlformats.org/officeDocument/2006/relationships/oleObject" Target="Book7" TargetMode="External"/><Relationship Id="rId2" Type="http://schemas.microsoft.com/office/2011/relationships/chartColorStyle" Target="colors18.xml"/><Relationship Id="rId1" Type="http://schemas.microsoft.com/office/2011/relationships/chartStyle" Target="style18.xml"/></Relationships>
</file>

<file path=word/charts/_rels/chart39.xml.rels><?xml version="1.0" encoding="UTF-8" standalone="yes"?>
<Relationships xmlns="http://schemas.openxmlformats.org/package/2006/relationships"><Relationship Id="rId3" Type="http://schemas.openxmlformats.org/officeDocument/2006/relationships/oleObject" Target="Book7" TargetMode="External"/><Relationship Id="rId2" Type="http://schemas.microsoft.com/office/2011/relationships/chartColorStyle" Target="colors19.xml"/><Relationship Id="rId1" Type="http://schemas.microsoft.com/office/2011/relationships/chartStyle" Target="style19.xml"/></Relationships>
</file>

<file path=word/charts/_rels/chart4.xml.rels><?xml version="1.0" encoding="UTF-8" standalone="yes"?>
<Relationships xmlns="http://schemas.openxmlformats.org/package/2006/relationships"><Relationship Id="rId3" Type="http://schemas.openxmlformats.org/officeDocument/2006/relationships/oleObject" Target="file:///\\Iceni-FP01\Company%20Data\Iceni%20Projects\Data%20Depository\Completions.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VOA\VOA%20Business%20Floorspace%20Chichester.xlsx" TargetMode="External"/><Relationship Id="rId2" Type="http://schemas.microsoft.com/office/2011/relationships/chartColorStyle" Target="colors20.xml"/><Relationship Id="rId1" Type="http://schemas.microsoft.com/office/2011/relationships/chartStyle" Target="style20.xml"/></Relationships>
</file>

<file path=word/charts/_rels/chart41.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VOA\VOA%20Business%20Floorspace%20Chichester.xlsx" TargetMode="External"/><Relationship Id="rId2" Type="http://schemas.microsoft.com/office/2011/relationships/chartColorStyle" Target="colors21.xml"/><Relationship Id="rId1" Type="http://schemas.microsoft.com/office/2011/relationships/chartStyle" Target="style21.xml"/></Relationships>
</file>

<file path=word/charts/_rels/chart4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2.xml"/><Relationship Id="rId1" Type="http://schemas.microsoft.com/office/2011/relationships/chartStyle" Target="style22.xml"/></Relationships>
</file>

<file path=word/charts/_rels/chart43.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Off%20KPIs.xlsx" TargetMode="External"/><Relationship Id="rId2" Type="http://schemas.microsoft.com/office/2011/relationships/chartColorStyle" Target="colors23.xml"/><Relationship Id="rId1" Type="http://schemas.microsoft.com/office/2011/relationships/chartStyle" Target="style23.xml"/></Relationships>
</file>

<file path=word/charts/_rels/chart44.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4.xml"/><Relationship Id="rId1" Type="http://schemas.microsoft.com/office/2011/relationships/chartStyle" Target="style24.xml"/></Relationships>
</file>

<file path=word/charts/_rels/chart45.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Off%20Comps.xlsx" TargetMode="External"/><Relationship Id="rId2" Type="http://schemas.microsoft.com/office/2011/relationships/chartColorStyle" Target="colors25.xml"/><Relationship Id="rId1" Type="http://schemas.microsoft.com/office/2011/relationships/chartStyle" Target="style25.xml"/></Relationships>
</file>

<file path=word/charts/_rels/chart46.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VOA\VOA%20Business%20Floorspace%20Chichester.xlsx" TargetMode="External"/><Relationship Id="rId2" Type="http://schemas.microsoft.com/office/2011/relationships/chartColorStyle" Target="colors26.xml"/><Relationship Id="rId1" Type="http://schemas.microsoft.com/office/2011/relationships/chartStyle" Target="style26.xml"/></Relationships>
</file>

<file path=word/charts/_rels/chart47.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VOA\VOA%20Business%20Floorspace%20Chichester.xlsx" TargetMode="External"/><Relationship Id="rId2" Type="http://schemas.microsoft.com/office/2011/relationships/chartColorStyle" Target="colors27.xml"/><Relationship Id="rId1" Type="http://schemas.microsoft.com/office/2011/relationships/chartStyle" Target="style27.xml"/></Relationships>
</file>

<file path=word/charts/_rels/chart48.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Vacancy%20and%20Rents.xlsx" TargetMode="External"/><Relationship Id="rId2" Type="http://schemas.microsoft.com/office/2011/relationships/chartColorStyle" Target="colors28.xml"/><Relationship Id="rId1" Type="http://schemas.microsoft.com/office/2011/relationships/chartStyle" Target="style28.xml"/></Relationships>
</file>

<file path=word/charts/_rels/chart49.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Ind%20KPIs.xlsx" TargetMode="External"/><Relationship Id="rId2" Type="http://schemas.microsoft.com/office/2011/relationships/chartColorStyle" Target="colors29.xml"/><Relationship Id="rId1" Type="http://schemas.microsoft.com/office/2011/relationships/chartStyle" Target="style29.xml"/></Relationships>
</file>

<file path=word/charts/_rels/chart5.xml.rels><?xml version="1.0" encoding="UTF-8" standalone="yes"?>
<Relationships xmlns="http://schemas.openxmlformats.org/package/2006/relationships"><Relationship Id="rId1" Type="http://schemas.openxmlformats.org/officeDocument/2006/relationships/oleObject" Target="file:///\\Iceni-FP01\Company%20Data\Iceni%20Projects\Data%20Depository\PRS\PRS%20By%20Size.xls" TargetMode="External"/></Relationships>
</file>

<file path=word/charts/_rels/chart50.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Vacancy%20and%20Rents.xlsx" TargetMode="External"/><Relationship Id="rId2" Type="http://schemas.microsoft.com/office/2011/relationships/chartColorStyle" Target="colors30.xml"/><Relationship Id="rId1" Type="http://schemas.microsoft.com/office/2011/relationships/chartStyle" Target="style30.xml"/></Relationships>
</file>

<file path=word/charts/_rels/chart51.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Ind%20Comps.xlsx" TargetMode="External"/><Relationship Id="rId2" Type="http://schemas.microsoft.com/office/2011/relationships/chartColorStyle" Target="colors31.xml"/><Relationship Id="rId1" Type="http://schemas.microsoft.com/office/2011/relationships/chartStyle" Target="style31.xml"/></Relationships>
</file>

<file path=word/charts/_rels/chart52.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OE%20Forecasts\Growth%20Forecasts%20Analysis%20V4.xlsx" TargetMode="External"/><Relationship Id="rId2" Type="http://schemas.microsoft.com/office/2011/relationships/chartColorStyle" Target="colors32.xml"/><Relationship Id="rId1" Type="http://schemas.microsoft.com/office/2011/relationships/chartStyle" Target="style32.xml"/></Relationships>
</file>

<file path=word/charts/_rels/chart53.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OE%20Forecasts\Growth%20Forecasts%20Analysis%20V4.xlsx" TargetMode="External"/><Relationship Id="rId2" Type="http://schemas.microsoft.com/office/2011/relationships/chartColorStyle" Target="colors33.xml"/><Relationship Id="rId1" Type="http://schemas.microsoft.com/office/2011/relationships/chartStyle" Target="style33.xml"/></Relationships>
</file>

<file path=word/charts/_rels/chart6.xml.rels><?xml version="1.0" encoding="UTF-8" standalone="yes"?>
<Relationships xmlns="http://schemas.openxmlformats.org/package/2006/relationships"><Relationship Id="rId1" Type="http://schemas.openxmlformats.org/officeDocument/2006/relationships/oleObject" Target="file:///\\Iceni-FP01\Company%20Data\Iceni%20Projects\Data%20Depository\PRS\PRS%20By%20Size.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Iceni-FP01\Company%20Data\Iceni%20Projects\Data%20Depository\PRS\PRS%20over%20time.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05861006504621"/>
          <c:y val="6.7638976960473468E-2"/>
          <c:w val="0.84283994065959145"/>
          <c:h val="0.73708410101242106"/>
        </c:manualLayout>
      </c:layout>
      <c:lineChart>
        <c:grouping val="standard"/>
        <c:varyColors val="0"/>
        <c:ser>
          <c:idx val="0"/>
          <c:order val="0"/>
          <c:tx>
            <c:strRef>
              <c:f>Analysis!$M$4</c:f>
              <c:strCache>
                <c:ptCount val="1"/>
                <c:pt idx="0">
                  <c:v>Overall</c:v>
                </c:pt>
              </c:strCache>
            </c:strRef>
          </c:tx>
          <c:spPr>
            <a:ln w="28575" cap="rnd">
              <a:solidFill>
                <a:schemeClr val="accent1"/>
              </a:solidFill>
              <a:round/>
            </a:ln>
            <a:effectLst/>
          </c:spPr>
          <c:marker>
            <c:symbol val="none"/>
          </c:marker>
          <c:cat>
            <c:numRef>
              <c:f>Analysis!$H$5:$H$26</c:f>
              <c:numCache>
                <c:formatCode>General</c:formatCod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numCache>
            </c:numRef>
          </c:cat>
          <c:val>
            <c:numRef>
              <c:f>Analysis!$M$5:$M$26</c:f>
              <c:numCache>
                <c:formatCode>_-"£"* #,##0_-;\-"£"* #,##0_-;_-"£"* "-"??_-;_-@_-</c:formatCode>
                <c:ptCount val="22"/>
                <c:pt idx="0">
                  <c:v>130000</c:v>
                </c:pt>
                <c:pt idx="1">
                  <c:v>143500</c:v>
                </c:pt>
                <c:pt idx="2">
                  <c:v>169500</c:v>
                </c:pt>
                <c:pt idx="3">
                  <c:v>200000</c:v>
                </c:pt>
                <c:pt idx="4">
                  <c:v>230000</c:v>
                </c:pt>
                <c:pt idx="5">
                  <c:v>230000</c:v>
                </c:pt>
                <c:pt idx="6">
                  <c:v>244000</c:v>
                </c:pt>
                <c:pt idx="7">
                  <c:v>250000</c:v>
                </c:pt>
                <c:pt idx="8">
                  <c:v>250000</c:v>
                </c:pt>
                <c:pt idx="9">
                  <c:v>240000</c:v>
                </c:pt>
                <c:pt idx="10">
                  <c:v>265000</c:v>
                </c:pt>
                <c:pt idx="11">
                  <c:v>265000</c:v>
                </c:pt>
                <c:pt idx="12">
                  <c:v>270000</c:v>
                </c:pt>
                <c:pt idx="13">
                  <c:v>275000</c:v>
                </c:pt>
                <c:pt idx="14">
                  <c:v>295000</c:v>
                </c:pt>
                <c:pt idx="15">
                  <c:v>316997</c:v>
                </c:pt>
                <c:pt idx="16">
                  <c:v>343000</c:v>
                </c:pt>
                <c:pt idx="17">
                  <c:v>357250</c:v>
                </c:pt>
                <c:pt idx="18">
                  <c:v>370000</c:v>
                </c:pt>
                <c:pt idx="19">
                  <c:v>359975</c:v>
                </c:pt>
                <c:pt idx="20">
                  <c:v>399500</c:v>
                </c:pt>
                <c:pt idx="21">
                  <c:v>415000</c:v>
                </c:pt>
              </c:numCache>
            </c:numRef>
          </c:val>
          <c:smooth val="0"/>
          <c:extLst>
            <c:ext xmlns:c16="http://schemas.microsoft.com/office/drawing/2014/chart" uri="{C3380CC4-5D6E-409C-BE32-E72D297353CC}">
              <c16:uniqueId val="{00000000-56B9-426F-BBDB-2F2D9440EE04}"/>
            </c:ext>
          </c:extLst>
        </c:ser>
        <c:dLbls>
          <c:showLegendKey val="0"/>
          <c:showVal val="0"/>
          <c:showCatName val="0"/>
          <c:showSerName val="0"/>
          <c:showPercent val="0"/>
          <c:showBubbleSize val="0"/>
        </c:dLbls>
        <c:smooth val="0"/>
        <c:axId val="273697408"/>
        <c:axId val="151803008"/>
      </c:lineChart>
      <c:catAx>
        <c:axId val="273697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03008"/>
        <c:crosses val="autoZero"/>
        <c:auto val="1"/>
        <c:lblAlgn val="ctr"/>
        <c:lblOffset val="100"/>
        <c:noMultiLvlLbl val="0"/>
      </c:catAx>
      <c:valAx>
        <c:axId val="151803008"/>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quot;£&quot;* #,##0_-;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3697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051631828753803E-2"/>
          <c:y val="4.9382716049382699E-2"/>
          <c:w val="0.87311788113772304"/>
          <c:h val="0.75030497703773802"/>
        </c:manualLayout>
      </c:layout>
      <c:lineChart>
        <c:grouping val="standard"/>
        <c:varyColors val="0"/>
        <c:ser>
          <c:idx val="0"/>
          <c:order val="0"/>
          <c:tx>
            <c:strRef>
              <c:f>Sheet1!$B$1</c:f>
              <c:strCache>
                <c:ptCount val="1"/>
                <c:pt idx="0">
                  <c:v>Chichester District</c:v>
                </c:pt>
              </c:strCache>
            </c:strRef>
          </c:tx>
          <c:spPr>
            <a:ln w="25400" cap="rnd">
              <a:solidFill>
                <a:schemeClr val="accent1"/>
              </a:solidFill>
              <a:round/>
            </a:ln>
            <a:effectLst/>
          </c:spPr>
          <c:marker>
            <c:symbol val="none"/>
          </c:marker>
          <c:cat>
            <c:numRef>
              <c:f>Sheet1!$A$2:$A$21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Sheet1!$B$2:$B$21</c:f>
              <c:numCache>
                <c:formatCode>General</c:formatCode>
                <c:ptCount val="20"/>
                <c:pt idx="0">
                  <c:v>0.93419886837141974</c:v>
                </c:pt>
                <c:pt idx="1">
                  <c:v>0.93854993640071938</c:v>
                </c:pt>
                <c:pt idx="2">
                  <c:v>0.94312908460897404</c:v>
                </c:pt>
                <c:pt idx="3">
                  <c:v>0.94878722750997846</c:v>
                </c:pt>
                <c:pt idx="4">
                  <c:v>0.95419097328830216</c:v>
                </c:pt>
                <c:pt idx="5">
                  <c:v>0.96220009649546034</c:v>
                </c:pt>
                <c:pt idx="6">
                  <c:v>0.97024430896091929</c:v>
                </c:pt>
                <c:pt idx="7">
                  <c:v>0.98070968024913374</c:v>
                </c:pt>
                <c:pt idx="8">
                  <c:v>0.98665730953111974</c:v>
                </c:pt>
                <c:pt idx="9">
                  <c:v>0.99487696828808281</c:v>
                </c:pt>
                <c:pt idx="10">
                  <c:v>1</c:v>
                </c:pt>
                <c:pt idx="11">
                  <c:v>1.0079301723759815</c:v>
                </c:pt>
                <c:pt idx="12">
                  <c:v>1.0158340278082372</c:v>
                </c:pt>
                <c:pt idx="13">
                  <c:v>1.0198780648274046</c:v>
                </c:pt>
                <c:pt idx="14">
                  <c:v>1.0332382999254353</c:v>
                </c:pt>
                <c:pt idx="15">
                  <c:v>1.0450019737707794</c:v>
                </c:pt>
                <c:pt idx="16">
                  <c:v>1.0543620334225186</c:v>
                </c:pt>
                <c:pt idx="17">
                  <c:v>1.0592569849554805</c:v>
                </c:pt>
                <c:pt idx="18">
                  <c:v>1.0625816921794815</c:v>
                </c:pt>
                <c:pt idx="19">
                  <c:v>1.0659063994034825</c:v>
                </c:pt>
              </c:numCache>
            </c:numRef>
          </c:val>
          <c:smooth val="1"/>
          <c:extLst>
            <c:ext xmlns:c16="http://schemas.microsoft.com/office/drawing/2014/chart" uri="{C3380CC4-5D6E-409C-BE32-E72D297353CC}">
              <c16:uniqueId val="{00000000-9D05-47B4-A171-D0BAB6B2284C}"/>
            </c:ext>
          </c:extLst>
        </c:ser>
        <c:ser>
          <c:idx val="1"/>
          <c:order val="1"/>
          <c:tx>
            <c:strRef>
              <c:f>Sheet1!$C$1</c:f>
              <c:strCache>
                <c:ptCount val="1"/>
                <c:pt idx="0">
                  <c:v>West Sussex</c:v>
                </c:pt>
              </c:strCache>
            </c:strRef>
          </c:tx>
          <c:spPr>
            <a:ln w="25400">
              <a:solidFill>
                <a:schemeClr val="accent2"/>
              </a:solidFill>
            </a:ln>
          </c:spPr>
          <c:marker>
            <c:symbol val="none"/>
          </c:marker>
          <c:cat>
            <c:numRef>
              <c:f>Sheet1!$A$2:$A$21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Sheet1!$C$2:$C$21</c:f>
              <c:numCache>
                <c:formatCode>General</c:formatCode>
                <c:ptCount val="20"/>
                <c:pt idx="0">
                  <c:v>0.93331470765305302</c:v>
                </c:pt>
                <c:pt idx="1">
                  <c:v>0.93614193757347774</c:v>
                </c:pt>
                <c:pt idx="2">
                  <c:v>0.94061704571162252</c:v>
                </c:pt>
                <c:pt idx="3">
                  <c:v>0.94692670094286324</c:v>
                </c:pt>
                <c:pt idx="4">
                  <c:v>0.95287414438281215</c:v>
                </c:pt>
                <c:pt idx="5">
                  <c:v>0.96103812619063222</c:v>
                </c:pt>
                <c:pt idx="6">
                  <c:v>0.96954454030626058</c:v>
                </c:pt>
                <c:pt idx="7">
                  <c:v>0.97782101792639309</c:v>
                </c:pt>
                <c:pt idx="8">
                  <c:v>0.98407751579577185</c:v>
                </c:pt>
                <c:pt idx="9">
                  <c:v>0.99287320485734665</c:v>
                </c:pt>
                <c:pt idx="10">
                  <c:v>1</c:v>
                </c:pt>
                <c:pt idx="11">
                  <c:v>1.0087042089504634</c:v>
                </c:pt>
                <c:pt idx="12">
                  <c:v>1.0173330086201462</c:v>
                </c:pt>
                <c:pt idx="13">
                  <c:v>1.0266936491787189</c:v>
                </c:pt>
                <c:pt idx="14">
                  <c:v>1.0365994617508056</c:v>
                </c:pt>
                <c:pt idx="15">
                  <c:v>1.0469379505240946</c:v>
                </c:pt>
                <c:pt idx="16">
                  <c:v>1.053693880351432</c:v>
                </c:pt>
                <c:pt idx="17">
                  <c:v>1.0617280592988916</c:v>
                </c:pt>
                <c:pt idx="18">
                  <c:v>1.0680673837553574</c:v>
                </c:pt>
                <c:pt idx="19">
                  <c:v>1.0725857595136226</c:v>
                </c:pt>
              </c:numCache>
            </c:numRef>
          </c:val>
          <c:smooth val="1"/>
          <c:extLst>
            <c:ext xmlns:c16="http://schemas.microsoft.com/office/drawing/2014/chart" uri="{C3380CC4-5D6E-409C-BE32-E72D297353CC}">
              <c16:uniqueId val="{00000001-9D05-47B4-A171-D0BAB6B2284C}"/>
            </c:ext>
          </c:extLst>
        </c:ser>
        <c:ser>
          <c:idx val="2"/>
          <c:order val="2"/>
          <c:tx>
            <c:strRef>
              <c:f>Sheet1!$D$1</c:f>
              <c:strCache>
                <c:ptCount val="1"/>
                <c:pt idx="0">
                  <c:v>South East</c:v>
                </c:pt>
              </c:strCache>
            </c:strRef>
          </c:tx>
          <c:spPr>
            <a:ln w="25400" cap="rnd">
              <a:solidFill>
                <a:schemeClr val="accent3"/>
              </a:solidFill>
              <a:round/>
            </a:ln>
            <a:effectLst/>
          </c:spPr>
          <c:marker>
            <c:symbol val="none"/>
          </c:marker>
          <c:cat>
            <c:numRef>
              <c:f>Sheet1!$A$2:$A$21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Sheet1!$D$2:$D$21</c:f>
              <c:numCache>
                <c:formatCode>General</c:formatCode>
                <c:ptCount val="20"/>
                <c:pt idx="0">
                  <c:v>0.9272679174702616</c:v>
                </c:pt>
                <c:pt idx="1">
                  <c:v>0.92978075033422769</c:v>
                </c:pt>
                <c:pt idx="2">
                  <c:v>0.93471927647795205</c:v>
                </c:pt>
                <c:pt idx="3">
                  <c:v>0.93994025506703971</c:v>
                </c:pt>
                <c:pt idx="4">
                  <c:v>0.94800656066301903</c:v>
                </c:pt>
                <c:pt idx="5">
                  <c:v>0.95586125806445643</c:v>
                </c:pt>
                <c:pt idx="6">
                  <c:v>0.96516808925312358</c:v>
                </c:pt>
                <c:pt idx="7">
                  <c:v>0.97383674433569589</c:v>
                </c:pt>
                <c:pt idx="8">
                  <c:v>0.98129365069092211</c:v>
                </c:pt>
                <c:pt idx="9">
                  <c:v>0.99133076706872614</c:v>
                </c:pt>
                <c:pt idx="10">
                  <c:v>1</c:v>
                </c:pt>
                <c:pt idx="11">
                  <c:v>1.0083376633462711</c:v>
                </c:pt>
                <c:pt idx="12">
                  <c:v>1.0162225244499343</c:v>
                </c:pt>
                <c:pt idx="13">
                  <c:v>1.0255664535252469</c:v>
                </c:pt>
                <c:pt idx="14">
                  <c:v>1.0342789095394038</c:v>
                </c:pt>
                <c:pt idx="15">
                  <c:v>1.0436348578677106</c:v>
                </c:pt>
                <c:pt idx="16">
                  <c:v>1.0494685872200207</c:v>
                </c:pt>
                <c:pt idx="17">
                  <c:v>1.0555706695093741</c:v>
                </c:pt>
                <c:pt idx="18">
                  <c:v>1.0609458181320601</c:v>
                </c:pt>
                <c:pt idx="19">
                  <c:v>1.0652369225904634</c:v>
                </c:pt>
              </c:numCache>
            </c:numRef>
          </c:val>
          <c:smooth val="1"/>
          <c:extLst>
            <c:ext xmlns:c16="http://schemas.microsoft.com/office/drawing/2014/chart" uri="{C3380CC4-5D6E-409C-BE32-E72D297353CC}">
              <c16:uniqueId val="{00000002-9D05-47B4-A171-D0BAB6B2284C}"/>
            </c:ext>
          </c:extLst>
        </c:ser>
        <c:ser>
          <c:idx val="3"/>
          <c:order val="3"/>
          <c:tx>
            <c:strRef>
              <c:f>Sheet1!$E$1</c:f>
              <c:strCache>
                <c:ptCount val="1"/>
                <c:pt idx="0">
                  <c:v>England</c:v>
                </c:pt>
              </c:strCache>
            </c:strRef>
          </c:tx>
          <c:spPr>
            <a:ln w="25400"/>
          </c:spPr>
          <c:marker>
            <c:symbol val="none"/>
          </c:marker>
          <c:cat>
            <c:numRef>
              <c:f>Sheet1!$A$2:$A$21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Sheet1!$E$2:$E$21</c:f>
              <c:numCache>
                <c:formatCode>General</c:formatCode>
                <c:ptCount val="20"/>
                <c:pt idx="0">
                  <c:v>0.93113127532744211</c:v>
                </c:pt>
                <c:pt idx="1">
                  <c:v>0.93545312121608293</c:v>
                </c:pt>
                <c:pt idx="2">
                  <c:v>0.94008997165712227</c:v>
                </c:pt>
                <c:pt idx="3">
                  <c:v>0.94515676405194937</c:v>
                </c:pt>
                <c:pt idx="4">
                  <c:v>0.95290400435391309</c:v>
                </c:pt>
                <c:pt idx="5">
                  <c:v>0.95966678246396453</c:v>
                </c:pt>
                <c:pt idx="6">
                  <c:v>0.96749824868277201</c:v>
                </c:pt>
                <c:pt idx="7">
                  <c:v>0.97568471405433044</c:v>
                </c:pt>
                <c:pt idx="8">
                  <c:v>0.9828499990274383</c:v>
                </c:pt>
                <c:pt idx="9">
                  <c:v>0.99124944882676758</c:v>
                </c:pt>
                <c:pt idx="10">
                  <c:v>1</c:v>
                </c:pt>
                <c:pt idx="11">
                  <c:v>1.0072788666253327</c:v>
                </c:pt>
                <c:pt idx="12">
                  <c:v>1.0142852276686034</c:v>
                </c:pt>
                <c:pt idx="13">
                  <c:v>1.0227737426560999</c:v>
                </c:pt>
                <c:pt idx="14">
                  <c:v>1.0316182924380699</c:v>
                </c:pt>
                <c:pt idx="15">
                  <c:v>1.0406893841394558</c:v>
                </c:pt>
                <c:pt idx="16">
                  <c:v>1.047305496551699</c:v>
                </c:pt>
                <c:pt idx="17">
                  <c:v>1.0540418375530429</c:v>
                </c:pt>
                <c:pt idx="18">
                  <c:v>1.0598750048227952</c:v>
                </c:pt>
                <c:pt idx="19">
                  <c:v>1.0648305881264355</c:v>
                </c:pt>
              </c:numCache>
            </c:numRef>
          </c:val>
          <c:smooth val="0"/>
          <c:extLst>
            <c:ext xmlns:c16="http://schemas.microsoft.com/office/drawing/2014/chart" uri="{C3380CC4-5D6E-409C-BE32-E72D297353CC}">
              <c16:uniqueId val="{00000003-9D05-47B4-A171-D0BAB6B2284C}"/>
            </c:ext>
          </c:extLst>
        </c:ser>
        <c:dLbls>
          <c:showLegendKey val="0"/>
          <c:showVal val="0"/>
          <c:showCatName val="0"/>
          <c:showSerName val="0"/>
          <c:showPercent val="0"/>
          <c:showBubbleSize val="0"/>
        </c:dLbls>
        <c:smooth val="0"/>
        <c:axId val="158033408"/>
        <c:axId val="158034944"/>
      </c:lineChart>
      <c:catAx>
        <c:axId val="15803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58034944"/>
        <c:crosses val="autoZero"/>
        <c:auto val="1"/>
        <c:lblAlgn val="ctr"/>
        <c:lblOffset val="100"/>
        <c:noMultiLvlLbl val="0"/>
      </c:catAx>
      <c:valAx>
        <c:axId val="158034944"/>
        <c:scaling>
          <c:orientation val="minMax"/>
          <c:min val="0.9"/>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Indexed population growth (2011=1)</a:t>
                </a:r>
              </a:p>
            </c:rich>
          </c:tx>
          <c:layout>
            <c:manualLayout>
              <c:xMode val="edge"/>
              <c:yMode val="edge"/>
              <c:x val="5.0600102208396003E-3"/>
              <c:y val="0.1417930818349200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58033408"/>
        <c:crosses val="autoZero"/>
        <c:crossBetween val="between"/>
      </c:valAx>
      <c:spPr>
        <a:noFill/>
        <a:ln>
          <a:noFill/>
        </a:ln>
        <a:effectLst/>
      </c:spPr>
    </c:plotArea>
    <c:legend>
      <c:legendPos val="b"/>
      <c:layout>
        <c:manualLayout>
          <c:xMode val="edge"/>
          <c:yMode val="edge"/>
          <c:x val="0.16148091416757357"/>
          <c:y val="0.93407912213839861"/>
          <c:w val="0.69962152740230898"/>
          <c:h val="6.59208778616013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27311031092651E-2"/>
          <c:y val="4.8087431693989074E-2"/>
          <c:w val="0.88289640265555036"/>
          <c:h val="0.69758655168103989"/>
        </c:manualLayout>
      </c:layout>
      <c:barChart>
        <c:barDir val="col"/>
        <c:grouping val="stacked"/>
        <c:varyColors val="0"/>
        <c:ser>
          <c:idx val="0"/>
          <c:order val="0"/>
          <c:tx>
            <c:strRef>
              <c:f>Sheet1!$B$1</c:f>
              <c:strCache>
                <c:ptCount val="1"/>
                <c:pt idx="0">
                  <c:v>Natural change</c:v>
                </c:pt>
              </c:strCache>
            </c:strRef>
          </c:tx>
          <c:spPr>
            <a:solidFill>
              <a:schemeClr val="accent1"/>
            </a:solidFill>
            <a:ln>
              <a:noFill/>
            </a:ln>
            <a:effectLst/>
          </c:spPr>
          <c:invertIfNegative val="0"/>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Sheet1!$B$2:$B$20</c:f>
              <c:numCache>
                <c:formatCode>#,##0</c:formatCode>
                <c:ptCount val="19"/>
                <c:pt idx="0">
                  <c:v>-545</c:v>
                </c:pt>
                <c:pt idx="1">
                  <c:v>-405</c:v>
                </c:pt>
                <c:pt idx="2">
                  <c:v>-446</c:v>
                </c:pt>
                <c:pt idx="3">
                  <c:v>-348</c:v>
                </c:pt>
                <c:pt idx="4">
                  <c:v>-301</c:v>
                </c:pt>
                <c:pt idx="5">
                  <c:v>-372</c:v>
                </c:pt>
                <c:pt idx="6">
                  <c:v>-306</c:v>
                </c:pt>
                <c:pt idx="7">
                  <c:v>-233</c:v>
                </c:pt>
                <c:pt idx="8">
                  <c:v>-235</c:v>
                </c:pt>
                <c:pt idx="9">
                  <c:v>-179</c:v>
                </c:pt>
                <c:pt idx="10">
                  <c:v>-178</c:v>
                </c:pt>
                <c:pt idx="11">
                  <c:v>-274</c:v>
                </c:pt>
                <c:pt idx="12">
                  <c:v>-285</c:v>
                </c:pt>
                <c:pt idx="13">
                  <c:v>-386</c:v>
                </c:pt>
                <c:pt idx="14">
                  <c:v>-404</c:v>
                </c:pt>
                <c:pt idx="15">
                  <c:v>-499</c:v>
                </c:pt>
                <c:pt idx="16">
                  <c:v>-560</c:v>
                </c:pt>
                <c:pt idx="17">
                  <c:v>-386</c:v>
                </c:pt>
                <c:pt idx="18">
                  <c:v>-664</c:v>
                </c:pt>
              </c:numCache>
            </c:numRef>
          </c:val>
          <c:extLst>
            <c:ext xmlns:c16="http://schemas.microsoft.com/office/drawing/2014/chart" uri="{C3380CC4-5D6E-409C-BE32-E72D297353CC}">
              <c16:uniqueId val="{00000000-8C98-4E0E-B112-D51351EA32C0}"/>
            </c:ext>
          </c:extLst>
        </c:ser>
        <c:ser>
          <c:idx val="1"/>
          <c:order val="1"/>
          <c:tx>
            <c:strRef>
              <c:f>Sheet1!$C$1</c:f>
              <c:strCache>
                <c:ptCount val="1"/>
                <c:pt idx="0">
                  <c:v>Net internal migration</c:v>
                </c:pt>
              </c:strCache>
            </c:strRef>
          </c:tx>
          <c:spPr>
            <a:solidFill>
              <a:schemeClr val="accent2"/>
            </a:solidFill>
            <a:ln>
              <a:noFill/>
            </a:ln>
            <a:effectLst/>
          </c:spPr>
          <c:invertIfNegative val="0"/>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Sheet1!$C$2:$C$20</c:f>
              <c:numCache>
                <c:formatCode>#,##0</c:formatCode>
                <c:ptCount val="19"/>
                <c:pt idx="0">
                  <c:v>1126</c:v>
                </c:pt>
                <c:pt idx="1">
                  <c:v>922</c:v>
                </c:pt>
                <c:pt idx="2">
                  <c:v>1324</c:v>
                </c:pt>
                <c:pt idx="3">
                  <c:v>798</c:v>
                </c:pt>
                <c:pt idx="4">
                  <c:v>1038</c:v>
                </c:pt>
                <c:pt idx="5">
                  <c:v>1047</c:v>
                </c:pt>
                <c:pt idx="6">
                  <c:v>1105</c:v>
                </c:pt>
                <c:pt idx="7">
                  <c:v>654</c:v>
                </c:pt>
                <c:pt idx="8">
                  <c:v>848</c:v>
                </c:pt>
                <c:pt idx="9">
                  <c:v>695</c:v>
                </c:pt>
                <c:pt idx="10">
                  <c:v>775</c:v>
                </c:pt>
                <c:pt idx="11">
                  <c:v>859</c:v>
                </c:pt>
                <c:pt idx="12">
                  <c:v>709</c:v>
                </c:pt>
                <c:pt idx="13">
                  <c:v>1173</c:v>
                </c:pt>
                <c:pt idx="14">
                  <c:v>1245</c:v>
                </c:pt>
                <c:pt idx="15">
                  <c:v>1249</c:v>
                </c:pt>
                <c:pt idx="16">
                  <c:v>654</c:v>
                </c:pt>
                <c:pt idx="17">
                  <c:v>543</c:v>
                </c:pt>
                <c:pt idx="18">
                  <c:v>968</c:v>
                </c:pt>
              </c:numCache>
            </c:numRef>
          </c:val>
          <c:extLst>
            <c:ext xmlns:c16="http://schemas.microsoft.com/office/drawing/2014/chart" uri="{C3380CC4-5D6E-409C-BE32-E72D297353CC}">
              <c16:uniqueId val="{00000001-8C98-4E0E-B112-D51351EA32C0}"/>
            </c:ext>
          </c:extLst>
        </c:ser>
        <c:ser>
          <c:idx val="2"/>
          <c:order val="2"/>
          <c:tx>
            <c:strRef>
              <c:f>Sheet1!$D$1</c:f>
              <c:strCache>
                <c:ptCount val="1"/>
                <c:pt idx="0">
                  <c:v>Net international migration</c:v>
                </c:pt>
              </c:strCache>
            </c:strRef>
          </c:tx>
          <c:spPr>
            <a:solidFill>
              <a:schemeClr val="accent3"/>
            </a:solidFill>
            <a:ln>
              <a:noFill/>
            </a:ln>
            <a:effectLst/>
          </c:spPr>
          <c:invertIfNegative val="0"/>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Sheet1!$D$2:$D$20</c:f>
              <c:numCache>
                <c:formatCode>#,##0</c:formatCode>
                <c:ptCount val="19"/>
                <c:pt idx="0">
                  <c:v>-66</c:v>
                </c:pt>
                <c:pt idx="1">
                  <c:v>11</c:v>
                </c:pt>
                <c:pt idx="2">
                  <c:v>-24</c:v>
                </c:pt>
                <c:pt idx="3">
                  <c:v>167</c:v>
                </c:pt>
                <c:pt idx="4">
                  <c:v>172</c:v>
                </c:pt>
                <c:pt idx="5">
                  <c:v>268</c:v>
                </c:pt>
                <c:pt idx="6">
                  <c:v>473</c:v>
                </c:pt>
                <c:pt idx="7">
                  <c:v>497</c:v>
                </c:pt>
                <c:pt idx="8">
                  <c:v>424</c:v>
                </c:pt>
                <c:pt idx="9">
                  <c:v>59</c:v>
                </c:pt>
                <c:pt idx="10">
                  <c:v>305</c:v>
                </c:pt>
                <c:pt idx="11">
                  <c:v>251</c:v>
                </c:pt>
                <c:pt idx="12">
                  <c:v>361</c:v>
                </c:pt>
                <c:pt idx="13">
                  <c:v>388</c:v>
                </c:pt>
                <c:pt idx="14">
                  <c:v>443</c:v>
                </c:pt>
                <c:pt idx="15">
                  <c:v>298</c:v>
                </c:pt>
                <c:pt idx="16">
                  <c:v>331</c:v>
                </c:pt>
                <c:pt idx="17">
                  <c:v>207</c:v>
                </c:pt>
                <c:pt idx="18">
                  <c:v>54</c:v>
                </c:pt>
              </c:numCache>
            </c:numRef>
          </c:val>
          <c:extLst>
            <c:ext xmlns:c16="http://schemas.microsoft.com/office/drawing/2014/chart" uri="{C3380CC4-5D6E-409C-BE32-E72D297353CC}">
              <c16:uniqueId val="{00000002-8C98-4E0E-B112-D51351EA32C0}"/>
            </c:ext>
          </c:extLst>
        </c:ser>
        <c:ser>
          <c:idx val="3"/>
          <c:order val="3"/>
          <c:tx>
            <c:strRef>
              <c:f>Sheet1!$E$1</c:f>
              <c:strCache>
                <c:ptCount val="1"/>
                <c:pt idx="0">
                  <c:v>Other changes</c:v>
                </c:pt>
              </c:strCache>
            </c:strRef>
          </c:tx>
          <c:spPr>
            <a:solidFill>
              <a:schemeClr val="accent4"/>
            </a:solidFill>
            <a:effectLst/>
          </c:spPr>
          <c:invertIfNegative val="0"/>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Sheet1!$E$2:$E$20</c:f>
              <c:numCache>
                <c:formatCode>#,##0</c:formatCode>
                <c:ptCount val="19"/>
                <c:pt idx="0">
                  <c:v>3</c:v>
                </c:pt>
                <c:pt idx="1">
                  <c:v>1</c:v>
                </c:pt>
                <c:pt idx="2">
                  <c:v>-179</c:v>
                </c:pt>
                <c:pt idx="3">
                  <c:v>42</c:v>
                </c:pt>
                <c:pt idx="4">
                  <c:v>53</c:v>
                </c:pt>
                <c:pt idx="5">
                  <c:v>22</c:v>
                </c:pt>
                <c:pt idx="6">
                  <c:v>-19</c:v>
                </c:pt>
                <c:pt idx="7">
                  <c:v>-167</c:v>
                </c:pt>
                <c:pt idx="8">
                  <c:v>-19</c:v>
                </c:pt>
                <c:pt idx="9">
                  <c:v>104</c:v>
                </c:pt>
                <c:pt idx="10">
                  <c:v>2</c:v>
                </c:pt>
                <c:pt idx="11">
                  <c:v>65</c:v>
                </c:pt>
                <c:pt idx="12">
                  <c:v>-324</c:v>
                </c:pt>
                <c:pt idx="13">
                  <c:v>348</c:v>
                </c:pt>
                <c:pt idx="14">
                  <c:v>57</c:v>
                </c:pt>
                <c:pt idx="15">
                  <c:v>19</c:v>
                </c:pt>
                <c:pt idx="16">
                  <c:v>133</c:v>
                </c:pt>
                <c:pt idx="17">
                  <c:v>15</c:v>
                </c:pt>
                <c:pt idx="18">
                  <c:v>21</c:v>
                </c:pt>
              </c:numCache>
            </c:numRef>
          </c:val>
          <c:extLst>
            <c:ext xmlns:c16="http://schemas.microsoft.com/office/drawing/2014/chart" uri="{C3380CC4-5D6E-409C-BE32-E72D297353CC}">
              <c16:uniqueId val="{00000003-8C98-4E0E-B112-D51351EA32C0}"/>
            </c:ext>
          </c:extLst>
        </c:ser>
        <c:ser>
          <c:idx val="4"/>
          <c:order val="4"/>
          <c:tx>
            <c:strRef>
              <c:f>Sheet1!$F$1</c:f>
              <c:strCache>
                <c:ptCount val="1"/>
                <c:pt idx="0">
                  <c:v>Unattributable population change</c:v>
                </c:pt>
              </c:strCache>
            </c:strRef>
          </c:tx>
          <c:spPr>
            <a:solidFill>
              <a:schemeClr val="accent5"/>
            </a:solidFill>
            <a:effectLst/>
          </c:spPr>
          <c:invertIfNegative val="0"/>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Sheet1!$F$2:$F$20</c:f>
              <c:numCache>
                <c:formatCode>#,##0</c:formatCode>
                <c:ptCount val="19"/>
                <c:pt idx="0">
                  <c:v>-22</c:v>
                </c:pt>
                <c:pt idx="1">
                  <c:v>-7</c:v>
                </c:pt>
                <c:pt idx="2">
                  <c:v>-30</c:v>
                </c:pt>
                <c:pt idx="3">
                  <c:v>-43</c:v>
                </c:pt>
                <c:pt idx="4">
                  <c:v>-49</c:v>
                </c:pt>
                <c:pt idx="5">
                  <c:v>-48</c:v>
                </c:pt>
                <c:pt idx="6">
                  <c:v>-60</c:v>
                </c:pt>
                <c:pt idx="7">
                  <c:v>-73</c:v>
                </c:pt>
                <c:pt idx="8">
                  <c:v>-81</c:v>
                </c:pt>
                <c:pt idx="9">
                  <c:v>-95</c:v>
                </c:pt>
                <c:pt idx="10">
                  <c:v>0</c:v>
                </c:pt>
                <c:pt idx="11">
                  <c:v>0</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4-8C98-4E0E-B112-D51351EA32C0}"/>
            </c:ext>
          </c:extLst>
        </c:ser>
        <c:dLbls>
          <c:showLegendKey val="0"/>
          <c:showVal val="0"/>
          <c:showCatName val="0"/>
          <c:showSerName val="0"/>
          <c:showPercent val="0"/>
          <c:showBubbleSize val="0"/>
        </c:dLbls>
        <c:gapWidth val="50"/>
        <c:overlap val="100"/>
        <c:axId val="160246400"/>
        <c:axId val="160256384"/>
      </c:barChart>
      <c:lineChart>
        <c:grouping val="standard"/>
        <c:varyColors val="0"/>
        <c:ser>
          <c:idx val="5"/>
          <c:order val="5"/>
          <c:tx>
            <c:strRef>
              <c:f>Sheet1!$G$1</c:f>
              <c:strCache>
                <c:ptCount val="1"/>
                <c:pt idx="0">
                  <c:v>Total change</c:v>
                </c:pt>
              </c:strCache>
            </c:strRef>
          </c:tx>
          <c:spPr>
            <a:ln w="38100"/>
          </c:spPr>
          <c:marker>
            <c:symbol val="none"/>
          </c:marker>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Sheet1!$G$2:$G$20</c:f>
              <c:numCache>
                <c:formatCode>#,##0</c:formatCode>
                <c:ptCount val="19"/>
                <c:pt idx="0">
                  <c:v>496</c:v>
                </c:pt>
                <c:pt idx="1">
                  <c:v>522</c:v>
                </c:pt>
                <c:pt idx="2">
                  <c:v>645</c:v>
                </c:pt>
                <c:pt idx="3">
                  <c:v>616</c:v>
                </c:pt>
                <c:pt idx="4">
                  <c:v>913</c:v>
                </c:pt>
                <c:pt idx="5">
                  <c:v>917</c:v>
                </c:pt>
                <c:pt idx="6">
                  <c:v>1193</c:v>
                </c:pt>
                <c:pt idx="7">
                  <c:v>678</c:v>
                </c:pt>
                <c:pt idx="8">
                  <c:v>937</c:v>
                </c:pt>
                <c:pt idx="9">
                  <c:v>584</c:v>
                </c:pt>
                <c:pt idx="10">
                  <c:v>904</c:v>
                </c:pt>
                <c:pt idx="11">
                  <c:v>901</c:v>
                </c:pt>
                <c:pt idx="12">
                  <c:v>461</c:v>
                </c:pt>
                <c:pt idx="13">
                  <c:v>1523</c:v>
                </c:pt>
                <c:pt idx="14">
                  <c:v>1341</c:v>
                </c:pt>
                <c:pt idx="15">
                  <c:v>1067</c:v>
                </c:pt>
                <c:pt idx="16">
                  <c:v>558</c:v>
                </c:pt>
                <c:pt idx="17">
                  <c:v>379</c:v>
                </c:pt>
                <c:pt idx="18">
                  <c:v>379</c:v>
                </c:pt>
              </c:numCache>
            </c:numRef>
          </c:val>
          <c:smooth val="0"/>
          <c:extLst>
            <c:ext xmlns:c16="http://schemas.microsoft.com/office/drawing/2014/chart" uri="{C3380CC4-5D6E-409C-BE32-E72D297353CC}">
              <c16:uniqueId val="{00000005-8C98-4E0E-B112-D51351EA32C0}"/>
            </c:ext>
          </c:extLst>
        </c:ser>
        <c:dLbls>
          <c:showLegendKey val="0"/>
          <c:showVal val="0"/>
          <c:showCatName val="0"/>
          <c:showSerName val="0"/>
          <c:showPercent val="0"/>
          <c:showBubbleSize val="0"/>
        </c:dLbls>
        <c:marker val="1"/>
        <c:smooth val="0"/>
        <c:axId val="160246400"/>
        <c:axId val="160256384"/>
      </c:lineChart>
      <c:catAx>
        <c:axId val="16024640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60256384"/>
        <c:crosses val="autoZero"/>
        <c:auto val="1"/>
        <c:lblAlgn val="ctr"/>
        <c:lblOffset val="100"/>
        <c:noMultiLvlLbl val="0"/>
      </c:catAx>
      <c:valAx>
        <c:axId val="160256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60246400"/>
        <c:crosses val="autoZero"/>
        <c:crossBetween val="between"/>
      </c:valAx>
      <c:spPr>
        <a:noFill/>
        <a:ln>
          <a:noFill/>
        </a:ln>
        <a:effectLst/>
      </c:spPr>
    </c:plotArea>
    <c:legend>
      <c:legendPos val="b"/>
      <c:layout>
        <c:manualLayout>
          <c:xMode val="edge"/>
          <c:yMode val="edge"/>
          <c:x val="6.0207085120052564E-3"/>
          <c:y val="0.8964973968417882"/>
          <c:w val="0.99397919554059611"/>
          <c:h val="0.10350270964330897"/>
        </c:manualLayout>
      </c:layout>
      <c:overlay val="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0.11876469915244654</c:v>
                </c:pt>
                <c:pt idx="1">
                  <c:v>0.1196026326053698</c:v>
                </c:pt>
                <c:pt idx="2">
                  <c:v>0.1215955647399416</c:v>
                </c:pt>
                <c:pt idx="3">
                  <c:v>0.12084257011945133</c:v>
                </c:pt>
                <c:pt idx="4">
                  <c:v>0.12078920041922558</c:v>
                </c:pt>
                <c:pt idx="5">
                  <c:v>0.11829548384299768</c:v>
                </c:pt>
                <c:pt idx="6">
                  <c:v>0.11671683581606057</c:v>
                </c:pt>
                <c:pt idx="7">
                  <c:v>0.11770686087035342</c:v>
                </c:pt>
                <c:pt idx="8">
                  <c:v>0.11930382943710302</c:v>
                </c:pt>
                <c:pt idx="9">
                  <c:v>0.12103635649462888</c:v>
                </c:pt>
                <c:pt idx="10">
                  <c:v>0.12756634457178431</c:v>
                </c:pt>
                <c:pt idx="11">
                  <c:v>0.1286829417624672</c:v>
                </c:pt>
                <c:pt idx="12">
                  <c:v>0.1279988598189585</c:v>
                </c:pt>
                <c:pt idx="13">
                  <c:v>0.12836780919784818</c:v>
                </c:pt>
                <c:pt idx="14">
                  <c:v>0.12790397614410975</c:v>
                </c:pt>
                <c:pt idx="15">
                  <c:v>0.12866746166524945</c:v>
                </c:pt>
                <c:pt idx="16">
                  <c:v>0.12856129020635435</c:v>
                </c:pt>
                <c:pt idx="17">
                  <c:v>0.13043541069908557</c:v>
                </c:pt>
                <c:pt idx="18">
                  <c:v>0.1281855543763859</c:v>
                </c:pt>
                <c:pt idx="19">
                  <c:v>0.12725780145619134</c:v>
                </c:pt>
                <c:pt idx="20">
                  <c:v>0.12645220970347248</c:v>
                </c:pt>
                <c:pt idx="21">
                  <c:v>0.12496979144122193</c:v>
                </c:pt>
                <c:pt idx="22">
                  <c:v>0.12372480301101103</c:v>
                </c:pt>
                <c:pt idx="23">
                  <c:v>0.12282906181074105</c:v>
                </c:pt>
                <c:pt idx="24">
                  <c:v>0.12177734457910842</c:v>
                </c:pt>
                <c:pt idx="25">
                  <c:v>0.12205614878836674</c:v>
                </c:pt>
                <c:pt idx="26">
                  <c:v>0.12239537484946469</c:v>
                </c:pt>
                <c:pt idx="27">
                  <c:v>0.12298641862392215</c:v>
                </c:pt>
                <c:pt idx="28">
                  <c:v>0.12362617603458149</c:v>
                </c:pt>
                <c:pt idx="29">
                  <c:v>0.12394278584600892</c:v>
                </c:pt>
                <c:pt idx="30">
                  <c:v>0.12444539230256654</c:v>
                </c:pt>
                <c:pt idx="31">
                  <c:v>0.12579059528878966</c:v>
                </c:pt>
                <c:pt idx="32">
                  <c:v>0.12631697413048548</c:v>
                </c:pt>
                <c:pt idx="33">
                  <c:v>0.1268838148492068</c:v>
                </c:pt>
                <c:pt idx="34">
                  <c:v>0.12760513871400275</c:v>
                </c:pt>
                <c:pt idx="35">
                  <c:v>0.12806861863282132</c:v>
                </c:pt>
                <c:pt idx="36">
                  <c:v>0.12804618985691799</c:v>
                </c:pt>
                <c:pt idx="37">
                  <c:v>0.12796835027881376</c:v>
                </c:pt>
                <c:pt idx="38">
                  <c:v>0.12759847814520023</c:v>
                </c:pt>
              </c:numCache>
            </c:numRef>
          </c:val>
          <c:smooth val="0"/>
          <c:extLst>
            <c:ext xmlns:c16="http://schemas.microsoft.com/office/drawing/2014/chart" uri="{C3380CC4-5D6E-409C-BE32-E72D297353CC}">
              <c16:uniqueId val="{00000000-DA38-420C-B33F-A223647FC9A3}"/>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0.10398511700773524</c:v>
                </c:pt>
                <c:pt idx="1">
                  <c:v>0.10339833944776984</c:v>
                </c:pt>
                <c:pt idx="2">
                  <c:v>0.10282238905255156</c:v>
                </c:pt>
                <c:pt idx="3">
                  <c:v>0.1007038948850305</c:v>
                </c:pt>
                <c:pt idx="4">
                  <c:v>9.9083940923537103E-2</c:v>
                </c:pt>
                <c:pt idx="5">
                  <c:v>9.5477846942511907E-2</c:v>
                </c:pt>
                <c:pt idx="6">
                  <c:v>9.3354712275075719E-2</c:v>
                </c:pt>
                <c:pt idx="7">
                  <c:v>9.366800769634423E-2</c:v>
                </c:pt>
                <c:pt idx="8">
                  <c:v>9.3849736910204429E-2</c:v>
                </c:pt>
                <c:pt idx="9">
                  <c:v>9.4854892560568449E-2</c:v>
                </c:pt>
                <c:pt idx="10">
                  <c:v>9.7831568330811899E-2</c:v>
                </c:pt>
                <c:pt idx="11">
                  <c:v>9.9207687120701285E-2</c:v>
                </c:pt>
                <c:pt idx="12">
                  <c:v>9.8003926701570682E-2</c:v>
                </c:pt>
                <c:pt idx="13">
                  <c:v>9.8192071653673912E-2</c:v>
                </c:pt>
                <c:pt idx="14">
                  <c:v>9.7770437654830719E-2</c:v>
                </c:pt>
                <c:pt idx="15">
                  <c:v>9.913043478260869E-2</c:v>
                </c:pt>
                <c:pt idx="16">
                  <c:v>0.100216955941255</c:v>
                </c:pt>
                <c:pt idx="17">
                  <c:v>0.101500293353449</c:v>
                </c:pt>
                <c:pt idx="18">
                  <c:v>0.10118997383745464</c:v>
                </c:pt>
                <c:pt idx="19">
                  <c:v>0.1012550881953867</c:v>
                </c:pt>
                <c:pt idx="20">
                  <c:v>0.10062037902608992</c:v>
                </c:pt>
                <c:pt idx="21">
                  <c:v>9.8786387167953835E-2</c:v>
                </c:pt>
                <c:pt idx="22">
                  <c:v>9.7129871222961031E-2</c:v>
                </c:pt>
                <c:pt idx="23">
                  <c:v>9.5966735966735967E-2</c:v>
                </c:pt>
                <c:pt idx="24">
                  <c:v>9.5027080256031515E-2</c:v>
                </c:pt>
                <c:pt idx="25">
                  <c:v>9.5268747988413255E-2</c:v>
                </c:pt>
                <c:pt idx="26">
                  <c:v>9.5806502277367672E-2</c:v>
                </c:pt>
                <c:pt idx="27">
                  <c:v>9.727476260325793E-2</c:v>
                </c:pt>
                <c:pt idx="28">
                  <c:v>9.8641013895251178E-2</c:v>
                </c:pt>
                <c:pt idx="29">
                  <c:v>9.9962221382697392E-2</c:v>
                </c:pt>
                <c:pt idx="30">
                  <c:v>0.10143404159471432</c:v>
                </c:pt>
                <c:pt idx="31">
                  <c:v>0.10338120885697187</c:v>
                </c:pt>
                <c:pt idx="32">
                  <c:v>0.10403111210829406</c:v>
                </c:pt>
                <c:pt idx="33">
                  <c:v>0.10383207589452453</c:v>
                </c:pt>
                <c:pt idx="34">
                  <c:v>0.1036335148847273</c:v>
                </c:pt>
                <c:pt idx="35">
                  <c:v>0.10327587493470637</c:v>
                </c:pt>
                <c:pt idx="36">
                  <c:v>0.10310048561822936</c:v>
                </c:pt>
                <c:pt idx="37">
                  <c:v>0.10321955582053957</c:v>
                </c:pt>
                <c:pt idx="38">
                  <c:v>0.1035377883260402</c:v>
                </c:pt>
              </c:numCache>
            </c:numRef>
          </c:val>
          <c:smooth val="0"/>
          <c:extLst>
            <c:ext xmlns:c16="http://schemas.microsoft.com/office/drawing/2014/chart" uri="{C3380CC4-5D6E-409C-BE32-E72D297353CC}">
              <c16:uniqueId val="{00000001-DA38-420C-B33F-A223647FC9A3}"/>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0.10398511700773524</c:v>
                </c:pt>
                <c:pt idx="1">
                  <c:v>0.10382830626450117</c:v>
                </c:pt>
                <c:pt idx="2">
                  <c:v>0.10474006116207951</c:v>
                </c:pt>
                <c:pt idx="3">
                  <c:v>0.10553601184965747</c:v>
                </c:pt>
                <c:pt idx="4">
                  <c:v>0.10480472042708626</c:v>
                </c:pt>
                <c:pt idx="5">
                  <c:v>0.10232342007434944</c:v>
                </c:pt>
                <c:pt idx="6">
                  <c:v>9.9872076023391806E-2</c:v>
                </c:pt>
                <c:pt idx="7">
                  <c:v>9.9639639639639635E-2</c:v>
                </c:pt>
                <c:pt idx="8">
                  <c:v>0.10045056983832494</c:v>
                </c:pt>
                <c:pt idx="9">
                  <c:v>0.10001736412571627</c:v>
                </c:pt>
                <c:pt idx="10">
                  <c:v>0.1007804546996946</c:v>
                </c:pt>
                <c:pt idx="11">
                  <c:v>0.10261131570137262</c:v>
                </c:pt>
                <c:pt idx="12">
                  <c:v>0.10292037607122057</c:v>
                </c:pt>
                <c:pt idx="13">
                  <c:v>0.10390912128299365</c:v>
                </c:pt>
                <c:pt idx="14">
                  <c:v>0.10520982859072871</c:v>
                </c:pt>
                <c:pt idx="15">
                  <c:v>0.10660159260210635</c:v>
                </c:pt>
                <c:pt idx="16">
                  <c:v>0.10742578567075825</c:v>
                </c:pt>
                <c:pt idx="17">
                  <c:v>0.10803445850914205</c:v>
                </c:pt>
                <c:pt idx="18">
                  <c:v>0.10780242113634356</c:v>
                </c:pt>
                <c:pt idx="19">
                  <c:v>0.10717762633861404</c:v>
                </c:pt>
                <c:pt idx="20">
                  <c:v>0.10596553247901017</c:v>
                </c:pt>
                <c:pt idx="21">
                  <c:v>0.1038630377524144</c:v>
                </c:pt>
                <c:pt idx="22">
                  <c:v>0.10229047371160854</c:v>
                </c:pt>
                <c:pt idx="23">
                  <c:v>0.10175739391341621</c:v>
                </c:pt>
                <c:pt idx="24">
                  <c:v>0.10176803992894003</c:v>
                </c:pt>
                <c:pt idx="25">
                  <c:v>0.10257908354895251</c:v>
                </c:pt>
                <c:pt idx="26">
                  <c:v>0.10431921020156314</c:v>
                </c:pt>
                <c:pt idx="27">
                  <c:v>0.1061334202166653</c:v>
                </c:pt>
                <c:pt idx="28">
                  <c:v>0.10747210092188259</c:v>
                </c:pt>
                <c:pt idx="29">
                  <c:v>0.10879871434310968</c:v>
                </c:pt>
                <c:pt idx="30">
                  <c:v>0.1096459681930792</c:v>
                </c:pt>
                <c:pt idx="31">
                  <c:v>0.11002230720203951</c:v>
                </c:pt>
                <c:pt idx="32">
                  <c:v>0.1098026734563972</c:v>
                </c:pt>
              </c:numCache>
            </c:numRef>
          </c:val>
          <c:smooth val="0"/>
          <c:extLst>
            <c:ext xmlns:c16="http://schemas.microsoft.com/office/drawing/2014/chart" uri="{C3380CC4-5D6E-409C-BE32-E72D297353CC}">
              <c16:uniqueId val="{00000002-DA38-420C-B33F-A223647FC9A3}"/>
            </c:ext>
          </c:extLst>
        </c:ser>
        <c:dLbls>
          <c:showLegendKey val="0"/>
          <c:showVal val="0"/>
          <c:showCatName val="0"/>
          <c:showSerName val="0"/>
          <c:showPercent val="0"/>
          <c:showBubbleSize val="0"/>
        </c:dLbls>
        <c:smooth val="0"/>
        <c:axId val="160475392"/>
        <c:axId val="160608256"/>
      </c:lineChart>
      <c:catAx>
        <c:axId val="160475392"/>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60608256"/>
        <c:crosses val="autoZero"/>
        <c:auto val="1"/>
        <c:lblAlgn val="ctr"/>
        <c:lblOffset val="100"/>
        <c:noMultiLvlLbl val="0"/>
      </c:catAx>
      <c:valAx>
        <c:axId val="160608256"/>
        <c:scaling>
          <c:orientation val="minMax"/>
          <c:max val="0.2"/>
          <c:min val="0"/>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60475392"/>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0.42389950462636389</c:v>
                </c:pt>
                <c:pt idx="1">
                  <c:v>0.42241115656963213</c:v>
                </c:pt>
                <c:pt idx="2">
                  <c:v>0.42179113723498896</c:v>
                </c:pt>
                <c:pt idx="3">
                  <c:v>0.41721948490719635</c:v>
                </c:pt>
                <c:pt idx="4">
                  <c:v>0.41184065567723765</c:v>
                </c:pt>
                <c:pt idx="5">
                  <c:v>0.41055205907707254</c:v>
                </c:pt>
                <c:pt idx="6">
                  <c:v>0.40847607305978106</c:v>
                </c:pt>
                <c:pt idx="7">
                  <c:v>0.40593744099616258</c:v>
                </c:pt>
                <c:pt idx="8">
                  <c:v>0.40302435089088812</c:v>
                </c:pt>
                <c:pt idx="9">
                  <c:v>0.40281426292555667</c:v>
                </c:pt>
                <c:pt idx="10">
                  <c:v>0.40340747447284969</c:v>
                </c:pt>
                <c:pt idx="11">
                  <c:v>0.40217333343141048</c:v>
                </c:pt>
                <c:pt idx="12">
                  <c:v>0.40256767745950273</c:v>
                </c:pt>
                <c:pt idx="13">
                  <c:v>0.39946913591258515</c:v>
                </c:pt>
                <c:pt idx="14">
                  <c:v>0.39936515547161655</c:v>
                </c:pt>
                <c:pt idx="15">
                  <c:v>0.39630077494150256</c:v>
                </c:pt>
                <c:pt idx="16">
                  <c:v>0.39225664036352326</c:v>
                </c:pt>
                <c:pt idx="17">
                  <c:v>0.39098128219982964</c:v>
                </c:pt>
                <c:pt idx="18">
                  <c:v>0.3901854401495316</c:v>
                </c:pt>
                <c:pt idx="19">
                  <c:v>0.39067054322242062</c:v>
                </c:pt>
                <c:pt idx="20">
                  <c:v>0.39037714408357388</c:v>
                </c:pt>
                <c:pt idx="21">
                  <c:v>0.39250194314306769</c:v>
                </c:pt>
                <c:pt idx="22">
                  <c:v>0.39277048854614655</c:v>
                </c:pt>
                <c:pt idx="23">
                  <c:v>0.39374377440865393</c:v>
                </c:pt>
                <c:pt idx="24">
                  <c:v>0.39316488345335115</c:v>
                </c:pt>
                <c:pt idx="25">
                  <c:v>0.39346331002835666</c:v>
                </c:pt>
                <c:pt idx="26">
                  <c:v>0.39388464644904975</c:v>
                </c:pt>
                <c:pt idx="27">
                  <c:v>0.39437505832760139</c:v>
                </c:pt>
                <c:pt idx="28">
                  <c:v>0.39409538979585557</c:v>
                </c:pt>
                <c:pt idx="29">
                  <c:v>0.3938318464354249</c:v>
                </c:pt>
                <c:pt idx="30">
                  <c:v>0.39291889832574967</c:v>
                </c:pt>
                <c:pt idx="31">
                  <c:v>0.39161181159184627</c:v>
                </c:pt>
                <c:pt idx="32">
                  <c:v>0.39041784856086142</c:v>
                </c:pt>
                <c:pt idx="33">
                  <c:v>0.38975092530681049</c:v>
                </c:pt>
                <c:pt idx="34">
                  <c:v>0.38926826686218169</c:v>
                </c:pt>
                <c:pt idx="35">
                  <c:v>0.38931285192042292</c:v>
                </c:pt>
                <c:pt idx="36">
                  <c:v>0.38961888265101191</c:v>
                </c:pt>
                <c:pt idx="37">
                  <c:v>0.39040872413530248</c:v>
                </c:pt>
                <c:pt idx="38">
                  <c:v>0.39103925840189274</c:v>
                </c:pt>
              </c:numCache>
            </c:numRef>
          </c:val>
          <c:smooth val="0"/>
          <c:extLst>
            <c:ext xmlns:c16="http://schemas.microsoft.com/office/drawing/2014/chart" uri="{C3380CC4-5D6E-409C-BE32-E72D297353CC}">
              <c16:uniqueId val="{00000000-18D4-45B3-A743-BAF55B0327D3}"/>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0.45809096977209879</c:v>
                </c:pt>
                <c:pt idx="1">
                  <c:v>0.45721295387634936</c:v>
                </c:pt>
                <c:pt idx="2">
                  <c:v>0.45761523046092184</c:v>
                </c:pt>
                <c:pt idx="3">
                  <c:v>0.45261984392419174</c:v>
                </c:pt>
                <c:pt idx="4">
                  <c:v>0.4451625934154716</c:v>
                </c:pt>
                <c:pt idx="5">
                  <c:v>0.44585858585858584</c:v>
                </c:pt>
                <c:pt idx="6">
                  <c:v>0.44396859386152748</c:v>
                </c:pt>
                <c:pt idx="7">
                  <c:v>0.44115552843047501</c:v>
                </c:pt>
                <c:pt idx="8">
                  <c:v>0.43647416413373863</c:v>
                </c:pt>
                <c:pt idx="9">
                  <c:v>0.43437967115097159</c:v>
                </c:pt>
                <c:pt idx="10">
                  <c:v>0.43402949618925074</c:v>
                </c:pt>
                <c:pt idx="11">
                  <c:v>0.43491714913156321</c:v>
                </c:pt>
                <c:pt idx="12">
                  <c:v>0.43886180479554271</c:v>
                </c:pt>
                <c:pt idx="13">
                  <c:v>0.43684048765495337</c:v>
                </c:pt>
                <c:pt idx="14">
                  <c:v>0.43942023068286212</c:v>
                </c:pt>
                <c:pt idx="15">
                  <c:v>0.4388810054733428</c:v>
                </c:pt>
                <c:pt idx="16">
                  <c:v>0.44035865403989521</c:v>
                </c:pt>
                <c:pt idx="17">
                  <c:v>0.44134911949059796</c:v>
                </c:pt>
                <c:pt idx="18">
                  <c:v>0.44337301977762472</c:v>
                </c:pt>
                <c:pt idx="19">
                  <c:v>0.44622966978807294</c:v>
                </c:pt>
                <c:pt idx="20">
                  <c:v>0.44921037239227918</c:v>
                </c:pt>
                <c:pt idx="21">
                  <c:v>0.45230501594665118</c:v>
                </c:pt>
                <c:pt idx="22">
                  <c:v>0.45372961497635822</c:v>
                </c:pt>
                <c:pt idx="23">
                  <c:v>0.45612343297974928</c:v>
                </c:pt>
                <c:pt idx="24">
                  <c:v>0.45733722060252674</c:v>
                </c:pt>
                <c:pt idx="25">
                  <c:v>0.4592257810964826</c:v>
                </c:pt>
                <c:pt idx="26">
                  <c:v>0.46104089959199923</c:v>
                </c:pt>
                <c:pt idx="27">
                  <c:v>0.46214099216710181</c:v>
                </c:pt>
                <c:pt idx="28">
                  <c:v>0.46253412883001316</c:v>
                </c:pt>
                <c:pt idx="29">
                  <c:v>0.46289537712895379</c:v>
                </c:pt>
                <c:pt idx="30">
                  <c:v>0.461997773504706</c:v>
                </c:pt>
                <c:pt idx="31">
                  <c:v>0.46068548387096775</c:v>
                </c:pt>
                <c:pt idx="32">
                  <c:v>0.45969433623014683</c:v>
                </c:pt>
                <c:pt idx="33">
                  <c:v>0.45900504401147263</c:v>
                </c:pt>
                <c:pt idx="34">
                  <c:v>0.45838618401795295</c:v>
                </c:pt>
                <c:pt idx="35">
                  <c:v>0.45875251509054327</c:v>
                </c:pt>
                <c:pt idx="36">
                  <c:v>0.45998125585754451</c:v>
                </c:pt>
                <c:pt idx="37">
                  <c:v>0.46136112135743268</c:v>
                </c:pt>
                <c:pt idx="38">
                  <c:v>0.46262663137720178</c:v>
                </c:pt>
              </c:numCache>
            </c:numRef>
          </c:val>
          <c:smooth val="0"/>
          <c:extLst>
            <c:ext xmlns:c16="http://schemas.microsoft.com/office/drawing/2014/chart" uri="{C3380CC4-5D6E-409C-BE32-E72D297353CC}">
              <c16:uniqueId val="{00000001-18D4-45B3-A743-BAF55B0327D3}"/>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0.45809096977209879</c:v>
                </c:pt>
                <c:pt idx="1">
                  <c:v>0.45850192440540805</c:v>
                </c:pt>
                <c:pt idx="2">
                  <c:v>0.45955770978491367</c:v>
                </c:pt>
                <c:pt idx="3">
                  <c:v>0.46018140137546099</c:v>
                </c:pt>
                <c:pt idx="4">
                  <c:v>0.45315179021684315</c:v>
                </c:pt>
                <c:pt idx="5">
                  <c:v>0.45281868969019806</c:v>
                </c:pt>
                <c:pt idx="6">
                  <c:v>0.45387645107794361</c:v>
                </c:pt>
                <c:pt idx="7">
                  <c:v>0.45246478873239437</c:v>
                </c:pt>
                <c:pt idx="8">
                  <c:v>0.45427547363031234</c:v>
                </c:pt>
                <c:pt idx="9">
                  <c:v>0.45586457073760578</c:v>
                </c:pt>
                <c:pt idx="10">
                  <c:v>0.45891426876297836</c:v>
                </c:pt>
                <c:pt idx="11">
                  <c:v>0.46000387371683132</c:v>
                </c:pt>
                <c:pt idx="12">
                  <c:v>0.46011571658920608</c:v>
                </c:pt>
                <c:pt idx="13">
                  <c:v>0.46120930232558138</c:v>
                </c:pt>
                <c:pt idx="14">
                  <c:v>0.46266740047697669</c:v>
                </c:pt>
                <c:pt idx="15">
                  <c:v>0.46268791885527982</c:v>
                </c:pt>
                <c:pt idx="16">
                  <c:v>0.4633799056687728</c:v>
                </c:pt>
                <c:pt idx="17">
                  <c:v>0.46479120879120878</c:v>
                </c:pt>
                <c:pt idx="18">
                  <c:v>0.46624748930224436</c:v>
                </c:pt>
                <c:pt idx="19">
                  <c:v>0.46745098039215688</c:v>
                </c:pt>
                <c:pt idx="20">
                  <c:v>0.46965355561344102</c:v>
                </c:pt>
                <c:pt idx="21">
                  <c:v>0.47208253858158489</c:v>
                </c:pt>
                <c:pt idx="22">
                  <c:v>0.47326715430163707</c:v>
                </c:pt>
                <c:pt idx="23">
                  <c:v>0.47487943884261291</c:v>
                </c:pt>
                <c:pt idx="24">
                  <c:v>0.4763549415515409</c:v>
                </c:pt>
                <c:pt idx="25">
                  <c:v>0.47762131132837027</c:v>
                </c:pt>
                <c:pt idx="26">
                  <c:v>0.4790947100527177</c:v>
                </c:pt>
                <c:pt idx="27">
                  <c:v>0.48008788794287283</c:v>
                </c:pt>
                <c:pt idx="28">
                  <c:v>0.48076040040407753</c:v>
                </c:pt>
                <c:pt idx="29">
                  <c:v>0.48129423660262893</c:v>
                </c:pt>
                <c:pt idx="30">
                  <c:v>0.48123681071657948</c:v>
                </c:pt>
                <c:pt idx="31">
                  <c:v>0.48091324200913244</c:v>
                </c:pt>
                <c:pt idx="32">
                  <c:v>0.48108939558450958</c:v>
                </c:pt>
              </c:numCache>
            </c:numRef>
          </c:val>
          <c:smooth val="0"/>
          <c:extLst>
            <c:ext xmlns:c16="http://schemas.microsoft.com/office/drawing/2014/chart" uri="{C3380CC4-5D6E-409C-BE32-E72D297353CC}">
              <c16:uniqueId val="{00000002-18D4-45B3-A743-BAF55B0327D3}"/>
            </c:ext>
          </c:extLst>
        </c:ser>
        <c:dLbls>
          <c:showLegendKey val="0"/>
          <c:showVal val="0"/>
          <c:showCatName val="0"/>
          <c:showSerName val="0"/>
          <c:showPercent val="0"/>
          <c:showBubbleSize val="0"/>
        </c:dLbls>
        <c:smooth val="0"/>
        <c:axId val="178149632"/>
        <c:axId val="178180096"/>
      </c:lineChart>
      <c:catAx>
        <c:axId val="178149632"/>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8180096"/>
        <c:crosses val="autoZero"/>
        <c:auto val="1"/>
        <c:lblAlgn val="ctr"/>
        <c:lblOffset val="100"/>
        <c:noMultiLvlLbl val="0"/>
      </c:catAx>
      <c:valAx>
        <c:axId val="178180096"/>
        <c:scaling>
          <c:orientation val="minMax"/>
          <c:max val="0.55000000000000004"/>
          <c:min val="0.35000000000000003"/>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8149632"/>
        <c:crosses val="autoZero"/>
        <c:crossBetween val="between"/>
        <c:majorUnit val="5.0000000000000024E-2"/>
      </c:valAx>
      <c:spPr>
        <a:noFill/>
        <a:ln w="25340">
          <a:noFill/>
        </a:ln>
      </c:spPr>
    </c:plotArea>
    <c:legend>
      <c:legendPos val="r"/>
      <c:layout>
        <c:manualLayout>
          <c:xMode val="edge"/>
          <c:yMode val="edge"/>
          <c:x val="0.10443621699605431"/>
          <c:y val="0.13190121952987924"/>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0.5387787945377972</c:v>
                </c:pt>
                <c:pt idx="1">
                  <c:v>0.5391629893130313</c:v>
                </c:pt>
                <c:pt idx="2">
                  <c:v>0.53880849220509508</c:v>
                </c:pt>
                <c:pt idx="3">
                  <c:v>0.53861254217642196</c:v>
                </c:pt>
                <c:pt idx="4">
                  <c:v>0.5401573685196156</c:v>
                </c:pt>
                <c:pt idx="5">
                  <c:v>0.54004075014017194</c:v>
                </c:pt>
                <c:pt idx="6">
                  <c:v>0.54169445687777995</c:v>
                </c:pt>
                <c:pt idx="7">
                  <c:v>0.54195065041613966</c:v>
                </c:pt>
                <c:pt idx="8">
                  <c:v>0.53997707452406263</c:v>
                </c:pt>
                <c:pt idx="9">
                  <c:v>0.54019369213160662</c:v>
                </c:pt>
                <c:pt idx="10">
                  <c:v>0.54159799164141265</c:v>
                </c:pt>
                <c:pt idx="11">
                  <c:v>0.54179082912492904</c:v>
                </c:pt>
                <c:pt idx="12">
                  <c:v>0.54207112193093654</c:v>
                </c:pt>
                <c:pt idx="13">
                  <c:v>0.53908136347379088</c:v>
                </c:pt>
                <c:pt idx="14">
                  <c:v>0.53852439293155074</c:v>
                </c:pt>
                <c:pt idx="15">
                  <c:v>0.5393246070852733</c:v>
                </c:pt>
                <c:pt idx="16">
                  <c:v>0.53792626314476943</c:v>
                </c:pt>
                <c:pt idx="17">
                  <c:v>0.53856253947583022</c:v>
                </c:pt>
                <c:pt idx="18">
                  <c:v>0.53807508507951141</c:v>
                </c:pt>
                <c:pt idx="19">
                  <c:v>0.53899679619868546</c:v>
                </c:pt>
                <c:pt idx="20">
                  <c:v>0.53992955931783326</c:v>
                </c:pt>
                <c:pt idx="21">
                  <c:v>0.53896525856973321</c:v>
                </c:pt>
                <c:pt idx="22">
                  <c:v>0.53923256844095457</c:v>
                </c:pt>
                <c:pt idx="23">
                  <c:v>0.53940387908348331</c:v>
                </c:pt>
                <c:pt idx="24">
                  <c:v>0.54024520880622628</c:v>
                </c:pt>
                <c:pt idx="25">
                  <c:v>0.54044017851668358</c:v>
                </c:pt>
                <c:pt idx="26">
                  <c:v>0.54068468592921992</c:v>
                </c:pt>
                <c:pt idx="27">
                  <c:v>0.54057050219791059</c:v>
                </c:pt>
                <c:pt idx="28">
                  <c:v>0.54145580280202432</c:v>
                </c:pt>
                <c:pt idx="29">
                  <c:v>0.54214651744589171</c:v>
                </c:pt>
                <c:pt idx="30">
                  <c:v>0.54270328187681871</c:v>
                </c:pt>
                <c:pt idx="31">
                  <c:v>0.5440019012843893</c:v>
                </c:pt>
                <c:pt idx="32">
                  <c:v>0.54447198022912613</c:v>
                </c:pt>
                <c:pt idx="33">
                  <c:v>0.54513024349882921</c:v>
                </c:pt>
                <c:pt idx="34">
                  <c:v>0.54518184583988027</c:v>
                </c:pt>
                <c:pt idx="35">
                  <c:v>0.54551607577361116</c:v>
                </c:pt>
                <c:pt idx="36">
                  <c:v>0.54590336752800028</c:v>
                </c:pt>
                <c:pt idx="37">
                  <c:v>0.54631397595237274</c:v>
                </c:pt>
                <c:pt idx="38">
                  <c:v>0.54638551749046527</c:v>
                </c:pt>
              </c:numCache>
            </c:numRef>
          </c:val>
          <c:smooth val="0"/>
          <c:extLst>
            <c:ext xmlns:c16="http://schemas.microsoft.com/office/drawing/2014/chart" uri="{C3380CC4-5D6E-409C-BE32-E72D297353CC}">
              <c16:uniqueId val="{00000000-C160-46DA-B800-1F2D6EE3FCF7}"/>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0.53609852774631939</c:v>
                </c:pt>
                <c:pt idx="1">
                  <c:v>0.53775424909445524</c:v>
                </c:pt>
                <c:pt idx="2">
                  <c:v>0.53808897806683731</c:v>
                </c:pt>
                <c:pt idx="3">
                  <c:v>0.53856739833482414</c:v>
                </c:pt>
                <c:pt idx="4">
                  <c:v>0.54168959823885521</c:v>
                </c:pt>
                <c:pt idx="5">
                  <c:v>0.5418921696238953</c:v>
                </c:pt>
                <c:pt idx="6">
                  <c:v>0.54496736516660937</c:v>
                </c:pt>
                <c:pt idx="7">
                  <c:v>0.54620565160036105</c:v>
                </c:pt>
                <c:pt idx="8">
                  <c:v>0.54356758288466989</c:v>
                </c:pt>
                <c:pt idx="9">
                  <c:v>0.54471073781768153</c:v>
                </c:pt>
                <c:pt idx="10">
                  <c:v>0.54735666418466122</c:v>
                </c:pt>
                <c:pt idx="11">
                  <c:v>0.54731497153408215</c:v>
                </c:pt>
                <c:pt idx="12">
                  <c:v>0.54703915950334292</c:v>
                </c:pt>
                <c:pt idx="13">
                  <c:v>0.54172141918528249</c:v>
                </c:pt>
                <c:pt idx="14">
                  <c:v>0.53816417173877285</c:v>
                </c:pt>
                <c:pt idx="15">
                  <c:v>0.53862230396254807</c:v>
                </c:pt>
                <c:pt idx="16">
                  <c:v>0.53848759420780756</c:v>
                </c:pt>
                <c:pt idx="17">
                  <c:v>0.54074201011053036</c:v>
                </c:pt>
                <c:pt idx="18">
                  <c:v>0.54181094182825484</c:v>
                </c:pt>
                <c:pt idx="19">
                  <c:v>0.54331248393453857</c:v>
                </c:pt>
                <c:pt idx="20">
                  <c:v>0.54424097210337152</c:v>
                </c:pt>
                <c:pt idx="21">
                  <c:v>0.54524559461990296</c:v>
                </c:pt>
                <c:pt idx="22">
                  <c:v>0.54731092436974793</c:v>
                </c:pt>
                <c:pt idx="23">
                  <c:v>0.54863196529863201</c:v>
                </c:pt>
                <c:pt idx="24">
                  <c:v>0.55195130086724487</c:v>
                </c:pt>
                <c:pt idx="25">
                  <c:v>0.5545507342570315</c:v>
                </c:pt>
                <c:pt idx="26">
                  <c:v>0.55722543352601162</c:v>
                </c:pt>
                <c:pt idx="27">
                  <c:v>0.55890545633295097</c:v>
                </c:pt>
                <c:pt idx="28">
                  <c:v>0.56150341685649208</c:v>
                </c:pt>
                <c:pt idx="29">
                  <c:v>0.56372509150061001</c:v>
                </c:pt>
                <c:pt idx="30">
                  <c:v>0.56617825629401763</c:v>
                </c:pt>
                <c:pt idx="31">
                  <c:v>0.5688154713940371</c:v>
                </c:pt>
                <c:pt idx="32">
                  <c:v>0.57050609411574782</c:v>
                </c:pt>
                <c:pt idx="33">
                  <c:v>0.57209828645328165</c:v>
                </c:pt>
                <c:pt idx="34">
                  <c:v>0.57332572918364022</c:v>
                </c:pt>
                <c:pt idx="35">
                  <c:v>0.57459610946257833</c:v>
                </c:pt>
                <c:pt idx="36">
                  <c:v>0.57567409633525335</c:v>
                </c:pt>
                <c:pt idx="37">
                  <c:v>0.57643687847631886</c:v>
                </c:pt>
                <c:pt idx="38">
                  <c:v>0.57668138586956519</c:v>
                </c:pt>
              </c:numCache>
            </c:numRef>
          </c:val>
          <c:smooth val="0"/>
          <c:extLst>
            <c:ext xmlns:c16="http://schemas.microsoft.com/office/drawing/2014/chart" uri="{C3380CC4-5D6E-409C-BE32-E72D297353CC}">
              <c16:uniqueId val="{00000001-C160-46DA-B800-1F2D6EE3FCF7}"/>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0.53609852774631939</c:v>
                </c:pt>
                <c:pt idx="1">
                  <c:v>0.53920612813370472</c:v>
                </c:pt>
                <c:pt idx="2">
                  <c:v>0.54080221300138309</c:v>
                </c:pt>
                <c:pt idx="3">
                  <c:v>0.54586281981491558</c:v>
                </c:pt>
                <c:pt idx="4">
                  <c:v>0.5482330468003821</c:v>
                </c:pt>
                <c:pt idx="5">
                  <c:v>0.5477923668276754</c:v>
                </c:pt>
                <c:pt idx="6">
                  <c:v>0.54957118353344769</c:v>
                </c:pt>
                <c:pt idx="7">
                  <c:v>0.55055555555555558</c:v>
                </c:pt>
                <c:pt idx="8">
                  <c:v>0.5487321150304576</c:v>
                </c:pt>
                <c:pt idx="9">
                  <c:v>0.55160940325497287</c:v>
                </c:pt>
                <c:pt idx="10">
                  <c:v>0.55173189383715704</c:v>
                </c:pt>
                <c:pt idx="11">
                  <c:v>0.5542205791743684</c:v>
                </c:pt>
                <c:pt idx="12">
                  <c:v>0.55437686625805438</c:v>
                </c:pt>
                <c:pt idx="13">
                  <c:v>0.55508508428537184</c:v>
                </c:pt>
                <c:pt idx="14">
                  <c:v>0.55590236094437773</c:v>
                </c:pt>
                <c:pt idx="15">
                  <c:v>0.55938079496895909</c:v>
                </c:pt>
                <c:pt idx="16">
                  <c:v>0.56182424193155023</c:v>
                </c:pt>
                <c:pt idx="17">
                  <c:v>0.56359488307667238</c:v>
                </c:pt>
                <c:pt idx="18">
                  <c:v>0.56708942564019715</c:v>
                </c:pt>
                <c:pt idx="19">
                  <c:v>0.56919891702500403</c:v>
                </c:pt>
                <c:pt idx="20">
                  <c:v>0.57107134484644839</c:v>
                </c:pt>
                <c:pt idx="21">
                  <c:v>0.57288239345014924</c:v>
                </c:pt>
                <c:pt idx="22">
                  <c:v>0.57480137910358264</c:v>
                </c:pt>
                <c:pt idx="23">
                  <c:v>0.57645586394758153</c:v>
                </c:pt>
                <c:pt idx="24">
                  <c:v>0.57841998257333715</c:v>
                </c:pt>
                <c:pt idx="25">
                  <c:v>0.57972053027588677</c:v>
                </c:pt>
                <c:pt idx="26">
                  <c:v>0.5806770098730607</c:v>
                </c:pt>
                <c:pt idx="27">
                  <c:v>0.58137589740015339</c:v>
                </c:pt>
                <c:pt idx="28">
                  <c:v>0.58170478170478168</c:v>
                </c:pt>
                <c:pt idx="29">
                  <c:v>0.58217945167543617</c:v>
                </c:pt>
                <c:pt idx="30">
                  <c:v>0.58356391809629216</c:v>
                </c:pt>
                <c:pt idx="31">
                  <c:v>0.58411732152739348</c:v>
                </c:pt>
                <c:pt idx="32">
                  <c:v>0.58468387007025113</c:v>
                </c:pt>
              </c:numCache>
            </c:numRef>
          </c:val>
          <c:smooth val="0"/>
          <c:extLst>
            <c:ext xmlns:c16="http://schemas.microsoft.com/office/drawing/2014/chart" uri="{C3380CC4-5D6E-409C-BE32-E72D297353CC}">
              <c16:uniqueId val="{00000002-C160-46DA-B800-1F2D6EE3FCF7}"/>
            </c:ext>
          </c:extLst>
        </c:ser>
        <c:dLbls>
          <c:showLegendKey val="0"/>
          <c:showVal val="0"/>
          <c:showCatName val="0"/>
          <c:showSerName val="0"/>
          <c:showPercent val="0"/>
          <c:showBubbleSize val="0"/>
        </c:dLbls>
        <c:smooth val="0"/>
        <c:axId val="178510080"/>
        <c:axId val="178515968"/>
      </c:lineChart>
      <c:catAx>
        <c:axId val="178510080"/>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8515968"/>
        <c:crosses val="autoZero"/>
        <c:auto val="1"/>
        <c:lblAlgn val="ctr"/>
        <c:lblOffset val="100"/>
        <c:noMultiLvlLbl val="0"/>
      </c:catAx>
      <c:valAx>
        <c:axId val="178515968"/>
        <c:scaling>
          <c:orientation val="minMax"/>
          <c:max val="0.65000000000000013"/>
          <c:min val="0.45"/>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8510080"/>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0.58003296040374064</c:v>
                </c:pt>
                <c:pt idx="1">
                  <c:v>0.58011440857053076</c:v>
                </c:pt>
                <c:pt idx="2">
                  <c:v>0.58230636306304095</c:v>
                </c:pt>
                <c:pt idx="3">
                  <c:v>0.58490613111524792</c:v>
                </c:pt>
                <c:pt idx="4">
                  <c:v>0.58537568999597211</c:v>
                </c:pt>
                <c:pt idx="5">
                  <c:v>0.58611512285841627</c:v>
                </c:pt>
                <c:pt idx="6">
                  <c:v>0.5863469265451059</c:v>
                </c:pt>
                <c:pt idx="7">
                  <c:v>0.58653748781652904</c:v>
                </c:pt>
                <c:pt idx="8">
                  <c:v>0.58717184744651929</c:v>
                </c:pt>
                <c:pt idx="9">
                  <c:v>0.58613607403900714</c:v>
                </c:pt>
                <c:pt idx="10">
                  <c:v>0.58728728209489434</c:v>
                </c:pt>
                <c:pt idx="11">
                  <c:v>0.59003128422115747</c:v>
                </c:pt>
                <c:pt idx="12">
                  <c:v>0.59192373487152294</c:v>
                </c:pt>
                <c:pt idx="13">
                  <c:v>0.59477351762331854</c:v>
                </c:pt>
                <c:pt idx="14">
                  <c:v>0.59774395417597825</c:v>
                </c:pt>
                <c:pt idx="15">
                  <c:v>0.59855942580332655</c:v>
                </c:pt>
                <c:pt idx="16">
                  <c:v>0.60092316772479115</c:v>
                </c:pt>
                <c:pt idx="17">
                  <c:v>0.60081647128701221</c:v>
                </c:pt>
                <c:pt idx="18">
                  <c:v>0.60254173786171683</c:v>
                </c:pt>
                <c:pt idx="19">
                  <c:v>0.60357382167341056</c:v>
                </c:pt>
                <c:pt idx="20">
                  <c:v>0.60496033913789748</c:v>
                </c:pt>
                <c:pt idx="21">
                  <c:v>0.6047394211903373</c:v>
                </c:pt>
                <c:pt idx="22">
                  <c:v>0.60454892365201185</c:v>
                </c:pt>
                <c:pt idx="23">
                  <c:v>0.60318222033388735</c:v>
                </c:pt>
                <c:pt idx="24">
                  <c:v>0.60146616034835543</c:v>
                </c:pt>
                <c:pt idx="25">
                  <c:v>0.60094055998373253</c:v>
                </c:pt>
                <c:pt idx="26">
                  <c:v>0.60010490582089793</c:v>
                </c:pt>
                <c:pt idx="27">
                  <c:v>0.60028274916241409</c:v>
                </c:pt>
                <c:pt idx="28">
                  <c:v>0.59992312244567436</c:v>
                </c:pt>
                <c:pt idx="29">
                  <c:v>0.60019106436083514</c:v>
                </c:pt>
                <c:pt idx="30">
                  <c:v>0.6004263158557519</c:v>
                </c:pt>
                <c:pt idx="31">
                  <c:v>0.59995653355860046</c:v>
                </c:pt>
                <c:pt idx="32">
                  <c:v>0.60018308627856209</c:v>
                </c:pt>
                <c:pt idx="33">
                  <c:v>0.60023572609702125</c:v>
                </c:pt>
                <c:pt idx="34">
                  <c:v>0.60092069335351972</c:v>
                </c:pt>
                <c:pt idx="35">
                  <c:v>0.60124271422417552</c:v>
                </c:pt>
                <c:pt idx="36">
                  <c:v>0.60154747191753144</c:v>
                </c:pt>
                <c:pt idx="37">
                  <c:v>0.601679305451013</c:v>
                </c:pt>
                <c:pt idx="38">
                  <c:v>0.60238936463296178</c:v>
                </c:pt>
              </c:numCache>
            </c:numRef>
          </c:val>
          <c:smooth val="0"/>
          <c:extLst>
            <c:ext xmlns:c16="http://schemas.microsoft.com/office/drawing/2014/chart" uri="{C3380CC4-5D6E-409C-BE32-E72D297353CC}">
              <c16:uniqueId val="{00000000-CC83-4698-9187-6C529062862D}"/>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0.557904787887055</c:v>
                </c:pt>
                <c:pt idx="1">
                  <c:v>0.55850212292058188</c:v>
                </c:pt>
                <c:pt idx="2">
                  <c:v>0.56213269135452804</c:v>
                </c:pt>
                <c:pt idx="3">
                  <c:v>0.56650906781455079</c:v>
                </c:pt>
                <c:pt idx="4">
                  <c:v>0.56756186726659164</c:v>
                </c:pt>
                <c:pt idx="5">
                  <c:v>0.56857578699209543</c:v>
                </c:pt>
                <c:pt idx="6">
                  <c:v>0.56888828559793669</c:v>
                </c:pt>
                <c:pt idx="7">
                  <c:v>0.56893255093294648</c:v>
                </c:pt>
                <c:pt idx="8">
                  <c:v>0.56987727301934077</c:v>
                </c:pt>
                <c:pt idx="9">
                  <c:v>0.56758126861415625</c:v>
                </c:pt>
                <c:pt idx="10">
                  <c:v>0.56934579439252342</c:v>
                </c:pt>
                <c:pt idx="11">
                  <c:v>0.57159473523109883</c:v>
                </c:pt>
                <c:pt idx="12">
                  <c:v>0.5727465857359636</c:v>
                </c:pt>
                <c:pt idx="13">
                  <c:v>0.57530357034978552</c:v>
                </c:pt>
                <c:pt idx="14">
                  <c:v>0.57747927633569307</c:v>
                </c:pt>
                <c:pt idx="15">
                  <c:v>0.57549326275264678</c:v>
                </c:pt>
                <c:pt idx="16">
                  <c:v>0.57569889870507085</c:v>
                </c:pt>
                <c:pt idx="17">
                  <c:v>0.57423072207919579</c:v>
                </c:pt>
                <c:pt idx="18">
                  <c:v>0.57369176074346662</c:v>
                </c:pt>
                <c:pt idx="19">
                  <c:v>0.5725512746789343</c:v>
                </c:pt>
                <c:pt idx="20">
                  <c:v>0.57129714811407539</c:v>
                </c:pt>
                <c:pt idx="21">
                  <c:v>0.57032833400891769</c:v>
                </c:pt>
                <c:pt idx="22">
                  <c:v>0.56932030762835173</c:v>
                </c:pt>
                <c:pt idx="23">
                  <c:v>0.5674948679832944</c:v>
                </c:pt>
                <c:pt idx="24">
                  <c:v>0.56455624245008174</c:v>
                </c:pt>
                <c:pt idx="25">
                  <c:v>0.56397524467472659</c:v>
                </c:pt>
                <c:pt idx="26">
                  <c:v>0.56317243384704851</c:v>
                </c:pt>
                <c:pt idx="27">
                  <c:v>0.56389600878798973</c:v>
                </c:pt>
                <c:pt idx="28">
                  <c:v>0.56415163783584832</c:v>
                </c:pt>
                <c:pt idx="29">
                  <c:v>0.56541100890640972</c:v>
                </c:pt>
                <c:pt idx="30">
                  <c:v>0.56655290102389078</c:v>
                </c:pt>
                <c:pt idx="31">
                  <c:v>0.5671157864399452</c:v>
                </c:pt>
                <c:pt idx="32">
                  <c:v>0.56878382227285673</c:v>
                </c:pt>
                <c:pt idx="33">
                  <c:v>0.56971068826483695</c:v>
                </c:pt>
                <c:pt idx="34">
                  <c:v>0.57200367257574691</c:v>
                </c:pt>
                <c:pt idx="35">
                  <c:v>0.5739570164348925</c:v>
                </c:pt>
                <c:pt idx="36">
                  <c:v>0.5761219068922131</c:v>
                </c:pt>
                <c:pt idx="37">
                  <c:v>0.57776697680877653</c:v>
                </c:pt>
                <c:pt idx="38">
                  <c:v>0.58018900462164591</c:v>
                </c:pt>
              </c:numCache>
            </c:numRef>
          </c:val>
          <c:smooth val="0"/>
          <c:extLst>
            <c:ext xmlns:c16="http://schemas.microsoft.com/office/drawing/2014/chart" uri="{C3380CC4-5D6E-409C-BE32-E72D297353CC}">
              <c16:uniqueId val="{00000001-CC83-4698-9187-6C529062862D}"/>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0.557904787887055</c:v>
                </c:pt>
                <c:pt idx="1">
                  <c:v>0.55807168657960549</c:v>
                </c:pt>
                <c:pt idx="2">
                  <c:v>0.56113737387991247</c:v>
                </c:pt>
                <c:pt idx="3">
                  <c:v>0.56558868822623543</c:v>
                </c:pt>
                <c:pt idx="4">
                  <c:v>0.56577204600906239</c:v>
                </c:pt>
                <c:pt idx="5">
                  <c:v>0.56715598847578541</c:v>
                </c:pt>
                <c:pt idx="6">
                  <c:v>0.56777493606138107</c:v>
                </c:pt>
                <c:pt idx="7">
                  <c:v>0.56657075595082396</c:v>
                </c:pt>
                <c:pt idx="8">
                  <c:v>0.56752452541725062</c:v>
                </c:pt>
                <c:pt idx="9">
                  <c:v>0.56621402765665874</c:v>
                </c:pt>
                <c:pt idx="10">
                  <c:v>0.56624242424242421</c:v>
                </c:pt>
                <c:pt idx="11">
                  <c:v>0.56668653158522053</c:v>
                </c:pt>
                <c:pt idx="12">
                  <c:v>0.5683266462119424</c:v>
                </c:pt>
                <c:pt idx="13">
                  <c:v>0.5689897100093545</c:v>
                </c:pt>
                <c:pt idx="14">
                  <c:v>0.57089465078252744</c:v>
                </c:pt>
                <c:pt idx="15">
                  <c:v>0.57005223447475328</c:v>
                </c:pt>
                <c:pt idx="16">
                  <c:v>0.57062081025939959</c:v>
                </c:pt>
                <c:pt idx="17">
                  <c:v>0.5707969818439047</c:v>
                </c:pt>
                <c:pt idx="18">
                  <c:v>0.57002339111137768</c:v>
                </c:pt>
                <c:pt idx="19">
                  <c:v>0.57082568807339451</c:v>
                </c:pt>
                <c:pt idx="20">
                  <c:v>0.57083516898483222</c:v>
                </c:pt>
                <c:pt idx="21">
                  <c:v>0.57176940933711629</c:v>
                </c:pt>
                <c:pt idx="22">
                  <c:v>0.57158807303296988</c:v>
                </c:pt>
                <c:pt idx="23">
                  <c:v>0.57175231620342604</c:v>
                </c:pt>
                <c:pt idx="24">
                  <c:v>0.57161954414811844</c:v>
                </c:pt>
                <c:pt idx="25">
                  <c:v>0.57330371567043614</c:v>
                </c:pt>
                <c:pt idx="26">
                  <c:v>0.57414061970303076</c:v>
                </c:pt>
                <c:pt idx="27">
                  <c:v>0.57534618517512892</c:v>
                </c:pt>
                <c:pt idx="28">
                  <c:v>0.577347323110035</c:v>
                </c:pt>
                <c:pt idx="29">
                  <c:v>0.57886717456111292</c:v>
                </c:pt>
                <c:pt idx="30">
                  <c:v>0.57995707875398317</c:v>
                </c:pt>
                <c:pt idx="31">
                  <c:v>0.58101910828025483</c:v>
                </c:pt>
                <c:pt idx="32">
                  <c:v>0.58205511909215613</c:v>
                </c:pt>
              </c:numCache>
            </c:numRef>
          </c:val>
          <c:smooth val="0"/>
          <c:extLst>
            <c:ext xmlns:c16="http://schemas.microsoft.com/office/drawing/2014/chart" uri="{C3380CC4-5D6E-409C-BE32-E72D297353CC}">
              <c16:uniqueId val="{00000002-CC83-4698-9187-6C529062862D}"/>
            </c:ext>
          </c:extLst>
        </c:ser>
        <c:dLbls>
          <c:showLegendKey val="0"/>
          <c:showVal val="0"/>
          <c:showCatName val="0"/>
          <c:showSerName val="0"/>
          <c:showPercent val="0"/>
          <c:showBubbleSize val="0"/>
        </c:dLbls>
        <c:smooth val="0"/>
        <c:axId val="179050752"/>
        <c:axId val="179056640"/>
      </c:lineChart>
      <c:catAx>
        <c:axId val="179050752"/>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9056640"/>
        <c:crosses val="autoZero"/>
        <c:auto val="1"/>
        <c:lblAlgn val="ctr"/>
        <c:lblOffset val="100"/>
        <c:noMultiLvlLbl val="0"/>
      </c:catAx>
      <c:valAx>
        <c:axId val="179056640"/>
        <c:scaling>
          <c:orientation val="minMax"/>
          <c:max val="0.70000000000000007"/>
          <c:min val="0.5"/>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9050752"/>
        <c:crosses val="autoZero"/>
        <c:crossBetween val="between"/>
        <c:majorUnit val="5.0000000000000024E-2"/>
      </c:valAx>
      <c:spPr>
        <a:noFill/>
        <a:ln w="25340">
          <a:noFill/>
        </a:ln>
      </c:spPr>
    </c:plotArea>
    <c:legend>
      <c:legendPos val="r"/>
      <c:layout>
        <c:manualLayout>
          <c:xMode val="edge"/>
          <c:yMode val="edge"/>
          <c:x val="0.11326623907110948"/>
          <c:y val="0.19083307956671167"/>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0.59703905511161437</c:v>
                </c:pt>
                <c:pt idx="1">
                  <c:v>0.59642199451199551</c:v>
                </c:pt>
                <c:pt idx="2">
                  <c:v>0.59565042068654117</c:v>
                </c:pt>
                <c:pt idx="3">
                  <c:v>0.59569985185326046</c:v>
                </c:pt>
                <c:pt idx="4">
                  <c:v>0.59563788322843791</c:v>
                </c:pt>
                <c:pt idx="5">
                  <c:v>0.5951145487280064</c:v>
                </c:pt>
                <c:pt idx="6">
                  <c:v>0.59451308906859357</c:v>
                </c:pt>
                <c:pt idx="7">
                  <c:v>0.59460174709820657</c:v>
                </c:pt>
                <c:pt idx="8">
                  <c:v>0.59399750994958256</c:v>
                </c:pt>
                <c:pt idx="9">
                  <c:v>0.59458400631606034</c:v>
                </c:pt>
                <c:pt idx="10">
                  <c:v>0.5930218686219505</c:v>
                </c:pt>
                <c:pt idx="11">
                  <c:v>0.59341275691498263</c:v>
                </c:pt>
                <c:pt idx="12">
                  <c:v>0.59238495079206965</c:v>
                </c:pt>
                <c:pt idx="13">
                  <c:v>0.59253219154729242</c:v>
                </c:pt>
                <c:pt idx="14">
                  <c:v>0.59274323575738086</c:v>
                </c:pt>
                <c:pt idx="15">
                  <c:v>0.59288905590866481</c:v>
                </c:pt>
                <c:pt idx="16">
                  <c:v>0.59185188514902853</c:v>
                </c:pt>
                <c:pt idx="17">
                  <c:v>0.59175994097376405</c:v>
                </c:pt>
                <c:pt idx="18">
                  <c:v>0.59038420309418882</c:v>
                </c:pt>
                <c:pt idx="19">
                  <c:v>0.58962338114475954</c:v>
                </c:pt>
                <c:pt idx="20">
                  <c:v>0.58957515448968278</c:v>
                </c:pt>
                <c:pt idx="21">
                  <c:v>0.58998291397646319</c:v>
                </c:pt>
                <c:pt idx="22">
                  <c:v>0.59023382701982097</c:v>
                </c:pt>
                <c:pt idx="23">
                  <c:v>0.59045721343733637</c:v>
                </c:pt>
                <c:pt idx="24">
                  <c:v>0.59096062527945881</c:v>
                </c:pt>
                <c:pt idx="25">
                  <c:v>0.58999765121951453</c:v>
                </c:pt>
                <c:pt idx="26">
                  <c:v>0.59043552265511579</c:v>
                </c:pt>
                <c:pt idx="27">
                  <c:v>0.58956169790645996</c:v>
                </c:pt>
                <c:pt idx="28">
                  <c:v>0.58974935028592979</c:v>
                </c:pt>
                <c:pt idx="29">
                  <c:v>0.58952328237136653</c:v>
                </c:pt>
                <c:pt idx="30">
                  <c:v>0.58934249072223588</c:v>
                </c:pt>
                <c:pt idx="31">
                  <c:v>0.58883156837999062</c:v>
                </c:pt>
                <c:pt idx="32">
                  <c:v>0.58863298945990283</c:v>
                </c:pt>
                <c:pt idx="33">
                  <c:v>0.58776728603853223</c:v>
                </c:pt>
                <c:pt idx="34">
                  <c:v>0.58697040699235714</c:v>
                </c:pt>
                <c:pt idx="35">
                  <c:v>0.58724174644012472</c:v>
                </c:pt>
                <c:pt idx="36">
                  <c:v>0.587112107359824</c:v>
                </c:pt>
                <c:pt idx="37">
                  <c:v>0.58752005294743037</c:v>
                </c:pt>
                <c:pt idx="38">
                  <c:v>0.5874215655688968</c:v>
                </c:pt>
              </c:numCache>
            </c:numRef>
          </c:val>
          <c:smooth val="0"/>
          <c:extLst>
            <c:ext xmlns:c16="http://schemas.microsoft.com/office/drawing/2014/chart" uri="{C3380CC4-5D6E-409C-BE32-E72D297353CC}">
              <c16:uniqueId val="{00000000-1693-478E-8A15-1327D264A9E0}"/>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0.57933085501858739</c:v>
                </c:pt>
                <c:pt idx="1">
                  <c:v>0.57915520767223749</c:v>
                </c:pt>
                <c:pt idx="2">
                  <c:v>0.57883221660057427</c:v>
                </c:pt>
                <c:pt idx="3">
                  <c:v>0.58013680257510725</c:v>
                </c:pt>
                <c:pt idx="4">
                  <c:v>0.58117352979871073</c:v>
                </c:pt>
                <c:pt idx="5">
                  <c:v>0.58149153418637711</c:v>
                </c:pt>
                <c:pt idx="6">
                  <c:v>0.58182869626678657</c:v>
                </c:pt>
                <c:pt idx="7">
                  <c:v>0.58371530430353957</c:v>
                </c:pt>
                <c:pt idx="8">
                  <c:v>0.5839252575670314</c:v>
                </c:pt>
                <c:pt idx="9">
                  <c:v>0.58661719549641755</c:v>
                </c:pt>
                <c:pt idx="10">
                  <c:v>0.58537835586595754</c:v>
                </c:pt>
                <c:pt idx="11">
                  <c:v>0.58819663512092535</c:v>
                </c:pt>
                <c:pt idx="12">
                  <c:v>0.58836320506062201</c:v>
                </c:pt>
                <c:pt idx="13">
                  <c:v>0.59030001960912482</c:v>
                </c:pt>
                <c:pt idx="14">
                  <c:v>0.59239411157024791</c:v>
                </c:pt>
                <c:pt idx="15">
                  <c:v>0.59418353060964746</c:v>
                </c:pt>
                <c:pt idx="16">
                  <c:v>0.59348739495798319</c:v>
                </c:pt>
                <c:pt idx="17">
                  <c:v>0.59422740172694888</c:v>
                </c:pt>
                <c:pt idx="18">
                  <c:v>0.59422501320500032</c:v>
                </c:pt>
                <c:pt idx="19">
                  <c:v>0.59348986738618748</c:v>
                </c:pt>
                <c:pt idx="20">
                  <c:v>0.5949899125756557</c:v>
                </c:pt>
                <c:pt idx="21">
                  <c:v>0.59627773801002149</c:v>
                </c:pt>
                <c:pt idx="22">
                  <c:v>0.59809160305343512</c:v>
                </c:pt>
                <c:pt idx="23">
                  <c:v>0.59962100703844068</c:v>
                </c:pt>
                <c:pt idx="24">
                  <c:v>0.60183734125911914</c:v>
                </c:pt>
                <c:pt idx="25">
                  <c:v>0.60115979381443296</c:v>
                </c:pt>
                <c:pt idx="26">
                  <c:v>0.6018633205880769</c:v>
                </c:pt>
                <c:pt idx="27">
                  <c:v>0.60167418600858835</c:v>
                </c:pt>
                <c:pt idx="28">
                  <c:v>0.60183091600948546</c:v>
                </c:pt>
                <c:pt idx="29">
                  <c:v>0.60176543348701228</c:v>
                </c:pt>
                <c:pt idx="30">
                  <c:v>0.60144885873627318</c:v>
                </c:pt>
                <c:pt idx="31">
                  <c:v>0.60121147965184663</c:v>
                </c:pt>
                <c:pt idx="32">
                  <c:v>0.60139188864890814</c:v>
                </c:pt>
                <c:pt idx="33">
                  <c:v>0.60098702248217872</c:v>
                </c:pt>
                <c:pt idx="34">
                  <c:v>0.6</c:v>
                </c:pt>
                <c:pt idx="35">
                  <c:v>0.60102254527534804</c:v>
                </c:pt>
                <c:pt idx="36">
                  <c:v>0.60172381720096735</c:v>
                </c:pt>
                <c:pt idx="37">
                  <c:v>0.60318645755538958</c:v>
                </c:pt>
                <c:pt idx="38">
                  <c:v>0.60441066533765264</c:v>
                </c:pt>
              </c:numCache>
            </c:numRef>
          </c:val>
          <c:smooth val="0"/>
          <c:extLst>
            <c:ext xmlns:c16="http://schemas.microsoft.com/office/drawing/2014/chart" uri="{C3380CC4-5D6E-409C-BE32-E72D297353CC}">
              <c16:uniqueId val="{00000001-1693-478E-8A15-1327D264A9E0}"/>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0.57933085501858739</c:v>
                </c:pt>
                <c:pt idx="1">
                  <c:v>0.57972239836539141</c:v>
                </c:pt>
                <c:pt idx="2">
                  <c:v>0.57934233865465956</c:v>
                </c:pt>
                <c:pt idx="3">
                  <c:v>0.58058902275769741</c:v>
                </c:pt>
                <c:pt idx="4">
                  <c:v>0.5819408950920647</c:v>
                </c:pt>
                <c:pt idx="5">
                  <c:v>0.58188713202211084</c:v>
                </c:pt>
                <c:pt idx="6">
                  <c:v>0.58328031556177629</c:v>
                </c:pt>
                <c:pt idx="7">
                  <c:v>0.58603538374362529</c:v>
                </c:pt>
                <c:pt idx="8">
                  <c:v>0.58791726912679954</c:v>
                </c:pt>
                <c:pt idx="9">
                  <c:v>0.59082614987730442</c:v>
                </c:pt>
                <c:pt idx="10">
                  <c:v>0.59201051906580682</c:v>
                </c:pt>
                <c:pt idx="11">
                  <c:v>0.59282929635073811</c:v>
                </c:pt>
                <c:pt idx="12">
                  <c:v>0.59513572482833854</c:v>
                </c:pt>
                <c:pt idx="13">
                  <c:v>0.59809803420985452</c:v>
                </c:pt>
                <c:pt idx="14">
                  <c:v>0.59906376518218618</c:v>
                </c:pt>
                <c:pt idx="15">
                  <c:v>0.6016062756817333</c:v>
                </c:pt>
                <c:pt idx="16">
                  <c:v>0.60236722306525037</c:v>
                </c:pt>
                <c:pt idx="17">
                  <c:v>0.60310408151175876</c:v>
                </c:pt>
                <c:pt idx="18">
                  <c:v>0.6046471402214022</c:v>
                </c:pt>
                <c:pt idx="19">
                  <c:v>0.60467994150073123</c:v>
                </c:pt>
                <c:pt idx="20">
                  <c:v>0.60580821917808214</c:v>
                </c:pt>
                <c:pt idx="21">
                  <c:v>0.6066896106689611</c:v>
                </c:pt>
                <c:pt idx="22">
                  <c:v>0.60801402986661002</c:v>
                </c:pt>
                <c:pt idx="23">
                  <c:v>0.60849676639150319</c:v>
                </c:pt>
                <c:pt idx="24">
                  <c:v>0.60990047145102144</c:v>
                </c:pt>
                <c:pt idx="25">
                  <c:v>0.60944496511506818</c:v>
                </c:pt>
                <c:pt idx="26">
                  <c:v>0.60998643431075861</c:v>
                </c:pt>
                <c:pt idx="27">
                  <c:v>0.61073083403538331</c:v>
                </c:pt>
                <c:pt idx="28">
                  <c:v>0.61057358208157375</c:v>
                </c:pt>
                <c:pt idx="29">
                  <c:v>0.61178839664743656</c:v>
                </c:pt>
                <c:pt idx="30">
                  <c:v>0.61193197658210208</c:v>
                </c:pt>
                <c:pt idx="31">
                  <c:v>0.612688098495212</c:v>
                </c:pt>
                <c:pt idx="32">
                  <c:v>0.61280788177339907</c:v>
                </c:pt>
              </c:numCache>
            </c:numRef>
          </c:val>
          <c:smooth val="0"/>
          <c:extLst>
            <c:ext xmlns:c16="http://schemas.microsoft.com/office/drawing/2014/chart" uri="{C3380CC4-5D6E-409C-BE32-E72D297353CC}">
              <c16:uniqueId val="{00000002-1693-478E-8A15-1327D264A9E0}"/>
            </c:ext>
          </c:extLst>
        </c:ser>
        <c:dLbls>
          <c:showLegendKey val="0"/>
          <c:showVal val="0"/>
          <c:showCatName val="0"/>
          <c:showSerName val="0"/>
          <c:showPercent val="0"/>
          <c:showBubbleSize val="0"/>
        </c:dLbls>
        <c:smooth val="0"/>
        <c:axId val="179104000"/>
        <c:axId val="179175424"/>
      </c:lineChart>
      <c:catAx>
        <c:axId val="179104000"/>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9175424"/>
        <c:crosses val="autoZero"/>
        <c:auto val="1"/>
        <c:lblAlgn val="ctr"/>
        <c:lblOffset val="100"/>
        <c:noMultiLvlLbl val="0"/>
      </c:catAx>
      <c:valAx>
        <c:axId val="179175424"/>
        <c:scaling>
          <c:orientation val="minMax"/>
          <c:max val="0.70000000000000007"/>
          <c:min val="0.5"/>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9104000"/>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0.65251907583081936</c:v>
                </c:pt>
                <c:pt idx="1">
                  <c:v>0.64910436956254758</c:v>
                </c:pt>
                <c:pt idx="2">
                  <c:v>0.64560929458901406</c:v>
                </c:pt>
                <c:pt idx="3">
                  <c:v>0.6413248240085615</c:v>
                </c:pt>
                <c:pt idx="4">
                  <c:v>0.63745312417812727</c:v>
                </c:pt>
                <c:pt idx="5">
                  <c:v>0.63470789971920827</c:v>
                </c:pt>
                <c:pt idx="6">
                  <c:v>0.63081511661268175</c:v>
                </c:pt>
                <c:pt idx="7">
                  <c:v>0.62724231012157161</c:v>
                </c:pt>
                <c:pt idx="8">
                  <c:v>0.62317619249849876</c:v>
                </c:pt>
                <c:pt idx="9">
                  <c:v>0.61961580353448409</c:v>
                </c:pt>
                <c:pt idx="10">
                  <c:v>0.61514400555100834</c:v>
                </c:pt>
                <c:pt idx="11">
                  <c:v>0.60960662002413946</c:v>
                </c:pt>
                <c:pt idx="12">
                  <c:v>0.60432970171981537</c:v>
                </c:pt>
                <c:pt idx="13">
                  <c:v>0.60082986565239793</c:v>
                </c:pt>
                <c:pt idx="14">
                  <c:v>0.59617234496042759</c:v>
                </c:pt>
                <c:pt idx="15">
                  <c:v>0.59286180088122076</c:v>
                </c:pt>
                <c:pt idx="16">
                  <c:v>0.59261765073207895</c:v>
                </c:pt>
                <c:pt idx="17">
                  <c:v>0.59082317006040908</c:v>
                </c:pt>
                <c:pt idx="18">
                  <c:v>0.5869369334990272</c:v>
                </c:pt>
                <c:pt idx="19">
                  <c:v>0.58423402459180285</c:v>
                </c:pt>
                <c:pt idx="20">
                  <c:v>0.58011760469651652</c:v>
                </c:pt>
                <c:pt idx="21">
                  <c:v>0.57825328853439018</c:v>
                </c:pt>
                <c:pt idx="22">
                  <c:v>0.57733554548243804</c:v>
                </c:pt>
                <c:pt idx="23">
                  <c:v>0.57730981864186914</c:v>
                </c:pt>
                <c:pt idx="24">
                  <c:v>0.57777688994366283</c:v>
                </c:pt>
                <c:pt idx="25">
                  <c:v>0.57830243303596096</c:v>
                </c:pt>
                <c:pt idx="26">
                  <c:v>0.57733588768697364</c:v>
                </c:pt>
                <c:pt idx="27">
                  <c:v>0.57758805064234398</c:v>
                </c:pt>
                <c:pt idx="28">
                  <c:v>0.57694640302818978</c:v>
                </c:pt>
                <c:pt idx="29">
                  <c:v>0.57675281573487702</c:v>
                </c:pt>
                <c:pt idx="30">
                  <c:v>0.57707028916618652</c:v>
                </c:pt>
                <c:pt idx="31">
                  <c:v>0.57807911987101124</c:v>
                </c:pt>
                <c:pt idx="32">
                  <c:v>0.57905148790705485</c:v>
                </c:pt>
                <c:pt idx="33">
                  <c:v>0.58025997259707629</c:v>
                </c:pt>
                <c:pt idx="34">
                  <c:v>0.58169224278865572</c:v>
                </c:pt>
                <c:pt idx="35">
                  <c:v>0.58189101347643046</c:v>
                </c:pt>
                <c:pt idx="36">
                  <c:v>0.58283418442207136</c:v>
                </c:pt>
                <c:pt idx="37">
                  <c:v>0.58262808924948761</c:v>
                </c:pt>
                <c:pt idx="38">
                  <c:v>0.58313880902039472</c:v>
                </c:pt>
              </c:numCache>
            </c:numRef>
          </c:val>
          <c:smooth val="0"/>
          <c:extLst>
            <c:ext xmlns:c16="http://schemas.microsoft.com/office/drawing/2014/chart" uri="{C3380CC4-5D6E-409C-BE32-E72D297353CC}">
              <c16:uniqueId val="{00000000-9C27-4317-80A0-D419ED71A581}"/>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0.64732735723771584</c:v>
                </c:pt>
                <c:pt idx="1">
                  <c:v>0.64742045360139566</c:v>
                </c:pt>
                <c:pt idx="2">
                  <c:v>0.64646879881608155</c:v>
                </c:pt>
                <c:pt idx="3">
                  <c:v>0.64343891402714937</c:v>
                </c:pt>
                <c:pt idx="4">
                  <c:v>0.64143588077641522</c:v>
                </c:pt>
                <c:pt idx="5">
                  <c:v>0.64301819938798521</c:v>
                </c:pt>
                <c:pt idx="6">
                  <c:v>0.64069573504884436</c:v>
                </c:pt>
                <c:pt idx="7">
                  <c:v>0.63893212951432132</c:v>
                </c:pt>
                <c:pt idx="8">
                  <c:v>0.63576158940397354</c:v>
                </c:pt>
                <c:pt idx="9">
                  <c:v>0.63392393802357472</c:v>
                </c:pt>
                <c:pt idx="10">
                  <c:v>0.63131166569936159</c:v>
                </c:pt>
                <c:pt idx="11">
                  <c:v>0.62744963212542115</c:v>
                </c:pt>
                <c:pt idx="12">
                  <c:v>0.6244015957446809</c:v>
                </c:pt>
                <c:pt idx="13">
                  <c:v>0.62467750257997934</c:v>
                </c:pt>
                <c:pt idx="14">
                  <c:v>0.62392350557244169</c:v>
                </c:pt>
                <c:pt idx="15">
                  <c:v>0.62520193861066231</c:v>
                </c:pt>
                <c:pt idx="16">
                  <c:v>0.62817180344101997</c:v>
                </c:pt>
                <c:pt idx="17">
                  <c:v>0.62995026708417756</c:v>
                </c:pt>
                <c:pt idx="18">
                  <c:v>0.63151753362402507</c:v>
                </c:pt>
                <c:pt idx="19">
                  <c:v>0.63494300772153445</c:v>
                </c:pt>
                <c:pt idx="20">
                  <c:v>0.63589179947487329</c:v>
                </c:pt>
                <c:pt idx="21">
                  <c:v>0.63681530244690099</c:v>
                </c:pt>
                <c:pt idx="22">
                  <c:v>0.63721594436855833</c:v>
                </c:pt>
                <c:pt idx="23">
                  <c:v>0.6389316265616346</c:v>
                </c:pt>
                <c:pt idx="24">
                  <c:v>0.64062120844455228</c:v>
                </c:pt>
                <c:pt idx="25">
                  <c:v>0.64255496633498188</c:v>
                </c:pt>
                <c:pt idx="26">
                  <c:v>0.6428571428571429</c:v>
                </c:pt>
                <c:pt idx="27">
                  <c:v>0.64433164128595599</c:v>
                </c:pt>
                <c:pt idx="28">
                  <c:v>0.64508708511337498</c:v>
                </c:pt>
                <c:pt idx="29">
                  <c:v>0.64571978198140434</c:v>
                </c:pt>
                <c:pt idx="30">
                  <c:v>0.64732259241879142</c:v>
                </c:pt>
                <c:pt idx="31">
                  <c:v>0.64919189852700487</c:v>
                </c:pt>
                <c:pt idx="32">
                  <c:v>0.65140951803576841</c:v>
                </c:pt>
                <c:pt idx="33">
                  <c:v>0.65369026770077554</c:v>
                </c:pt>
                <c:pt idx="34">
                  <c:v>0.65675137020428498</c:v>
                </c:pt>
                <c:pt idx="35">
                  <c:v>0.65765008406685788</c:v>
                </c:pt>
                <c:pt idx="36">
                  <c:v>0.65985553136750441</c:v>
                </c:pt>
                <c:pt idx="37">
                  <c:v>0.66137144564513717</c:v>
                </c:pt>
                <c:pt idx="38">
                  <c:v>0.66278718258766622</c:v>
                </c:pt>
              </c:numCache>
            </c:numRef>
          </c:val>
          <c:smooth val="0"/>
          <c:extLst>
            <c:ext xmlns:c16="http://schemas.microsoft.com/office/drawing/2014/chart" uri="{C3380CC4-5D6E-409C-BE32-E72D297353CC}">
              <c16:uniqueId val="{00000001-9C27-4317-80A0-D419ED71A581}"/>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0.64732735723771584</c:v>
                </c:pt>
                <c:pt idx="1">
                  <c:v>0.64959680771468953</c:v>
                </c:pt>
                <c:pt idx="2">
                  <c:v>0.64983941365395703</c:v>
                </c:pt>
                <c:pt idx="3">
                  <c:v>0.64798483474820734</c:v>
                </c:pt>
                <c:pt idx="4">
                  <c:v>0.64694873881204229</c:v>
                </c:pt>
                <c:pt idx="5">
                  <c:v>0.64912564766839376</c:v>
                </c:pt>
                <c:pt idx="6">
                  <c:v>0.64723706243521251</c:v>
                </c:pt>
                <c:pt idx="7">
                  <c:v>0.64553404122423486</c:v>
                </c:pt>
                <c:pt idx="8">
                  <c:v>0.64384498480243157</c:v>
                </c:pt>
                <c:pt idx="9">
                  <c:v>0.64354684160094344</c:v>
                </c:pt>
                <c:pt idx="10">
                  <c:v>0.64411764705882357</c:v>
                </c:pt>
                <c:pt idx="11">
                  <c:v>0.64228416043507819</c:v>
                </c:pt>
                <c:pt idx="12">
                  <c:v>0.64014135200575883</c:v>
                </c:pt>
                <c:pt idx="13">
                  <c:v>0.64019882742798884</c:v>
                </c:pt>
                <c:pt idx="14">
                  <c:v>0.64114235829643951</c:v>
                </c:pt>
                <c:pt idx="15">
                  <c:v>0.64076659319128093</c:v>
                </c:pt>
                <c:pt idx="16">
                  <c:v>0.64329508893340615</c:v>
                </c:pt>
                <c:pt idx="17">
                  <c:v>0.64585089726604838</c:v>
                </c:pt>
                <c:pt idx="18">
                  <c:v>0.64773000240211387</c:v>
                </c:pt>
                <c:pt idx="19">
                  <c:v>0.6502581342297995</c:v>
                </c:pt>
                <c:pt idx="20">
                  <c:v>0.651685393258427</c:v>
                </c:pt>
                <c:pt idx="21">
                  <c:v>0.65217919883289766</c:v>
                </c:pt>
                <c:pt idx="22">
                  <c:v>0.65371261497228483</c:v>
                </c:pt>
                <c:pt idx="23">
                  <c:v>0.65584376322631355</c:v>
                </c:pt>
                <c:pt idx="24">
                  <c:v>0.65700280949249801</c:v>
                </c:pt>
                <c:pt idx="25">
                  <c:v>0.65943219145940868</c:v>
                </c:pt>
                <c:pt idx="26">
                  <c:v>0.66066529492455417</c:v>
                </c:pt>
                <c:pt idx="27">
                  <c:v>0.66189574515482286</c:v>
                </c:pt>
                <c:pt idx="28">
                  <c:v>0.66368950958103279</c:v>
                </c:pt>
                <c:pt idx="29">
                  <c:v>0.66485717297354274</c:v>
                </c:pt>
                <c:pt idx="30">
                  <c:v>0.66664955861219466</c:v>
                </c:pt>
                <c:pt idx="31">
                  <c:v>0.66844355041488557</c:v>
                </c:pt>
                <c:pt idx="32">
                  <c:v>0.67050473968931457</c:v>
                </c:pt>
              </c:numCache>
            </c:numRef>
          </c:val>
          <c:smooth val="0"/>
          <c:extLst>
            <c:ext xmlns:c16="http://schemas.microsoft.com/office/drawing/2014/chart" uri="{C3380CC4-5D6E-409C-BE32-E72D297353CC}">
              <c16:uniqueId val="{00000002-9C27-4317-80A0-D419ED71A581}"/>
            </c:ext>
          </c:extLst>
        </c:ser>
        <c:dLbls>
          <c:showLegendKey val="0"/>
          <c:showVal val="0"/>
          <c:showCatName val="0"/>
          <c:showSerName val="0"/>
          <c:showPercent val="0"/>
          <c:showBubbleSize val="0"/>
        </c:dLbls>
        <c:smooth val="0"/>
        <c:axId val="179317760"/>
        <c:axId val="179344128"/>
      </c:lineChart>
      <c:catAx>
        <c:axId val="179317760"/>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9344128"/>
        <c:crosses val="autoZero"/>
        <c:auto val="1"/>
        <c:lblAlgn val="ctr"/>
        <c:lblOffset val="100"/>
        <c:noMultiLvlLbl val="0"/>
      </c:catAx>
      <c:valAx>
        <c:axId val="179344128"/>
        <c:scaling>
          <c:orientation val="minMax"/>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9317760"/>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0.69290422896475856</c:v>
                </c:pt>
                <c:pt idx="1">
                  <c:v>0.69860298481641381</c:v>
                </c:pt>
                <c:pt idx="2">
                  <c:v>0.70424080537255429</c:v>
                </c:pt>
                <c:pt idx="3">
                  <c:v>0.70906916974500611</c:v>
                </c:pt>
                <c:pt idx="4">
                  <c:v>0.71312060204100791</c:v>
                </c:pt>
                <c:pt idx="5">
                  <c:v>0.71690807117566402</c:v>
                </c:pt>
                <c:pt idx="6">
                  <c:v>0.72085573319391016</c:v>
                </c:pt>
                <c:pt idx="7">
                  <c:v>0.72397223426983526</c:v>
                </c:pt>
                <c:pt idx="8">
                  <c:v>0.72769587609633735</c:v>
                </c:pt>
                <c:pt idx="9">
                  <c:v>0.73083965713648535</c:v>
                </c:pt>
                <c:pt idx="10">
                  <c:v>0.7331124015742615</c:v>
                </c:pt>
                <c:pt idx="11">
                  <c:v>0.736665137717331</c:v>
                </c:pt>
                <c:pt idx="12">
                  <c:v>0.73922221163493629</c:v>
                </c:pt>
                <c:pt idx="13">
                  <c:v>0.74101207835510485</c:v>
                </c:pt>
                <c:pt idx="14">
                  <c:v>0.74339627737855563</c:v>
                </c:pt>
                <c:pt idx="15">
                  <c:v>0.74452164737536786</c:v>
                </c:pt>
                <c:pt idx="16">
                  <c:v>0.74476649942459139</c:v>
                </c:pt>
                <c:pt idx="17">
                  <c:v>0.74542128376766525</c:v>
                </c:pt>
                <c:pt idx="18">
                  <c:v>0.74657476104087361</c:v>
                </c:pt>
                <c:pt idx="19">
                  <c:v>0.74642168888455629</c:v>
                </c:pt>
                <c:pt idx="20">
                  <c:v>0.7459640411212648</c:v>
                </c:pt>
                <c:pt idx="21">
                  <c:v>0.74454354002455125</c:v>
                </c:pt>
                <c:pt idx="22">
                  <c:v>0.74348077088065423</c:v>
                </c:pt>
                <c:pt idx="23">
                  <c:v>0.74404211960004396</c:v>
                </c:pt>
                <c:pt idx="24">
                  <c:v>0.74420792489235121</c:v>
                </c:pt>
                <c:pt idx="25">
                  <c:v>0.74524543324381687</c:v>
                </c:pt>
                <c:pt idx="26">
                  <c:v>0.74998167235444602</c:v>
                </c:pt>
                <c:pt idx="27">
                  <c:v>0.75220471434415703</c:v>
                </c:pt>
                <c:pt idx="28">
                  <c:v>0.75300081526529916</c:v>
                </c:pt>
                <c:pt idx="29">
                  <c:v>0.75398996182921174</c:v>
                </c:pt>
                <c:pt idx="30">
                  <c:v>0.75357117197758583</c:v>
                </c:pt>
                <c:pt idx="31">
                  <c:v>0.75118244192537609</c:v>
                </c:pt>
                <c:pt idx="32">
                  <c:v>0.74985228838944962</c:v>
                </c:pt>
                <c:pt idx="33">
                  <c:v>0.74942681113160359</c:v>
                </c:pt>
                <c:pt idx="34">
                  <c:v>0.74914493528316939</c:v>
                </c:pt>
                <c:pt idx="35">
                  <c:v>0.74950083832819614</c:v>
                </c:pt>
                <c:pt idx="36">
                  <c:v>0.74909478045307876</c:v>
                </c:pt>
                <c:pt idx="37">
                  <c:v>0.74962865844210425</c:v>
                </c:pt>
                <c:pt idx="38">
                  <c:v>0.74925243418204857</c:v>
                </c:pt>
              </c:numCache>
            </c:numRef>
          </c:val>
          <c:smooth val="0"/>
          <c:extLst>
            <c:ext xmlns:c16="http://schemas.microsoft.com/office/drawing/2014/chart" uri="{C3380CC4-5D6E-409C-BE32-E72D297353CC}">
              <c16:uniqueId val="{00000000-C10E-40E7-8A04-965622AFA686}"/>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0.74964572508266414</c:v>
                </c:pt>
                <c:pt idx="1">
                  <c:v>0.7483621899859616</c:v>
                </c:pt>
                <c:pt idx="2">
                  <c:v>0.74869762174405441</c:v>
                </c:pt>
                <c:pt idx="3">
                  <c:v>0.74819984490971525</c:v>
                </c:pt>
                <c:pt idx="4">
                  <c:v>0.74670213945238884</c:v>
                </c:pt>
                <c:pt idx="5">
                  <c:v>0.74503237329761107</c:v>
                </c:pt>
                <c:pt idx="6">
                  <c:v>0.74508489722966931</c:v>
                </c:pt>
                <c:pt idx="7">
                  <c:v>0.74364665408944619</c:v>
                </c:pt>
                <c:pt idx="8">
                  <c:v>0.74352786309784991</c:v>
                </c:pt>
                <c:pt idx="9">
                  <c:v>0.74313788315710771</c:v>
                </c:pt>
                <c:pt idx="10">
                  <c:v>0.74279050042408823</c:v>
                </c:pt>
                <c:pt idx="11">
                  <c:v>0.74250182882223847</c:v>
                </c:pt>
                <c:pt idx="12">
                  <c:v>0.74115822130299902</c:v>
                </c:pt>
                <c:pt idx="13">
                  <c:v>0.73853678418585689</c:v>
                </c:pt>
                <c:pt idx="14">
                  <c:v>0.73637820512820518</c:v>
                </c:pt>
                <c:pt idx="15">
                  <c:v>0.73471205224619041</c:v>
                </c:pt>
                <c:pt idx="16">
                  <c:v>0.73207510458215774</c:v>
                </c:pt>
                <c:pt idx="17">
                  <c:v>0.73012116622491485</c:v>
                </c:pt>
                <c:pt idx="18">
                  <c:v>0.72741390335251666</c:v>
                </c:pt>
                <c:pt idx="19">
                  <c:v>0.72508408567888116</c:v>
                </c:pt>
                <c:pt idx="20">
                  <c:v>0.72249828649760106</c:v>
                </c:pt>
                <c:pt idx="21">
                  <c:v>0.71883054123711343</c:v>
                </c:pt>
                <c:pt idx="22">
                  <c:v>0.71610956360259981</c:v>
                </c:pt>
                <c:pt idx="23">
                  <c:v>0.71566789169729239</c:v>
                </c:pt>
                <c:pt idx="24">
                  <c:v>0.71508256880733945</c:v>
                </c:pt>
                <c:pt idx="25">
                  <c:v>0.71617731721358668</c:v>
                </c:pt>
                <c:pt idx="26">
                  <c:v>0.71885281075668717</c:v>
                </c:pt>
                <c:pt idx="27">
                  <c:v>0.72022121384004534</c:v>
                </c:pt>
                <c:pt idx="28">
                  <c:v>0.7213775546283856</c:v>
                </c:pt>
                <c:pt idx="29">
                  <c:v>0.72354804646251325</c:v>
                </c:pt>
                <c:pt idx="30">
                  <c:v>0.72390619530976552</c:v>
                </c:pt>
                <c:pt idx="31">
                  <c:v>0.72316184275705897</c:v>
                </c:pt>
                <c:pt idx="32">
                  <c:v>0.72226526730999507</c:v>
                </c:pt>
                <c:pt idx="33">
                  <c:v>0.72230335906530352</c:v>
                </c:pt>
                <c:pt idx="34">
                  <c:v>0.72227157794027197</c:v>
                </c:pt>
                <c:pt idx="35">
                  <c:v>0.72305118768818999</c:v>
                </c:pt>
                <c:pt idx="36">
                  <c:v>0.72277034921459171</c:v>
                </c:pt>
                <c:pt idx="37">
                  <c:v>0.72308178086517205</c:v>
                </c:pt>
                <c:pt idx="38">
                  <c:v>0.72306278713629402</c:v>
                </c:pt>
              </c:numCache>
            </c:numRef>
          </c:val>
          <c:smooth val="0"/>
          <c:extLst>
            <c:ext xmlns:c16="http://schemas.microsoft.com/office/drawing/2014/chart" uri="{C3380CC4-5D6E-409C-BE32-E72D297353CC}">
              <c16:uniqueId val="{00000001-C10E-40E7-8A04-965622AFA686}"/>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0.74964572508266414</c:v>
                </c:pt>
                <c:pt idx="1">
                  <c:v>0.74727592267135323</c:v>
                </c:pt>
                <c:pt idx="2">
                  <c:v>0.74692762858443329</c:v>
                </c:pt>
                <c:pt idx="3">
                  <c:v>0.74587789661319071</c:v>
                </c:pt>
                <c:pt idx="4">
                  <c:v>0.74265937255777603</c:v>
                </c:pt>
                <c:pt idx="5">
                  <c:v>0.73951088175903079</c:v>
                </c:pt>
                <c:pt idx="6">
                  <c:v>0.73887574631069053</c:v>
                </c:pt>
                <c:pt idx="7">
                  <c:v>0.73616401523638808</c:v>
                </c:pt>
                <c:pt idx="8">
                  <c:v>0.73525832503595534</c:v>
                </c:pt>
                <c:pt idx="9">
                  <c:v>0.73209836420756147</c:v>
                </c:pt>
                <c:pt idx="10">
                  <c:v>0.73016382910375843</c:v>
                </c:pt>
                <c:pt idx="11">
                  <c:v>0.72918427726120039</c:v>
                </c:pt>
                <c:pt idx="12">
                  <c:v>0.7273763864413807</c:v>
                </c:pt>
                <c:pt idx="13">
                  <c:v>0.72463029066802653</c:v>
                </c:pt>
                <c:pt idx="14">
                  <c:v>0.72286143071535769</c:v>
                </c:pt>
                <c:pt idx="15">
                  <c:v>0.72172795571372084</c:v>
                </c:pt>
                <c:pt idx="16">
                  <c:v>0.71917808219178081</c:v>
                </c:pt>
                <c:pt idx="17">
                  <c:v>0.71607593752922472</c:v>
                </c:pt>
                <c:pt idx="18">
                  <c:v>0.71339479392624727</c:v>
                </c:pt>
                <c:pt idx="19">
                  <c:v>0.71099677334961198</c:v>
                </c:pt>
                <c:pt idx="20">
                  <c:v>0.70949484710255106</c:v>
                </c:pt>
                <c:pt idx="21">
                  <c:v>0.706519143516676</c:v>
                </c:pt>
                <c:pt idx="22">
                  <c:v>0.70402320787846395</c:v>
                </c:pt>
                <c:pt idx="23">
                  <c:v>0.7030658451488383</c:v>
                </c:pt>
                <c:pt idx="24">
                  <c:v>0.70296167247386765</c:v>
                </c:pt>
                <c:pt idx="25">
                  <c:v>0.70243102587866257</c:v>
                </c:pt>
                <c:pt idx="26">
                  <c:v>0.70392599915266207</c:v>
                </c:pt>
                <c:pt idx="27">
                  <c:v>0.70553608969866854</c:v>
                </c:pt>
                <c:pt idx="28">
                  <c:v>0.70657637531415807</c:v>
                </c:pt>
                <c:pt idx="29">
                  <c:v>0.7077876845918083</c:v>
                </c:pt>
                <c:pt idx="30">
                  <c:v>0.70816877987944293</c:v>
                </c:pt>
                <c:pt idx="31">
                  <c:v>0.70691709299880856</c:v>
                </c:pt>
                <c:pt idx="32">
                  <c:v>0.70668065757257781</c:v>
                </c:pt>
              </c:numCache>
            </c:numRef>
          </c:val>
          <c:smooth val="0"/>
          <c:extLst>
            <c:ext xmlns:c16="http://schemas.microsoft.com/office/drawing/2014/chart" uri="{C3380CC4-5D6E-409C-BE32-E72D297353CC}">
              <c16:uniqueId val="{00000002-C10E-40E7-8A04-965622AFA686}"/>
            </c:ext>
          </c:extLst>
        </c:ser>
        <c:dLbls>
          <c:showLegendKey val="0"/>
          <c:showVal val="0"/>
          <c:showCatName val="0"/>
          <c:showSerName val="0"/>
          <c:showPercent val="0"/>
          <c:showBubbleSize val="0"/>
        </c:dLbls>
        <c:smooth val="0"/>
        <c:axId val="179440640"/>
        <c:axId val="179462912"/>
      </c:lineChart>
      <c:catAx>
        <c:axId val="179440640"/>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9462912"/>
        <c:crosses val="autoZero"/>
        <c:auto val="1"/>
        <c:lblAlgn val="ctr"/>
        <c:lblOffset val="100"/>
        <c:noMultiLvlLbl val="0"/>
      </c:catAx>
      <c:valAx>
        <c:axId val="179462912"/>
        <c:scaling>
          <c:orientation val="minMax"/>
          <c:min val="0.60000000000000009"/>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9440640"/>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0.81596810466412928</c:v>
                </c:pt>
                <c:pt idx="1">
                  <c:v>0.81970567168077779</c:v>
                </c:pt>
                <c:pt idx="2">
                  <c:v>0.82367121718392766</c:v>
                </c:pt>
                <c:pt idx="3">
                  <c:v>0.82728885826590748</c:v>
                </c:pt>
                <c:pt idx="4">
                  <c:v>0.83026808333438507</c:v>
                </c:pt>
                <c:pt idx="5">
                  <c:v>0.83296823676040033</c:v>
                </c:pt>
                <c:pt idx="6">
                  <c:v>0.83552585339302865</c:v>
                </c:pt>
                <c:pt idx="7">
                  <c:v>0.83720405131539977</c:v>
                </c:pt>
                <c:pt idx="8">
                  <c:v>0.84015199632189086</c:v>
                </c:pt>
                <c:pt idx="9">
                  <c:v>0.84343415907119723</c:v>
                </c:pt>
                <c:pt idx="10">
                  <c:v>0.84766608688148493</c:v>
                </c:pt>
                <c:pt idx="11">
                  <c:v>0.85063828120799312</c:v>
                </c:pt>
                <c:pt idx="12">
                  <c:v>0.853949351764131</c:v>
                </c:pt>
                <c:pt idx="13">
                  <c:v>0.85655227795819289</c:v>
                </c:pt>
                <c:pt idx="14">
                  <c:v>0.85878387255923827</c:v>
                </c:pt>
                <c:pt idx="15">
                  <c:v>0.86111695632690444</c:v>
                </c:pt>
                <c:pt idx="16">
                  <c:v>0.86350298732787889</c:v>
                </c:pt>
                <c:pt idx="17">
                  <c:v>0.86544908587106117</c:v>
                </c:pt>
                <c:pt idx="18">
                  <c:v>0.86813583685414575</c:v>
                </c:pt>
                <c:pt idx="19">
                  <c:v>0.86976589659973635</c:v>
                </c:pt>
                <c:pt idx="20">
                  <c:v>0.87219887979929034</c:v>
                </c:pt>
                <c:pt idx="21">
                  <c:v>0.87274490982284436</c:v>
                </c:pt>
                <c:pt idx="22">
                  <c:v>0.87379837263965199</c:v>
                </c:pt>
                <c:pt idx="23">
                  <c:v>0.8736806910669187</c:v>
                </c:pt>
                <c:pt idx="24">
                  <c:v>0.87378323406175762</c:v>
                </c:pt>
                <c:pt idx="25">
                  <c:v>0.87377682261622158</c:v>
                </c:pt>
                <c:pt idx="26">
                  <c:v>0.87412032369806003</c:v>
                </c:pt>
                <c:pt idx="27">
                  <c:v>0.87443018791457905</c:v>
                </c:pt>
                <c:pt idx="28">
                  <c:v>0.87497470110870612</c:v>
                </c:pt>
                <c:pt idx="29">
                  <c:v>0.87481233362659194</c:v>
                </c:pt>
                <c:pt idx="30">
                  <c:v>0.87450333766012911</c:v>
                </c:pt>
                <c:pt idx="31">
                  <c:v>0.87356866050502446</c:v>
                </c:pt>
                <c:pt idx="32">
                  <c:v>0.87332764603875523</c:v>
                </c:pt>
                <c:pt idx="33">
                  <c:v>0.87356705516249777</c:v>
                </c:pt>
                <c:pt idx="34">
                  <c:v>0.8737996380035512</c:v>
                </c:pt>
                <c:pt idx="35">
                  <c:v>0.8743496701923138</c:v>
                </c:pt>
                <c:pt idx="36">
                  <c:v>0.87689749393296046</c:v>
                </c:pt>
                <c:pt idx="37">
                  <c:v>0.87827751060055503</c:v>
                </c:pt>
                <c:pt idx="38">
                  <c:v>0.87909175810408291</c:v>
                </c:pt>
              </c:numCache>
            </c:numRef>
          </c:val>
          <c:smooth val="0"/>
          <c:extLst>
            <c:ext xmlns:c16="http://schemas.microsoft.com/office/drawing/2014/chart" uri="{C3380CC4-5D6E-409C-BE32-E72D297353CC}">
              <c16:uniqueId val="{00000000-5D88-4CDF-B41E-6197592319B7}"/>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0.84283121597096189</c:v>
                </c:pt>
                <c:pt idx="1">
                  <c:v>0.84460694698354666</c:v>
                </c:pt>
                <c:pt idx="2">
                  <c:v>0.84592482322292517</c:v>
                </c:pt>
                <c:pt idx="3">
                  <c:v>0.84661206254653765</c:v>
                </c:pt>
                <c:pt idx="4">
                  <c:v>0.84729586426299042</c:v>
                </c:pt>
                <c:pt idx="5">
                  <c:v>0.84832567301378858</c:v>
                </c:pt>
                <c:pt idx="6">
                  <c:v>0.84959093769666461</c:v>
                </c:pt>
                <c:pt idx="7">
                  <c:v>0.84794437726723093</c:v>
                </c:pt>
                <c:pt idx="8">
                  <c:v>0.85074183976261131</c:v>
                </c:pt>
                <c:pt idx="9">
                  <c:v>0.85030461270670143</c:v>
                </c:pt>
                <c:pt idx="10">
                  <c:v>0.85079188663517646</c:v>
                </c:pt>
                <c:pt idx="11">
                  <c:v>0.8493555316863588</c:v>
                </c:pt>
                <c:pt idx="12">
                  <c:v>0.84708355228586441</c:v>
                </c:pt>
                <c:pt idx="13">
                  <c:v>0.84412287382584417</c:v>
                </c:pt>
                <c:pt idx="14">
                  <c:v>0.84203917629331992</c:v>
                </c:pt>
                <c:pt idx="15">
                  <c:v>0.83958793230316409</c:v>
                </c:pt>
                <c:pt idx="16">
                  <c:v>0.83874764595103579</c:v>
                </c:pt>
                <c:pt idx="17">
                  <c:v>0.83715071003206598</c:v>
                </c:pt>
                <c:pt idx="18">
                  <c:v>0.83636767317939609</c:v>
                </c:pt>
                <c:pt idx="19">
                  <c:v>0.83408456750375615</c:v>
                </c:pt>
                <c:pt idx="20">
                  <c:v>0.83322910152178442</c:v>
                </c:pt>
                <c:pt idx="21">
                  <c:v>0.83165119095680262</c:v>
                </c:pt>
                <c:pt idx="22">
                  <c:v>0.83011883888564197</c:v>
                </c:pt>
                <c:pt idx="23">
                  <c:v>0.82817804602036971</c:v>
                </c:pt>
                <c:pt idx="24">
                  <c:v>0.82625341841385602</c:v>
                </c:pt>
                <c:pt idx="25">
                  <c:v>0.82471111111111106</c:v>
                </c:pt>
                <c:pt idx="26">
                  <c:v>0.82338861343819458</c:v>
                </c:pt>
                <c:pt idx="27">
                  <c:v>0.82168517308948397</c:v>
                </c:pt>
                <c:pt idx="28">
                  <c:v>0.82046122891193318</c:v>
                </c:pt>
                <c:pt idx="29">
                  <c:v>0.81873156342182896</c:v>
                </c:pt>
                <c:pt idx="30">
                  <c:v>0.81765618389507821</c:v>
                </c:pt>
                <c:pt idx="31">
                  <c:v>0.81574823713763389</c:v>
                </c:pt>
                <c:pt idx="32">
                  <c:v>0.81442021803766107</c:v>
                </c:pt>
                <c:pt idx="33">
                  <c:v>0.81293935422375785</c:v>
                </c:pt>
                <c:pt idx="34">
                  <c:v>0.81079203334877259</c:v>
                </c:pt>
                <c:pt idx="35">
                  <c:v>0.8097019154482602</c:v>
                </c:pt>
                <c:pt idx="36">
                  <c:v>0.80848214285714282</c:v>
                </c:pt>
                <c:pt idx="37">
                  <c:v>0.80724209605076036</c:v>
                </c:pt>
                <c:pt idx="38">
                  <c:v>0.80599419916210124</c:v>
                </c:pt>
              </c:numCache>
            </c:numRef>
          </c:val>
          <c:smooth val="0"/>
          <c:extLst>
            <c:ext xmlns:c16="http://schemas.microsoft.com/office/drawing/2014/chart" uri="{C3380CC4-5D6E-409C-BE32-E72D297353CC}">
              <c16:uniqueId val="{00000001-5D88-4CDF-B41E-6197592319B7}"/>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0.84283121597096189</c:v>
                </c:pt>
                <c:pt idx="1">
                  <c:v>0.8440029433406917</c:v>
                </c:pt>
                <c:pt idx="2">
                  <c:v>0.84615384615384615</c:v>
                </c:pt>
                <c:pt idx="3">
                  <c:v>0.84662110858010631</c:v>
                </c:pt>
                <c:pt idx="4">
                  <c:v>0.84419366581725519</c:v>
                </c:pt>
                <c:pt idx="5">
                  <c:v>0.84212317114664847</c:v>
                </c:pt>
                <c:pt idx="6">
                  <c:v>0.84238236261928268</c:v>
                </c:pt>
                <c:pt idx="7">
                  <c:v>0.84101087651951378</c:v>
                </c:pt>
                <c:pt idx="8">
                  <c:v>0.84025157232704406</c:v>
                </c:pt>
                <c:pt idx="9">
                  <c:v>0.83772065655001549</c:v>
                </c:pt>
                <c:pt idx="10">
                  <c:v>0.83574007220216606</c:v>
                </c:pt>
                <c:pt idx="11">
                  <c:v>0.83343057176196034</c:v>
                </c:pt>
                <c:pt idx="12">
                  <c:v>0.83210227272727277</c:v>
                </c:pt>
                <c:pt idx="13">
                  <c:v>0.8304574089290605</c:v>
                </c:pt>
                <c:pt idx="14">
                  <c:v>0.82785145888594169</c:v>
                </c:pt>
                <c:pt idx="15">
                  <c:v>0.82418984434804798</c:v>
                </c:pt>
                <c:pt idx="16">
                  <c:v>0.82216748768472903</c:v>
                </c:pt>
                <c:pt idx="17">
                  <c:v>0.81945765937202664</c:v>
                </c:pt>
                <c:pt idx="18">
                  <c:v>0.81759705949919592</c:v>
                </c:pt>
                <c:pt idx="19">
                  <c:v>0.81427627230667543</c:v>
                </c:pt>
                <c:pt idx="20">
                  <c:v>0.81182453909726637</c:v>
                </c:pt>
                <c:pt idx="21">
                  <c:v>0.80975609756097566</c:v>
                </c:pt>
                <c:pt idx="22">
                  <c:v>0.80802962385499899</c:v>
                </c:pt>
                <c:pt idx="23">
                  <c:v>0.80497382198952883</c:v>
                </c:pt>
                <c:pt idx="24">
                  <c:v>0.80269541778975739</c:v>
                </c:pt>
                <c:pt idx="25">
                  <c:v>0.80097425191370908</c:v>
                </c:pt>
                <c:pt idx="26">
                  <c:v>0.79883236030025018</c:v>
                </c:pt>
                <c:pt idx="27">
                  <c:v>0.7960285941223193</c:v>
                </c:pt>
                <c:pt idx="28">
                  <c:v>0.79344212753097609</c:v>
                </c:pt>
                <c:pt idx="29">
                  <c:v>0.79118828932261764</c:v>
                </c:pt>
                <c:pt idx="30">
                  <c:v>0.78951701427003296</c:v>
                </c:pt>
                <c:pt idx="31">
                  <c:v>0.78714449687539856</c:v>
                </c:pt>
                <c:pt idx="32">
                  <c:v>0.78557599225556629</c:v>
                </c:pt>
              </c:numCache>
            </c:numRef>
          </c:val>
          <c:smooth val="0"/>
          <c:extLst>
            <c:ext xmlns:c16="http://schemas.microsoft.com/office/drawing/2014/chart" uri="{C3380CC4-5D6E-409C-BE32-E72D297353CC}">
              <c16:uniqueId val="{00000002-5D88-4CDF-B41E-6197592319B7}"/>
            </c:ext>
          </c:extLst>
        </c:ser>
        <c:dLbls>
          <c:showLegendKey val="0"/>
          <c:showVal val="0"/>
          <c:showCatName val="0"/>
          <c:showSerName val="0"/>
          <c:showPercent val="0"/>
          <c:showBubbleSize val="0"/>
        </c:dLbls>
        <c:smooth val="0"/>
        <c:axId val="179579520"/>
        <c:axId val="179585408"/>
      </c:lineChart>
      <c:catAx>
        <c:axId val="179579520"/>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9585408"/>
        <c:crosses val="autoZero"/>
        <c:auto val="1"/>
        <c:lblAlgn val="ctr"/>
        <c:lblOffset val="100"/>
        <c:noMultiLvlLbl val="0"/>
      </c:catAx>
      <c:valAx>
        <c:axId val="179585408"/>
        <c:scaling>
          <c:orientation val="minMax"/>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9579520"/>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Sheet1!$A$2</c:f>
              <c:strCache>
                <c:ptCount val="1"/>
                <c:pt idx="0">
                  <c:v>Workplace Based</c:v>
                </c:pt>
              </c:strCache>
            </c:strRef>
          </c:tx>
          <c:spPr>
            <a:ln w="28575" cap="rnd">
              <a:solidFill>
                <a:schemeClr val="accent2"/>
              </a:solidFill>
              <a:round/>
            </a:ln>
            <a:effectLst/>
          </c:spPr>
          <c:marker>
            <c:symbol val="none"/>
          </c:marker>
          <c:cat>
            <c:numRef>
              <c:f>Sheet1!$B$1:$T$1</c:f>
              <c:numCache>
                <c:formatCode>General</c:formatCode>
                <c:ptCount val="19"/>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Sheet1!$B$2:$T$2</c:f>
              <c:numCache>
                <c:formatCode>#,##0.00</c:formatCode>
                <c:ptCount val="19"/>
                <c:pt idx="0">
                  <c:v>8.09</c:v>
                </c:pt>
                <c:pt idx="1">
                  <c:v>9.75</c:v>
                </c:pt>
                <c:pt idx="2">
                  <c:v>11</c:v>
                </c:pt>
                <c:pt idx="3">
                  <c:v>11.89</c:v>
                </c:pt>
                <c:pt idx="4">
                  <c:v>10.66</c:v>
                </c:pt>
                <c:pt idx="5">
                  <c:v>12.86</c:v>
                </c:pt>
                <c:pt idx="6">
                  <c:v>11.66</c:v>
                </c:pt>
                <c:pt idx="7">
                  <c:v>10.18</c:v>
                </c:pt>
                <c:pt idx="8">
                  <c:v>10.62</c:v>
                </c:pt>
                <c:pt idx="9">
                  <c:v>11.05</c:v>
                </c:pt>
                <c:pt idx="10">
                  <c:v>10.49</c:v>
                </c:pt>
                <c:pt idx="11">
                  <c:v>11.11</c:v>
                </c:pt>
                <c:pt idx="12">
                  <c:v>11.53</c:v>
                </c:pt>
                <c:pt idx="13">
                  <c:v>12.38</c:v>
                </c:pt>
                <c:pt idx="14">
                  <c:v>12.1</c:v>
                </c:pt>
                <c:pt idx="15">
                  <c:v>13.5</c:v>
                </c:pt>
                <c:pt idx="16">
                  <c:v>12.83</c:v>
                </c:pt>
                <c:pt idx="17">
                  <c:v>13.14</c:v>
                </c:pt>
                <c:pt idx="18" formatCode="0.00">
                  <c:v>14.09</c:v>
                </c:pt>
              </c:numCache>
            </c:numRef>
          </c:val>
          <c:smooth val="0"/>
          <c:extLst>
            <c:ext xmlns:c16="http://schemas.microsoft.com/office/drawing/2014/chart" uri="{C3380CC4-5D6E-409C-BE32-E72D297353CC}">
              <c16:uniqueId val="{00000000-184C-46A7-88B8-71043E596762}"/>
            </c:ext>
          </c:extLst>
        </c:ser>
        <c:ser>
          <c:idx val="0"/>
          <c:order val="1"/>
          <c:tx>
            <c:strRef>
              <c:f>Sheet1!$A$3</c:f>
              <c:strCache>
                <c:ptCount val="1"/>
                <c:pt idx="0">
                  <c:v>Residents Based</c:v>
                </c:pt>
              </c:strCache>
            </c:strRef>
          </c:tx>
          <c:spPr>
            <a:ln w="28575" cap="rnd">
              <a:solidFill>
                <a:schemeClr val="accent1"/>
              </a:solidFill>
              <a:round/>
            </a:ln>
            <a:effectLst/>
          </c:spPr>
          <c:marker>
            <c:symbol val="none"/>
          </c:marker>
          <c:cat>
            <c:numRef>
              <c:f>Sheet1!$B$1:$T$1</c:f>
              <c:numCache>
                <c:formatCode>General</c:formatCode>
                <c:ptCount val="19"/>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Sheet1!$B$3:$T$3</c:f>
              <c:numCache>
                <c:formatCode>#,##0.00</c:formatCode>
                <c:ptCount val="19"/>
                <c:pt idx="0">
                  <c:v>6.16</c:v>
                </c:pt>
                <c:pt idx="1">
                  <c:v>7.74</c:v>
                </c:pt>
                <c:pt idx="2">
                  <c:v>10.4</c:v>
                </c:pt>
                <c:pt idx="3">
                  <c:v>9.64</c:v>
                </c:pt>
                <c:pt idx="4">
                  <c:v>9.41</c:v>
                </c:pt>
                <c:pt idx="5">
                  <c:v>10.3</c:v>
                </c:pt>
                <c:pt idx="6">
                  <c:v>10.42</c:v>
                </c:pt>
                <c:pt idx="7">
                  <c:v>8.9600000000000009</c:v>
                </c:pt>
                <c:pt idx="8">
                  <c:v>9.94</c:v>
                </c:pt>
                <c:pt idx="9">
                  <c:v>9.5</c:v>
                </c:pt>
                <c:pt idx="10">
                  <c:v>9.4700000000000006</c:v>
                </c:pt>
                <c:pt idx="11">
                  <c:v>10.27</c:v>
                </c:pt>
                <c:pt idx="12">
                  <c:v>11.22</c:v>
                </c:pt>
                <c:pt idx="13">
                  <c:v>11.11</c:v>
                </c:pt>
                <c:pt idx="14">
                  <c:v>11.08</c:v>
                </c:pt>
                <c:pt idx="15">
                  <c:v>11.57</c:v>
                </c:pt>
                <c:pt idx="16">
                  <c:v>11.8</c:v>
                </c:pt>
                <c:pt idx="17">
                  <c:v>10.5</c:v>
                </c:pt>
                <c:pt idx="18">
                  <c:v>12.54</c:v>
                </c:pt>
              </c:numCache>
            </c:numRef>
          </c:val>
          <c:smooth val="0"/>
          <c:extLst>
            <c:ext xmlns:c16="http://schemas.microsoft.com/office/drawing/2014/chart" uri="{C3380CC4-5D6E-409C-BE32-E72D297353CC}">
              <c16:uniqueId val="{00000001-184C-46A7-88B8-71043E596762}"/>
            </c:ext>
          </c:extLst>
        </c:ser>
        <c:dLbls>
          <c:showLegendKey val="0"/>
          <c:showVal val="0"/>
          <c:showCatName val="0"/>
          <c:showSerName val="0"/>
          <c:showPercent val="0"/>
          <c:showBubbleSize val="0"/>
        </c:dLbls>
        <c:smooth val="0"/>
        <c:axId val="151824256"/>
        <c:axId val="151825792"/>
      </c:lineChart>
      <c:catAx>
        <c:axId val="15182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25792"/>
        <c:crosses val="autoZero"/>
        <c:auto val="1"/>
        <c:lblAlgn val="ctr"/>
        <c:lblOffset val="100"/>
        <c:noMultiLvlLbl val="0"/>
      </c:catAx>
      <c:valAx>
        <c:axId val="151825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Affordability</a:t>
                </a:r>
                <a:r>
                  <a:rPr lang="en-GB" baseline="0"/>
                  <a:t> Ratio</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2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'Front sheet'!$A$2</c:f>
              <c:strCache>
                <c:ptCount val="1"/>
                <c:pt idx="0">
                  <c:v>Chichester</c:v>
                </c:pt>
              </c:strCache>
            </c:strRef>
          </c:tx>
          <c:spPr>
            <a:solidFill>
              <a:srgbClr val="0070C0"/>
            </a:solidFill>
            <a:ln>
              <a:noFill/>
            </a:ln>
            <a:effectLst/>
          </c:spPr>
          <c:invertIfNegative val="0"/>
          <c:cat>
            <c:strRef>
              <c:f>'Front sheet'!$L$1:$U$1</c:f>
              <c:strCache>
                <c:ptCount val="10"/>
                <c:pt idx="0">
                  <c:v>2011-12</c:v>
                </c:pt>
                <c:pt idx="1">
                  <c:v>2012-13</c:v>
                </c:pt>
                <c:pt idx="2">
                  <c:v>2013-14</c:v>
                </c:pt>
                <c:pt idx="3">
                  <c:v>2014-15</c:v>
                </c:pt>
                <c:pt idx="4">
                  <c:v>2015-16</c:v>
                </c:pt>
                <c:pt idx="5">
                  <c:v>2016-17</c:v>
                </c:pt>
                <c:pt idx="6">
                  <c:v>2017-18</c:v>
                </c:pt>
                <c:pt idx="7">
                  <c:v>2018-19</c:v>
                </c:pt>
                <c:pt idx="8">
                  <c:v>2019-20</c:v>
                </c:pt>
                <c:pt idx="9">
                  <c:v>2020-21</c:v>
                </c:pt>
              </c:strCache>
            </c:strRef>
          </c:cat>
          <c:val>
            <c:numRef>
              <c:f>'Front sheet'!$L$2:$U$2</c:f>
              <c:numCache>
                <c:formatCode>General</c:formatCode>
                <c:ptCount val="10"/>
                <c:pt idx="0">
                  <c:v>353</c:v>
                </c:pt>
                <c:pt idx="1">
                  <c:v>298</c:v>
                </c:pt>
                <c:pt idx="2">
                  <c:v>229</c:v>
                </c:pt>
                <c:pt idx="3">
                  <c:v>461</c:v>
                </c:pt>
                <c:pt idx="4">
                  <c:v>580</c:v>
                </c:pt>
                <c:pt idx="5">
                  <c:v>564</c:v>
                </c:pt>
                <c:pt idx="6">
                  <c:v>690</c:v>
                </c:pt>
                <c:pt idx="7">
                  <c:v>635</c:v>
                </c:pt>
                <c:pt idx="8">
                  <c:v>542</c:v>
                </c:pt>
                <c:pt idx="9">
                  <c:v>530</c:v>
                </c:pt>
              </c:numCache>
            </c:numRef>
          </c:val>
          <c:extLst>
            <c:ext xmlns:c16="http://schemas.microsoft.com/office/drawing/2014/chart" uri="{C3380CC4-5D6E-409C-BE32-E72D297353CC}">
              <c16:uniqueId val="{00000000-7878-4658-BC68-C9A8198DF547}"/>
            </c:ext>
          </c:extLst>
        </c:ser>
        <c:ser>
          <c:idx val="2"/>
          <c:order val="1"/>
          <c:tx>
            <c:strRef>
              <c:f>'Front sheet'!$A$4</c:f>
              <c:strCache>
                <c:ptCount val="1"/>
                <c:pt idx="0">
                  <c:v>Affordable Completion</c:v>
                </c:pt>
              </c:strCache>
            </c:strRef>
          </c:tx>
          <c:spPr>
            <a:solidFill>
              <a:schemeClr val="bg1">
                <a:lumMod val="65000"/>
              </a:schemeClr>
            </a:solidFill>
            <a:ln>
              <a:noFill/>
            </a:ln>
            <a:effectLst/>
          </c:spPr>
          <c:invertIfNegative val="0"/>
          <c:cat>
            <c:strRef>
              <c:f>'Front sheet'!$L$1:$U$1</c:f>
              <c:strCache>
                <c:ptCount val="10"/>
                <c:pt idx="0">
                  <c:v>2011-12</c:v>
                </c:pt>
                <c:pt idx="1">
                  <c:v>2012-13</c:v>
                </c:pt>
                <c:pt idx="2">
                  <c:v>2013-14</c:v>
                </c:pt>
                <c:pt idx="3">
                  <c:v>2014-15</c:v>
                </c:pt>
                <c:pt idx="4">
                  <c:v>2015-16</c:v>
                </c:pt>
                <c:pt idx="5">
                  <c:v>2016-17</c:v>
                </c:pt>
                <c:pt idx="6">
                  <c:v>2017-18</c:v>
                </c:pt>
                <c:pt idx="7">
                  <c:v>2018-19</c:v>
                </c:pt>
                <c:pt idx="8">
                  <c:v>2019-20</c:v>
                </c:pt>
                <c:pt idx="9">
                  <c:v>2020-21</c:v>
                </c:pt>
              </c:strCache>
            </c:strRef>
          </c:cat>
          <c:val>
            <c:numRef>
              <c:f>'Front sheet'!$L$4:$U$4</c:f>
              <c:numCache>
                <c:formatCode>General</c:formatCode>
                <c:ptCount val="10"/>
                <c:pt idx="0">
                  <c:v>131</c:v>
                </c:pt>
                <c:pt idx="1">
                  <c:v>94</c:v>
                </c:pt>
                <c:pt idx="2">
                  <c:v>121</c:v>
                </c:pt>
                <c:pt idx="3">
                  <c:v>277</c:v>
                </c:pt>
                <c:pt idx="4">
                  <c:v>184</c:v>
                </c:pt>
                <c:pt idx="5">
                  <c:v>149</c:v>
                </c:pt>
                <c:pt idx="6">
                  <c:v>158</c:v>
                </c:pt>
                <c:pt idx="7">
                  <c:v>171</c:v>
                </c:pt>
                <c:pt idx="8">
                  <c:v>147</c:v>
                </c:pt>
                <c:pt idx="9">
                  <c:v>188</c:v>
                </c:pt>
              </c:numCache>
            </c:numRef>
          </c:val>
          <c:extLst>
            <c:ext xmlns:c16="http://schemas.microsoft.com/office/drawing/2014/chart" uri="{C3380CC4-5D6E-409C-BE32-E72D297353CC}">
              <c16:uniqueId val="{00000001-7878-4658-BC68-C9A8198DF547}"/>
            </c:ext>
          </c:extLst>
        </c:ser>
        <c:dLbls>
          <c:showLegendKey val="0"/>
          <c:showVal val="0"/>
          <c:showCatName val="0"/>
          <c:showSerName val="0"/>
          <c:showPercent val="0"/>
          <c:showBubbleSize val="0"/>
        </c:dLbls>
        <c:gapWidth val="150"/>
        <c:axId val="267668480"/>
        <c:axId val="267670272"/>
      </c:barChart>
      <c:lineChart>
        <c:grouping val="standard"/>
        <c:varyColors val="0"/>
        <c:ser>
          <c:idx val="3"/>
          <c:order val="2"/>
          <c:tx>
            <c:strRef>
              <c:f>'Front sheet'!$A$5</c:f>
              <c:strCache>
                <c:ptCount val="1"/>
                <c:pt idx="0">
                  <c:v>% of All Completions</c:v>
                </c:pt>
              </c:strCache>
            </c:strRef>
          </c:tx>
          <c:spPr>
            <a:ln w="28575" cap="rnd">
              <a:solidFill>
                <a:srgbClr val="FFC000"/>
              </a:solidFill>
              <a:round/>
            </a:ln>
            <a:effectLst/>
          </c:spPr>
          <c:marker>
            <c:symbol val="none"/>
          </c:marker>
          <c:cat>
            <c:strRef>
              <c:f>'Front sheet'!$B$1:$U$1</c:f>
              <c:strCache>
                <c:ptCount val="20"/>
                <c:pt idx="0">
                  <c:v>2001-02</c:v>
                </c:pt>
                <c:pt idx="1">
                  <c:v>2002-03</c:v>
                </c:pt>
                <c:pt idx="2">
                  <c:v>2003-04</c:v>
                </c:pt>
                <c:pt idx="3">
                  <c:v>2004-05</c:v>
                </c:pt>
                <c:pt idx="4">
                  <c:v>2005-06</c:v>
                </c:pt>
                <c:pt idx="5">
                  <c:v>2006-07</c:v>
                </c:pt>
                <c:pt idx="6">
                  <c:v>2007-08</c:v>
                </c:pt>
                <c:pt idx="7">
                  <c:v>2008-09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pt idx="19">
                  <c:v>2020-21</c:v>
                </c:pt>
              </c:strCache>
            </c:strRef>
          </c:cat>
          <c:val>
            <c:numRef>
              <c:f>'Front sheet'!$L$5:$U$5</c:f>
              <c:numCache>
                <c:formatCode>0%</c:formatCode>
                <c:ptCount val="10"/>
                <c:pt idx="0">
                  <c:v>0.37110481586402266</c:v>
                </c:pt>
                <c:pt idx="1">
                  <c:v>0.31543624161073824</c:v>
                </c:pt>
                <c:pt idx="2">
                  <c:v>0.52838427947598254</c:v>
                </c:pt>
                <c:pt idx="3">
                  <c:v>0.60086767895878523</c:v>
                </c:pt>
                <c:pt idx="4">
                  <c:v>0.31724137931034485</c:v>
                </c:pt>
                <c:pt idx="5">
                  <c:v>0.26418439716312059</c:v>
                </c:pt>
                <c:pt idx="6">
                  <c:v>0.22898550724637681</c:v>
                </c:pt>
                <c:pt idx="7">
                  <c:v>0.26929133858267718</c:v>
                </c:pt>
                <c:pt idx="8">
                  <c:v>0.27121771217712176</c:v>
                </c:pt>
                <c:pt idx="9">
                  <c:v>0.35471698113207545</c:v>
                </c:pt>
              </c:numCache>
            </c:numRef>
          </c:val>
          <c:smooth val="0"/>
          <c:extLst>
            <c:ext xmlns:c16="http://schemas.microsoft.com/office/drawing/2014/chart" uri="{C3380CC4-5D6E-409C-BE32-E72D297353CC}">
              <c16:uniqueId val="{00000002-7878-4658-BC68-C9A8198DF547}"/>
            </c:ext>
          </c:extLst>
        </c:ser>
        <c:dLbls>
          <c:showLegendKey val="0"/>
          <c:showVal val="0"/>
          <c:showCatName val="0"/>
          <c:showSerName val="0"/>
          <c:showPercent val="0"/>
          <c:showBubbleSize val="0"/>
        </c:dLbls>
        <c:marker val="1"/>
        <c:smooth val="0"/>
        <c:axId val="267686656"/>
        <c:axId val="267672192"/>
      </c:lineChart>
      <c:catAx>
        <c:axId val="26766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7670272"/>
        <c:crosses val="autoZero"/>
        <c:auto val="1"/>
        <c:lblAlgn val="ctr"/>
        <c:lblOffset val="100"/>
        <c:noMultiLvlLbl val="0"/>
      </c:catAx>
      <c:valAx>
        <c:axId val="267670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Net Dwelings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7668480"/>
        <c:crosses val="autoZero"/>
        <c:crossBetween val="between"/>
      </c:valAx>
      <c:valAx>
        <c:axId val="267672192"/>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 Affordable Housing</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7686656"/>
        <c:crosses val="max"/>
        <c:crossBetween val="between"/>
      </c:valAx>
      <c:catAx>
        <c:axId val="267686656"/>
        <c:scaling>
          <c:orientation val="minMax"/>
        </c:scaling>
        <c:delete val="1"/>
        <c:axPos val="b"/>
        <c:numFmt formatCode="General" sourceLinked="1"/>
        <c:majorTickMark val="out"/>
        <c:minorTickMark val="none"/>
        <c:tickLblPos val="nextTo"/>
        <c:crossAx val="2676721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49982979262101"/>
          <c:y val="4.7794916358896399E-2"/>
          <c:w val="0.81050017020737897"/>
          <c:h val="0.73219177496360599"/>
        </c:manualLayout>
      </c:layout>
      <c:lineChart>
        <c:grouping val="standard"/>
        <c:varyColors val="0"/>
        <c:ser>
          <c:idx val="0"/>
          <c:order val="0"/>
          <c:tx>
            <c:strRef>
              <c:f>Sheet1!$B$1</c:f>
              <c:strCache>
                <c:ptCount val="1"/>
                <c:pt idx="0">
                  <c:v>2021</c:v>
                </c:pt>
              </c:strCache>
            </c:strRef>
          </c:tx>
          <c:spPr>
            <a:ln w="28575" cap="rnd">
              <a:solidFill>
                <a:schemeClr val="accent1"/>
              </a:solidFill>
              <a:round/>
            </a:ln>
            <a:effectLst/>
          </c:spPr>
          <c:marker>
            <c:symbol val="none"/>
          </c:marker>
          <c:cat>
            <c:strRef>
              <c:f>Sheet1!$A$2:$A$14</c:f>
              <c:strCache>
                <c:ptCount val="13"/>
                <c:pt idx="0">
                  <c:v>16-19</c:v>
                </c:pt>
                <c:pt idx="1">
                  <c:v>20-24</c:v>
                </c:pt>
                <c:pt idx="2">
                  <c:v>25-29</c:v>
                </c:pt>
                <c:pt idx="3">
                  <c:v>30-34</c:v>
                </c:pt>
                <c:pt idx="4">
                  <c:v>35-39</c:v>
                </c:pt>
                <c:pt idx="5">
                  <c:v>40-44</c:v>
                </c:pt>
                <c:pt idx="6">
                  <c:v>45-49</c:v>
                </c:pt>
                <c:pt idx="7">
                  <c:v>50-54</c:v>
                </c:pt>
                <c:pt idx="8">
                  <c:v>55-59</c:v>
                </c:pt>
                <c:pt idx="9">
                  <c:v>60-64</c:v>
                </c:pt>
                <c:pt idx="10">
                  <c:v>65-69</c:v>
                </c:pt>
                <c:pt idx="11">
                  <c:v>70-74</c:v>
                </c:pt>
                <c:pt idx="12">
                  <c:v>75-89</c:v>
                </c:pt>
              </c:strCache>
            </c:strRef>
          </c:cat>
          <c:val>
            <c:numRef>
              <c:f>Sheet1!$B$2:$B$14</c:f>
              <c:numCache>
                <c:formatCode>General</c:formatCode>
                <c:ptCount val="13"/>
                <c:pt idx="0">
                  <c:v>0.49970811544662441</c:v>
                </c:pt>
                <c:pt idx="1">
                  <c:v>0.83196131783057781</c:v>
                </c:pt>
                <c:pt idx="2">
                  <c:v>0.94818630977268303</c:v>
                </c:pt>
                <c:pt idx="3">
                  <c:v>0.94395809643400475</c:v>
                </c:pt>
                <c:pt idx="4">
                  <c:v>0.9523927428506973</c:v>
                </c:pt>
                <c:pt idx="5">
                  <c:v>0.95236292756866703</c:v>
                </c:pt>
                <c:pt idx="6">
                  <c:v>0.93301073949075086</c:v>
                </c:pt>
                <c:pt idx="7">
                  <c:v>0.92753547403332781</c:v>
                </c:pt>
                <c:pt idx="8">
                  <c:v>0.89427453701347515</c:v>
                </c:pt>
                <c:pt idx="9">
                  <c:v>0.7269644294835198</c:v>
                </c:pt>
                <c:pt idx="10">
                  <c:v>0.38250115640023236</c:v>
                </c:pt>
                <c:pt idx="11">
                  <c:v>0.2072238510804193</c:v>
                </c:pt>
                <c:pt idx="12">
                  <c:v>5.7513138851682556E-2</c:v>
                </c:pt>
              </c:numCache>
            </c:numRef>
          </c:val>
          <c:smooth val="0"/>
          <c:extLst>
            <c:ext xmlns:c16="http://schemas.microsoft.com/office/drawing/2014/chart" uri="{C3380CC4-5D6E-409C-BE32-E72D297353CC}">
              <c16:uniqueId val="{00000000-3BA7-4DC6-B7E4-BD3FEFA5BE24}"/>
            </c:ext>
          </c:extLst>
        </c:ser>
        <c:ser>
          <c:idx val="1"/>
          <c:order val="1"/>
          <c:tx>
            <c:strRef>
              <c:f>Sheet1!$C$1</c:f>
              <c:strCache>
                <c:ptCount val="1"/>
                <c:pt idx="0">
                  <c:v>2039</c:v>
                </c:pt>
              </c:strCache>
            </c:strRef>
          </c:tx>
          <c:spPr>
            <a:ln w="28575" cap="rnd">
              <a:solidFill>
                <a:schemeClr val="accent2"/>
              </a:solidFill>
              <a:round/>
            </a:ln>
            <a:effectLst/>
          </c:spPr>
          <c:marker>
            <c:symbol val="none"/>
          </c:marker>
          <c:cat>
            <c:strRef>
              <c:f>Sheet1!$A$2:$A$14</c:f>
              <c:strCache>
                <c:ptCount val="13"/>
                <c:pt idx="0">
                  <c:v>16-19</c:v>
                </c:pt>
                <c:pt idx="1">
                  <c:v>20-24</c:v>
                </c:pt>
                <c:pt idx="2">
                  <c:v>25-29</c:v>
                </c:pt>
                <c:pt idx="3">
                  <c:v>30-34</c:v>
                </c:pt>
                <c:pt idx="4">
                  <c:v>35-39</c:v>
                </c:pt>
                <c:pt idx="5">
                  <c:v>40-44</c:v>
                </c:pt>
                <c:pt idx="6">
                  <c:v>45-49</c:v>
                </c:pt>
                <c:pt idx="7">
                  <c:v>50-54</c:v>
                </c:pt>
                <c:pt idx="8">
                  <c:v>55-59</c:v>
                </c:pt>
                <c:pt idx="9">
                  <c:v>60-64</c:v>
                </c:pt>
                <c:pt idx="10">
                  <c:v>65-69</c:v>
                </c:pt>
                <c:pt idx="11">
                  <c:v>70-74</c:v>
                </c:pt>
                <c:pt idx="12">
                  <c:v>75-89</c:v>
                </c:pt>
              </c:strCache>
            </c:strRef>
          </c:cat>
          <c:val>
            <c:numRef>
              <c:f>Sheet1!$C$2:$C$14</c:f>
              <c:numCache>
                <c:formatCode>General</c:formatCode>
                <c:ptCount val="13"/>
                <c:pt idx="0">
                  <c:v>0.49861755801357011</c:v>
                </c:pt>
                <c:pt idx="1">
                  <c:v>0.82993507208512196</c:v>
                </c:pt>
                <c:pt idx="2">
                  <c:v>0.94817630630362215</c:v>
                </c:pt>
                <c:pt idx="3">
                  <c:v>0.94166486189815857</c:v>
                </c:pt>
                <c:pt idx="4">
                  <c:v>0.94817662617318332</c:v>
                </c:pt>
                <c:pt idx="5">
                  <c:v>0.93950293628270454</c:v>
                </c:pt>
                <c:pt idx="6">
                  <c:v>0.92594564070272767</c:v>
                </c:pt>
                <c:pt idx="7">
                  <c:v>0.91775846022132357</c:v>
                </c:pt>
                <c:pt idx="8">
                  <c:v>0.89268761031554134</c:v>
                </c:pt>
                <c:pt idx="9">
                  <c:v>0.78921504166520484</c:v>
                </c:pt>
                <c:pt idx="10">
                  <c:v>0.49899277612395609</c:v>
                </c:pt>
                <c:pt idx="11">
                  <c:v>0.2304842032650754</c:v>
                </c:pt>
                <c:pt idx="12">
                  <c:v>6.4674451799679622E-2</c:v>
                </c:pt>
              </c:numCache>
            </c:numRef>
          </c:val>
          <c:smooth val="0"/>
          <c:extLst>
            <c:ext xmlns:c16="http://schemas.microsoft.com/office/drawing/2014/chart" uri="{C3380CC4-5D6E-409C-BE32-E72D297353CC}">
              <c16:uniqueId val="{00000001-3BA7-4DC6-B7E4-BD3FEFA5BE24}"/>
            </c:ext>
          </c:extLst>
        </c:ser>
        <c:dLbls>
          <c:showLegendKey val="0"/>
          <c:showVal val="0"/>
          <c:showCatName val="0"/>
          <c:showSerName val="0"/>
          <c:showPercent val="0"/>
          <c:showBubbleSize val="0"/>
        </c:dLbls>
        <c:smooth val="0"/>
        <c:axId val="96232960"/>
        <c:axId val="96234496"/>
      </c:lineChart>
      <c:catAx>
        <c:axId val="9623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96234496"/>
        <c:crosses val="autoZero"/>
        <c:auto val="1"/>
        <c:lblAlgn val="ctr"/>
        <c:lblOffset val="100"/>
        <c:noMultiLvlLbl val="0"/>
      </c:catAx>
      <c:valAx>
        <c:axId val="9623449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Percent economically active</a:t>
                </a:r>
              </a:p>
            </c:rich>
          </c:tx>
          <c:layout>
            <c:manualLayout>
              <c:xMode val="edge"/>
              <c:yMode val="edge"/>
              <c:x val="3.5628937649359099E-3"/>
              <c:y val="0.2241776588701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96232960"/>
        <c:crosses val="autoZero"/>
        <c:crossBetween val="between"/>
      </c:valAx>
      <c:spPr>
        <a:noFill/>
        <a:ln>
          <a:noFill/>
        </a:ln>
        <a:effectLst/>
      </c:spPr>
    </c:plotArea>
    <c:legend>
      <c:legendPos val="b"/>
      <c:layout>
        <c:manualLayout>
          <c:xMode val="edge"/>
          <c:yMode val="edge"/>
          <c:x val="0.27976105963074399"/>
          <c:y val="0.92521515410182698"/>
          <c:w val="0.44047788073851202"/>
          <c:h val="7.478484589817320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49982979262101"/>
          <c:y val="4.7794916358896399E-2"/>
          <c:w val="0.81050017020737897"/>
          <c:h val="0.73219177496360599"/>
        </c:manualLayout>
      </c:layout>
      <c:lineChart>
        <c:grouping val="standard"/>
        <c:varyColors val="0"/>
        <c:ser>
          <c:idx val="0"/>
          <c:order val="0"/>
          <c:tx>
            <c:strRef>
              <c:f>Sheet1!$B$1</c:f>
              <c:strCache>
                <c:ptCount val="1"/>
                <c:pt idx="0">
                  <c:v>2021</c:v>
                </c:pt>
              </c:strCache>
            </c:strRef>
          </c:tx>
          <c:spPr>
            <a:ln w="28575" cap="rnd">
              <a:solidFill>
                <a:schemeClr val="accent1"/>
              </a:solidFill>
              <a:round/>
            </a:ln>
            <a:effectLst/>
          </c:spPr>
          <c:marker>
            <c:symbol val="none"/>
          </c:marker>
          <c:cat>
            <c:strRef>
              <c:f>Sheet1!$A$2:$A$14</c:f>
              <c:strCache>
                <c:ptCount val="13"/>
                <c:pt idx="0">
                  <c:v>16-19</c:v>
                </c:pt>
                <c:pt idx="1">
                  <c:v>20-24</c:v>
                </c:pt>
                <c:pt idx="2">
                  <c:v>25-29</c:v>
                </c:pt>
                <c:pt idx="3">
                  <c:v>30-34</c:v>
                </c:pt>
                <c:pt idx="4">
                  <c:v>35-39</c:v>
                </c:pt>
                <c:pt idx="5">
                  <c:v>40-44</c:v>
                </c:pt>
                <c:pt idx="6">
                  <c:v>45-49</c:v>
                </c:pt>
                <c:pt idx="7">
                  <c:v>50-54</c:v>
                </c:pt>
                <c:pt idx="8">
                  <c:v>55-59</c:v>
                </c:pt>
                <c:pt idx="9">
                  <c:v>60-64</c:v>
                </c:pt>
                <c:pt idx="10">
                  <c:v>65-69</c:v>
                </c:pt>
                <c:pt idx="11">
                  <c:v>70-74</c:v>
                </c:pt>
                <c:pt idx="12">
                  <c:v>75-89</c:v>
                </c:pt>
              </c:strCache>
            </c:strRef>
          </c:cat>
          <c:val>
            <c:numRef>
              <c:f>Sheet1!$B$2:$B$14</c:f>
              <c:numCache>
                <c:formatCode>General</c:formatCode>
                <c:ptCount val="13"/>
                <c:pt idx="0">
                  <c:v>0.50532357830915164</c:v>
                </c:pt>
                <c:pt idx="1">
                  <c:v>0.78200875634232547</c:v>
                </c:pt>
                <c:pt idx="2">
                  <c:v>0.86840911024935941</c:v>
                </c:pt>
                <c:pt idx="3">
                  <c:v>0.85157955209366876</c:v>
                </c:pt>
                <c:pt idx="4">
                  <c:v>0.84411491843518738</c:v>
                </c:pt>
                <c:pt idx="5">
                  <c:v>0.84253960406714268</c:v>
                </c:pt>
                <c:pt idx="6">
                  <c:v>0.84176538388671385</c:v>
                </c:pt>
                <c:pt idx="7">
                  <c:v>0.82522208675247466</c:v>
                </c:pt>
                <c:pt idx="8">
                  <c:v>0.79474085450577447</c:v>
                </c:pt>
                <c:pt idx="9">
                  <c:v>0.63444364890019289</c:v>
                </c:pt>
                <c:pt idx="10">
                  <c:v>0.26504710461456538</c:v>
                </c:pt>
                <c:pt idx="11">
                  <c:v>0.1195077907147668</c:v>
                </c:pt>
                <c:pt idx="12">
                  <c:v>2.6997228175534006E-2</c:v>
                </c:pt>
              </c:numCache>
            </c:numRef>
          </c:val>
          <c:smooth val="0"/>
          <c:extLst>
            <c:ext xmlns:c16="http://schemas.microsoft.com/office/drawing/2014/chart" uri="{C3380CC4-5D6E-409C-BE32-E72D297353CC}">
              <c16:uniqueId val="{00000000-1168-468B-968D-C14DA32C307A}"/>
            </c:ext>
          </c:extLst>
        </c:ser>
        <c:ser>
          <c:idx val="1"/>
          <c:order val="1"/>
          <c:tx>
            <c:strRef>
              <c:f>Sheet1!$C$1</c:f>
              <c:strCache>
                <c:ptCount val="1"/>
                <c:pt idx="0">
                  <c:v>2039</c:v>
                </c:pt>
              </c:strCache>
            </c:strRef>
          </c:tx>
          <c:spPr>
            <a:ln w="28575" cap="rnd">
              <a:solidFill>
                <a:schemeClr val="accent2"/>
              </a:solidFill>
              <a:round/>
            </a:ln>
            <a:effectLst/>
          </c:spPr>
          <c:marker>
            <c:symbol val="none"/>
          </c:marker>
          <c:cat>
            <c:strRef>
              <c:f>Sheet1!$A$2:$A$14</c:f>
              <c:strCache>
                <c:ptCount val="13"/>
                <c:pt idx="0">
                  <c:v>16-19</c:v>
                </c:pt>
                <c:pt idx="1">
                  <c:v>20-24</c:v>
                </c:pt>
                <c:pt idx="2">
                  <c:v>25-29</c:v>
                </c:pt>
                <c:pt idx="3">
                  <c:v>30-34</c:v>
                </c:pt>
                <c:pt idx="4">
                  <c:v>35-39</c:v>
                </c:pt>
                <c:pt idx="5">
                  <c:v>40-44</c:v>
                </c:pt>
                <c:pt idx="6">
                  <c:v>45-49</c:v>
                </c:pt>
                <c:pt idx="7">
                  <c:v>50-54</c:v>
                </c:pt>
                <c:pt idx="8">
                  <c:v>55-59</c:v>
                </c:pt>
                <c:pt idx="9">
                  <c:v>60-64</c:v>
                </c:pt>
                <c:pt idx="10">
                  <c:v>65-69</c:v>
                </c:pt>
                <c:pt idx="11">
                  <c:v>70-74</c:v>
                </c:pt>
                <c:pt idx="12">
                  <c:v>75-89</c:v>
                </c:pt>
              </c:strCache>
            </c:strRef>
          </c:cat>
          <c:val>
            <c:numRef>
              <c:f>Sheet1!$C$2:$C$14</c:f>
              <c:numCache>
                <c:formatCode>General</c:formatCode>
                <c:ptCount val="13"/>
                <c:pt idx="0">
                  <c:v>0.50459791487942329</c:v>
                </c:pt>
                <c:pt idx="1">
                  <c:v>0.7803279671920792</c:v>
                </c:pt>
                <c:pt idx="2">
                  <c:v>0.86861369391331111</c:v>
                </c:pt>
                <c:pt idx="3">
                  <c:v>0.85699075894724941</c:v>
                </c:pt>
                <c:pt idx="4">
                  <c:v>0.85968886120756194</c:v>
                </c:pt>
                <c:pt idx="5">
                  <c:v>0.87376448613902946</c:v>
                </c:pt>
                <c:pt idx="6">
                  <c:v>0.88418265992883271</c:v>
                </c:pt>
                <c:pt idx="7">
                  <c:v>0.8573319283708255</c:v>
                </c:pt>
                <c:pt idx="8">
                  <c:v>0.80948628300172087</c:v>
                </c:pt>
                <c:pt idx="9">
                  <c:v>0.71001903762995355</c:v>
                </c:pt>
                <c:pt idx="10">
                  <c:v>0.40895983671114794</c:v>
                </c:pt>
                <c:pt idx="11">
                  <c:v>0.18655022611298622</c:v>
                </c:pt>
                <c:pt idx="12">
                  <c:v>5.4327506566590585E-2</c:v>
                </c:pt>
              </c:numCache>
            </c:numRef>
          </c:val>
          <c:smooth val="0"/>
          <c:extLst>
            <c:ext xmlns:c16="http://schemas.microsoft.com/office/drawing/2014/chart" uri="{C3380CC4-5D6E-409C-BE32-E72D297353CC}">
              <c16:uniqueId val="{00000001-1168-468B-968D-C14DA32C307A}"/>
            </c:ext>
          </c:extLst>
        </c:ser>
        <c:dLbls>
          <c:showLegendKey val="0"/>
          <c:showVal val="0"/>
          <c:showCatName val="0"/>
          <c:showSerName val="0"/>
          <c:showPercent val="0"/>
          <c:showBubbleSize val="0"/>
        </c:dLbls>
        <c:smooth val="0"/>
        <c:axId val="96375552"/>
        <c:axId val="96377088"/>
      </c:lineChart>
      <c:catAx>
        <c:axId val="9637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96377088"/>
        <c:crosses val="autoZero"/>
        <c:auto val="1"/>
        <c:lblAlgn val="ctr"/>
        <c:lblOffset val="100"/>
        <c:noMultiLvlLbl val="0"/>
      </c:catAx>
      <c:valAx>
        <c:axId val="96377088"/>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Percent economically active</a:t>
                </a:r>
              </a:p>
            </c:rich>
          </c:tx>
          <c:layout>
            <c:manualLayout>
              <c:xMode val="edge"/>
              <c:yMode val="edge"/>
              <c:x val="3.5628937649359099E-3"/>
              <c:y val="0.2241776588701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96375552"/>
        <c:crosses val="autoZero"/>
        <c:crossBetween val="between"/>
      </c:valAx>
      <c:spPr>
        <a:noFill/>
        <a:ln>
          <a:noFill/>
        </a:ln>
        <a:effectLst/>
      </c:spPr>
    </c:plotArea>
    <c:legend>
      <c:legendPos val="b"/>
      <c:layout>
        <c:manualLayout>
          <c:xMode val="edge"/>
          <c:yMode val="edge"/>
          <c:x val="0.27976105963074399"/>
          <c:y val="0.92521515410182698"/>
          <c:w val="0.44047788073851202"/>
          <c:h val="7.478484589817320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982973282185887E-2"/>
          <c:y val="4.7495682210708115E-2"/>
          <c:w val="0.90339287340213692"/>
          <c:h val="0.8032228771844534"/>
        </c:manualLayout>
      </c:layout>
      <c:lineChart>
        <c:grouping val="standard"/>
        <c:varyColors val="0"/>
        <c:ser>
          <c:idx val="0"/>
          <c:order val="0"/>
          <c:tx>
            <c:strRef>
              <c:f>Sheet1!$B$1</c:f>
              <c:strCache>
                <c:ptCount val="1"/>
                <c:pt idx="0">
                  <c:v>DD</c:v>
                </c:pt>
              </c:strCache>
            </c:strRef>
          </c:tx>
          <c:spPr>
            <a:ln w="28575" cap="rnd">
              <a:solidFill>
                <a:schemeClr val="accent1"/>
              </a:solidFill>
              <a:round/>
            </a:ln>
            <a:effectLst/>
          </c:spPr>
          <c:marker>
            <c:symbol val="none"/>
          </c:marker>
          <c:cat>
            <c:numRef>
              <c:f>Sheet1!$A$2:$A$68</c:f>
              <c:numCache>
                <c:formatCode>General</c:formatCode>
                <c:ptCount val="67"/>
                <c:pt idx="0">
                  <c:v>2004</c:v>
                </c:pt>
                <c:pt idx="4">
                  <c:v>2005</c:v>
                </c:pt>
                <c:pt idx="8">
                  <c:v>2006</c:v>
                </c:pt>
                <c:pt idx="12">
                  <c:v>2007</c:v>
                </c:pt>
                <c:pt idx="16">
                  <c:v>2008</c:v>
                </c:pt>
                <c:pt idx="20">
                  <c:v>2009</c:v>
                </c:pt>
                <c:pt idx="24">
                  <c:v>2010</c:v>
                </c:pt>
                <c:pt idx="28">
                  <c:v>2011</c:v>
                </c:pt>
                <c:pt idx="32">
                  <c:v>2012</c:v>
                </c:pt>
                <c:pt idx="36">
                  <c:v>2013</c:v>
                </c:pt>
                <c:pt idx="40">
                  <c:v>2014</c:v>
                </c:pt>
                <c:pt idx="44">
                  <c:v>2015</c:v>
                </c:pt>
                <c:pt idx="48">
                  <c:v>2016</c:v>
                </c:pt>
                <c:pt idx="52">
                  <c:v>2017</c:v>
                </c:pt>
                <c:pt idx="56">
                  <c:v>2018</c:v>
                </c:pt>
                <c:pt idx="60">
                  <c:v>2019</c:v>
                </c:pt>
                <c:pt idx="64">
                  <c:v>2020</c:v>
                </c:pt>
              </c:numCache>
            </c:numRef>
          </c:cat>
          <c:val>
            <c:numRef>
              <c:f>Sheet1!$B$2:$B$68</c:f>
              <c:numCache>
                <c:formatCode>General</c:formatCode>
                <c:ptCount val="67"/>
                <c:pt idx="0">
                  <c:v>3.5000000000000003E-2</c:v>
                </c:pt>
                <c:pt idx="1">
                  <c:v>2.1000000000000001E-2</c:v>
                </c:pt>
                <c:pt idx="2">
                  <c:v>1.4999999999999999E-2</c:v>
                </c:pt>
                <c:pt idx="3">
                  <c:v>2.1000000000000001E-2</c:v>
                </c:pt>
                <c:pt idx="4">
                  <c:v>1.4999999999999999E-2</c:v>
                </c:pt>
                <c:pt idx="5">
                  <c:v>5.2000000000000005E-2</c:v>
                </c:pt>
                <c:pt idx="6">
                  <c:v>4.8000000000000001E-2</c:v>
                </c:pt>
                <c:pt idx="7">
                  <c:v>4.5999999999999999E-2</c:v>
                </c:pt>
                <c:pt idx="8">
                  <c:v>4.8000000000000001E-2</c:v>
                </c:pt>
                <c:pt idx="9">
                  <c:v>6.3E-2</c:v>
                </c:pt>
                <c:pt idx="10">
                  <c:v>6.3E-2</c:v>
                </c:pt>
                <c:pt idx="11">
                  <c:v>3.4000000000000002E-2</c:v>
                </c:pt>
                <c:pt idx="12">
                  <c:v>2.7999999999999997E-2</c:v>
                </c:pt>
                <c:pt idx="14">
                  <c:v>2.6000000000000002E-2</c:v>
                </c:pt>
                <c:pt idx="15">
                  <c:v>6.3E-2</c:v>
                </c:pt>
                <c:pt idx="16">
                  <c:v>7.2000000000000008E-2</c:v>
                </c:pt>
                <c:pt idx="17">
                  <c:v>6.6000000000000003E-2</c:v>
                </c:pt>
                <c:pt idx="18">
                  <c:v>6.0999999999999999E-2</c:v>
                </c:pt>
                <c:pt idx="19">
                  <c:v>3.9E-2</c:v>
                </c:pt>
                <c:pt idx="20">
                  <c:v>3.7999999999999999E-2</c:v>
                </c:pt>
                <c:pt idx="21">
                  <c:v>3.3000000000000002E-2</c:v>
                </c:pt>
                <c:pt idx="22">
                  <c:v>3.6000000000000004E-2</c:v>
                </c:pt>
                <c:pt idx="23">
                  <c:v>3.4000000000000002E-2</c:v>
                </c:pt>
                <c:pt idx="24">
                  <c:v>3.3000000000000002E-2</c:v>
                </c:pt>
                <c:pt idx="25">
                  <c:v>5.2999999999999999E-2</c:v>
                </c:pt>
                <c:pt idx="26">
                  <c:v>6.6000000000000003E-2</c:v>
                </c:pt>
                <c:pt idx="27">
                  <c:v>8.5000000000000006E-2</c:v>
                </c:pt>
                <c:pt idx="28">
                  <c:v>9.3000000000000013E-2</c:v>
                </c:pt>
                <c:pt idx="29">
                  <c:v>8.1000000000000003E-2</c:v>
                </c:pt>
                <c:pt idx="30">
                  <c:v>5.7999999999999996E-2</c:v>
                </c:pt>
                <c:pt idx="31">
                  <c:v>3.6000000000000004E-2</c:v>
                </c:pt>
                <c:pt idx="32">
                  <c:v>4.5999999999999999E-2</c:v>
                </c:pt>
                <c:pt idx="33">
                  <c:v>5.0999999999999997E-2</c:v>
                </c:pt>
                <c:pt idx="34">
                  <c:v>5.2000000000000005E-2</c:v>
                </c:pt>
                <c:pt idx="35">
                  <c:v>3.6000000000000004E-2</c:v>
                </c:pt>
                <c:pt idx="36">
                  <c:v>0.03</c:v>
                </c:pt>
                <c:pt idx="37">
                  <c:v>2.7000000000000003E-2</c:v>
                </c:pt>
                <c:pt idx="38">
                  <c:v>2.4E-2</c:v>
                </c:pt>
                <c:pt idx="39">
                  <c:v>2.3E-2</c:v>
                </c:pt>
                <c:pt idx="40">
                  <c:v>1.7000000000000001E-2</c:v>
                </c:pt>
                <c:pt idx="41">
                  <c:v>0.02</c:v>
                </c:pt>
                <c:pt idx="42">
                  <c:v>2.1000000000000001E-2</c:v>
                </c:pt>
                <c:pt idx="43">
                  <c:v>3.2000000000000001E-2</c:v>
                </c:pt>
                <c:pt idx="44">
                  <c:v>3.7000000000000005E-2</c:v>
                </c:pt>
                <c:pt idx="45">
                  <c:v>2.3E-2</c:v>
                </c:pt>
                <c:pt idx="46">
                  <c:v>2.8999999999999998E-2</c:v>
                </c:pt>
                <c:pt idx="48">
                  <c:v>0.03</c:v>
                </c:pt>
                <c:pt idx="49">
                  <c:v>2.8999999999999998E-2</c:v>
                </c:pt>
                <c:pt idx="50">
                  <c:v>7.8E-2</c:v>
                </c:pt>
                <c:pt idx="51">
                  <c:v>9.5000000000000001E-2</c:v>
                </c:pt>
                <c:pt idx="52">
                  <c:v>9.1999999999999998E-2</c:v>
                </c:pt>
                <c:pt idx="53">
                  <c:v>8.4000000000000005E-2</c:v>
                </c:pt>
                <c:pt idx="54">
                  <c:v>6.0999999999999999E-2</c:v>
                </c:pt>
                <c:pt idx="55">
                  <c:v>4.9000000000000002E-2</c:v>
                </c:pt>
                <c:pt idx="56">
                  <c:v>6.6000000000000003E-2</c:v>
                </c:pt>
                <c:pt idx="57">
                  <c:v>6.7000000000000004E-2</c:v>
                </c:pt>
                <c:pt idx="58">
                  <c:v>6.0999999999999999E-2</c:v>
                </c:pt>
                <c:pt idx="59">
                  <c:v>5.2999999999999999E-2</c:v>
                </c:pt>
                <c:pt idx="60">
                  <c:v>4.5999999999999999E-2</c:v>
                </c:pt>
                <c:pt idx="61">
                  <c:v>4.5999999999999999E-2</c:v>
                </c:pt>
                <c:pt idx="62">
                  <c:v>5.5999999999999994E-2</c:v>
                </c:pt>
                <c:pt idx="63">
                  <c:v>6.9000000000000006E-2</c:v>
                </c:pt>
                <c:pt idx="64">
                  <c:v>6.3E-2</c:v>
                </c:pt>
                <c:pt idx="65">
                  <c:v>7.8E-2</c:v>
                </c:pt>
                <c:pt idx="66">
                  <c:v>9.0999999999999998E-2</c:v>
                </c:pt>
              </c:numCache>
            </c:numRef>
          </c:val>
          <c:smooth val="0"/>
          <c:extLst>
            <c:ext xmlns:c16="http://schemas.microsoft.com/office/drawing/2014/chart" uri="{C3380CC4-5D6E-409C-BE32-E72D297353CC}">
              <c16:uniqueId val="{00000000-FE59-4772-9D83-F19DB1324446}"/>
            </c:ext>
          </c:extLst>
        </c:ser>
        <c:dLbls>
          <c:showLegendKey val="0"/>
          <c:showVal val="0"/>
          <c:showCatName val="0"/>
          <c:showSerName val="0"/>
          <c:showPercent val="0"/>
          <c:showBubbleSize val="0"/>
        </c:dLbls>
        <c:smooth val="0"/>
        <c:axId val="151432192"/>
        <c:axId val="146932480"/>
      </c:lineChart>
      <c:catAx>
        <c:axId val="15143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146932480"/>
        <c:crosses val="autoZero"/>
        <c:auto val="1"/>
        <c:lblAlgn val="ctr"/>
        <c:lblOffset val="100"/>
        <c:noMultiLvlLbl val="0"/>
      </c:catAx>
      <c:valAx>
        <c:axId val="1469324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15143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986232129199"/>
          <c:y val="4.5155993431855501E-2"/>
          <c:w val="0.85029548640425201"/>
          <c:h val="0.76070353940046354"/>
        </c:manualLayout>
      </c:layout>
      <c:lineChart>
        <c:grouping val="standard"/>
        <c:varyColors val="0"/>
        <c:ser>
          <c:idx val="0"/>
          <c:order val="0"/>
          <c:tx>
            <c:strRef>
              <c:f>Sheet1!$B$1</c:f>
              <c:strCache>
                <c:ptCount val="1"/>
                <c:pt idx="0">
                  <c:v>Chic</c:v>
                </c:pt>
              </c:strCache>
            </c:strRef>
          </c:tx>
          <c:spPr>
            <a:ln w="28575" cap="rnd">
              <a:solidFill>
                <a:schemeClr val="accent1"/>
              </a:solidFill>
              <a:round/>
            </a:ln>
            <a:effectLst/>
          </c:spPr>
          <c:marker>
            <c:symbol val="none"/>
          </c:marker>
          <c:cat>
            <c:strRef>
              <c:f>Sheet1!$A$2:$A$122</c:f>
              <c:strCache>
                <c:ptCount val="121"/>
                <c:pt idx="0">
                  <c:v>Oct-11</c:v>
                </c:pt>
                <c:pt idx="1">
                  <c:v> </c:v>
                </c:pt>
                <c:pt idx="2">
                  <c:v> </c:v>
                </c:pt>
                <c:pt idx="3">
                  <c:v> </c:v>
                </c:pt>
                <c:pt idx="4">
                  <c:v> </c:v>
                </c:pt>
                <c:pt idx="5">
                  <c:v> </c:v>
                </c:pt>
                <c:pt idx="6">
                  <c:v> </c:v>
                </c:pt>
                <c:pt idx="7">
                  <c:v> </c:v>
                </c:pt>
                <c:pt idx="8">
                  <c:v> </c:v>
                </c:pt>
                <c:pt idx="9">
                  <c:v> </c:v>
                </c:pt>
                <c:pt idx="10">
                  <c:v> </c:v>
                </c:pt>
                <c:pt idx="11">
                  <c:v> </c:v>
                </c:pt>
                <c:pt idx="12">
                  <c:v>Oct-12</c:v>
                </c:pt>
                <c:pt idx="13">
                  <c:v> </c:v>
                </c:pt>
                <c:pt idx="14">
                  <c:v> </c:v>
                </c:pt>
                <c:pt idx="15">
                  <c:v> </c:v>
                </c:pt>
                <c:pt idx="16">
                  <c:v> </c:v>
                </c:pt>
                <c:pt idx="17">
                  <c:v> </c:v>
                </c:pt>
                <c:pt idx="18">
                  <c:v> </c:v>
                </c:pt>
                <c:pt idx="19">
                  <c:v> </c:v>
                </c:pt>
                <c:pt idx="20">
                  <c:v> </c:v>
                </c:pt>
                <c:pt idx="21">
                  <c:v> </c:v>
                </c:pt>
                <c:pt idx="22">
                  <c:v> </c:v>
                </c:pt>
                <c:pt idx="23">
                  <c:v> </c:v>
                </c:pt>
                <c:pt idx="24">
                  <c:v>Oct-13</c:v>
                </c:pt>
                <c:pt idx="36">
                  <c:v>Oct-14</c:v>
                </c:pt>
                <c:pt idx="48">
                  <c:v>Oct-15</c:v>
                </c:pt>
                <c:pt idx="60">
                  <c:v>Oct-16</c:v>
                </c:pt>
                <c:pt idx="72">
                  <c:v>Oct-17</c:v>
                </c:pt>
                <c:pt idx="84">
                  <c:v>Oct-18</c:v>
                </c:pt>
                <c:pt idx="96">
                  <c:v>Oct-19</c:v>
                </c:pt>
                <c:pt idx="108">
                  <c:v>Oct-20</c:v>
                </c:pt>
                <c:pt idx="120">
                  <c:v>Oct-21</c:v>
                </c:pt>
              </c:strCache>
            </c:strRef>
          </c:cat>
          <c:val>
            <c:numRef>
              <c:f>Sheet1!$B$2:$B$122</c:f>
              <c:numCache>
                <c:formatCode>General</c:formatCode>
                <c:ptCount val="121"/>
                <c:pt idx="0">
                  <c:v>1375</c:v>
                </c:pt>
                <c:pt idx="1">
                  <c:v>1370</c:v>
                </c:pt>
                <c:pt idx="2">
                  <c:v>1410</c:v>
                </c:pt>
                <c:pt idx="3">
                  <c:v>1480</c:v>
                </c:pt>
                <c:pt idx="4">
                  <c:v>1515</c:v>
                </c:pt>
                <c:pt idx="5">
                  <c:v>1480</c:v>
                </c:pt>
                <c:pt idx="6">
                  <c:v>1370</c:v>
                </c:pt>
                <c:pt idx="7">
                  <c:v>1350</c:v>
                </c:pt>
                <c:pt idx="8">
                  <c:v>1275</c:v>
                </c:pt>
                <c:pt idx="9">
                  <c:v>1305</c:v>
                </c:pt>
                <c:pt idx="10">
                  <c:v>1315</c:v>
                </c:pt>
                <c:pt idx="11">
                  <c:v>1330</c:v>
                </c:pt>
                <c:pt idx="12">
                  <c:v>1315</c:v>
                </c:pt>
                <c:pt idx="13">
                  <c:v>1365</c:v>
                </c:pt>
                <c:pt idx="14">
                  <c:v>1420</c:v>
                </c:pt>
                <c:pt idx="15">
                  <c:v>1460</c:v>
                </c:pt>
                <c:pt idx="16">
                  <c:v>1500</c:v>
                </c:pt>
                <c:pt idx="17">
                  <c:v>1410</c:v>
                </c:pt>
                <c:pt idx="18">
                  <c:v>1295</c:v>
                </c:pt>
                <c:pt idx="19">
                  <c:v>1215</c:v>
                </c:pt>
                <c:pt idx="20">
                  <c:v>1160</c:v>
                </c:pt>
                <c:pt idx="21">
                  <c:v>1145</c:v>
                </c:pt>
                <c:pt idx="22">
                  <c:v>1140</c:v>
                </c:pt>
                <c:pt idx="23">
                  <c:v>1070</c:v>
                </c:pt>
                <c:pt idx="24">
                  <c:v>1010</c:v>
                </c:pt>
                <c:pt idx="25">
                  <c:v>995</c:v>
                </c:pt>
                <c:pt idx="26">
                  <c:v>1005</c:v>
                </c:pt>
                <c:pt idx="27">
                  <c:v>1050</c:v>
                </c:pt>
                <c:pt idx="28">
                  <c:v>1070</c:v>
                </c:pt>
                <c:pt idx="29">
                  <c:v>1035</c:v>
                </c:pt>
                <c:pt idx="30">
                  <c:v>910</c:v>
                </c:pt>
                <c:pt idx="31">
                  <c:v>860</c:v>
                </c:pt>
                <c:pt idx="32">
                  <c:v>780</c:v>
                </c:pt>
                <c:pt idx="33">
                  <c:v>745</c:v>
                </c:pt>
                <c:pt idx="34">
                  <c:v>740</c:v>
                </c:pt>
                <c:pt idx="35">
                  <c:v>730</c:v>
                </c:pt>
                <c:pt idx="36">
                  <c:v>705</c:v>
                </c:pt>
                <c:pt idx="37">
                  <c:v>730</c:v>
                </c:pt>
                <c:pt idx="38">
                  <c:v>710</c:v>
                </c:pt>
                <c:pt idx="39">
                  <c:v>735</c:v>
                </c:pt>
                <c:pt idx="40">
                  <c:v>715</c:v>
                </c:pt>
                <c:pt idx="41">
                  <c:v>650</c:v>
                </c:pt>
                <c:pt idx="42">
                  <c:v>600</c:v>
                </c:pt>
                <c:pt idx="43">
                  <c:v>580</c:v>
                </c:pt>
                <c:pt idx="44">
                  <c:v>580</c:v>
                </c:pt>
                <c:pt idx="45">
                  <c:v>560</c:v>
                </c:pt>
                <c:pt idx="46">
                  <c:v>560</c:v>
                </c:pt>
                <c:pt idx="47">
                  <c:v>540</c:v>
                </c:pt>
                <c:pt idx="48">
                  <c:v>545</c:v>
                </c:pt>
                <c:pt idx="49">
                  <c:v>550</c:v>
                </c:pt>
                <c:pt idx="50">
                  <c:v>565</c:v>
                </c:pt>
                <c:pt idx="51">
                  <c:v>625</c:v>
                </c:pt>
                <c:pt idx="52">
                  <c:v>670</c:v>
                </c:pt>
                <c:pt idx="53">
                  <c:v>660</c:v>
                </c:pt>
                <c:pt idx="54">
                  <c:v>645</c:v>
                </c:pt>
                <c:pt idx="55">
                  <c:v>635</c:v>
                </c:pt>
                <c:pt idx="56">
                  <c:v>635</c:v>
                </c:pt>
                <c:pt idx="57">
                  <c:v>640</c:v>
                </c:pt>
                <c:pt idx="58">
                  <c:v>625</c:v>
                </c:pt>
                <c:pt idx="59">
                  <c:v>610</c:v>
                </c:pt>
                <c:pt idx="60">
                  <c:v>610</c:v>
                </c:pt>
                <c:pt idx="61">
                  <c:v>630</c:v>
                </c:pt>
                <c:pt idx="62">
                  <c:v>645</c:v>
                </c:pt>
                <c:pt idx="63">
                  <c:v>650</c:v>
                </c:pt>
                <c:pt idx="64">
                  <c:v>675</c:v>
                </c:pt>
                <c:pt idx="65">
                  <c:v>700</c:v>
                </c:pt>
                <c:pt idx="66">
                  <c:v>720</c:v>
                </c:pt>
                <c:pt idx="67">
                  <c:v>715</c:v>
                </c:pt>
                <c:pt idx="68">
                  <c:v>685</c:v>
                </c:pt>
                <c:pt idx="69">
                  <c:v>640</c:v>
                </c:pt>
                <c:pt idx="70">
                  <c:v>670</c:v>
                </c:pt>
                <c:pt idx="71">
                  <c:v>640</c:v>
                </c:pt>
                <c:pt idx="72">
                  <c:v>665</c:v>
                </c:pt>
                <c:pt idx="73">
                  <c:v>655</c:v>
                </c:pt>
                <c:pt idx="74">
                  <c:v>665</c:v>
                </c:pt>
                <c:pt idx="75">
                  <c:v>700</c:v>
                </c:pt>
                <c:pt idx="76">
                  <c:v>720</c:v>
                </c:pt>
                <c:pt idx="77">
                  <c:v>745</c:v>
                </c:pt>
                <c:pt idx="78">
                  <c:v>735</c:v>
                </c:pt>
                <c:pt idx="79">
                  <c:v>725</c:v>
                </c:pt>
                <c:pt idx="80">
                  <c:v>685</c:v>
                </c:pt>
                <c:pt idx="81">
                  <c:v>665</c:v>
                </c:pt>
                <c:pt idx="82">
                  <c:v>675</c:v>
                </c:pt>
                <c:pt idx="83">
                  <c:v>690</c:v>
                </c:pt>
                <c:pt idx="84">
                  <c:v>740</c:v>
                </c:pt>
                <c:pt idx="85">
                  <c:v>800</c:v>
                </c:pt>
                <c:pt idx="86">
                  <c:v>825</c:v>
                </c:pt>
                <c:pt idx="87">
                  <c:v>895</c:v>
                </c:pt>
                <c:pt idx="88">
                  <c:v>965</c:v>
                </c:pt>
                <c:pt idx="89">
                  <c:v>1015</c:v>
                </c:pt>
                <c:pt idx="90">
                  <c:v>1030</c:v>
                </c:pt>
                <c:pt idx="91">
                  <c:v>1065</c:v>
                </c:pt>
                <c:pt idx="92">
                  <c:v>1115</c:v>
                </c:pt>
                <c:pt idx="93">
                  <c:v>1130</c:v>
                </c:pt>
                <c:pt idx="94">
                  <c:v>1140</c:v>
                </c:pt>
                <c:pt idx="95">
                  <c:v>1185</c:v>
                </c:pt>
                <c:pt idx="96">
                  <c:v>1225</c:v>
                </c:pt>
                <c:pt idx="97">
                  <c:v>1270</c:v>
                </c:pt>
                <c:pt idx="98">
                  <c:v>1275</c:v>
                </c:pt>
                <c:pt idx="99">
                  <c:v>1270</c:v>
                </c:pt>
                <c:pt idx="100">
                  <c:v>1320</c:v>
                </c:pt>
                <c:pt idx="101">
                  <c:v>1355</c:v>
                </c:pt>
                <c:pt idx="102">
                  <c:v>2725</c:v>
                </c:pt>
                <c:pt idx="103">
                  <c:v>3540</c:v>
                </c:pt>
                <c:pt idx="104">
                  <c:v>3305</c:v>
                </c:pt>
                <c:pt idx="105">
                  <c:v>3435</c:v>
                </c:pt>
                <c:pt idx="106">
                  <c:v>3480</c:v>
                </c:pt>
                <c:pt idx="107">
                  <c:v>3415</c:v>
                </c:pt>
                <c:pt idx="108">
                  <c:v>3205</c:v>
                </c:pt>
                <c:pt idx="109">
                  <c:v>3240</c:v>
                </c:pt>
                <c:pt idx="110">
                  <c:v>3280</c:v>
                </c:pt>
                <c:pt idx="111">
                  <c:v>3275</c:v>
                </c:pt>
                <c:pt idx="112">
                  <c:v>3460</c:v>
                </c:pt>
                <c:pt idx="113">
                  <c:v>3460</c:v>
                </c:pt>
                <c:pt idx="114">
                  <c:v>3395</c:v>
                </c:pt>
                <c:pt idx="115">
                  <c:v>3130</c:v>
                </c:pt>
                <c:pt idx="116">
                  <c:v>2860</c:v>
                </c:pt>
                <c:pt idx="117">
                  <c:v>2790</c:v>
                </c:pt>
                <c:pt idx="118">
                  <c:v>2670</c:v>
                </c:pt>
                <c:pt idx="119">
                  <c:v>2535</c:v>
                </c:pt>
                <c:pt idx="120">
                  <c:v>2560</c:v>
                </c:pt>
              </c:numCache>
            </c:numRef>
          </c:val>
          <c:smooth val="0"/>
          <c:extLst>
            <c:ext xmlns:c16="http://schemas.microsoft.com/office/drawing/2014/chart" uri="{C3380CC4-5D6E-409C-BE32-E72D297353CC}">
              <c16:uniqueId val="{00000000-666C-4FF3-95CE-313077F7D35B}"/>
            </c:ext>
          </c:extLst>
        </c:ser>
        <c:dLbls>
          <c:showLegendKey val="0"/>
          <c:showVal val="0"/>
          <c:showCatName val="0"/>
          <c:showSerName val="0"/>
          <c:showPercent val="0"/>
          <c:showBubbleSize val="0"/>
        </c:dLbls>
        <c:smooth val="0"/>
        <c:axId val="146993536"/>
        <c:axId val="146995072"/>
      </c:lineChart>
      <c:catAx>
        <c:axId val="14699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46995072"/>
        <c:crosses val="autoZero"/>
        <c:auto val="1"/>
        <c:lblAlgn val="ctr"/>
        <c:lblOffset val="100"/>
        <c:noMultiLvlLbl val="0"/>
      </c:catAx>
      <c:valAx>
        <c:axId val="146995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Number of people unemployed</a:t>
                </a:r>
              </a:p>
            </c:rich>
          </c:tx>
          <c:layout>
            <c:manualLayout>
              <c:xMode val="edge"/>
              <c:yMode val="edge"/>
              <c:x val="0"/>
              <c:y val="0.172273832150291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46993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66087532557476"/>
          <c:y val="4.6709129511677279E-2"/>
          <c:w val="0.88031255175320577"/>
          <c:h val="0.75335318476590651"/>
        </c:manualLayout>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Sheet1!$A$2:$A$14</c:f>
              <c:strCache>
                <c:ptCount val="13"/>
                <c:pt idx="0">
                  <c:v>Under 10k</c:v>
                </c:pt>
                <c:pt idx="1">
                  <c:v>£10k to £20k</c:v>
                </c:pt>
                <c:pt idx="2">
                  <c:v>£20k to £30k</c:v>
                </c:pt>
                <c:pt idx="3">
                  <c:v>£30k to £40k</c:v>
                </c:pt>
                <c:pt idx="4">
                  <c:v>£40k to £50k</c:v>
                </c:pt>
                <c:pt idx="5">
                  <c:v>£50k to £60k</c:v>
                </c:pt>
                <c:pt idx="6">
                  <c:v>£60k to £70k</c:v>
                </c:pt>
                <c:pt idx="7">
                  <c:v>£70k to £80k</c:v>
                </c:pt>
                <c:pt idx="8">
                  <c:v>£80k to £90k</c:v>
                </c:pt>
                <c:pt idx="9">
                  <c:v>£90k to £100k</c:v>
                </c:pt>
                <c:pt idx="10">
                  <c:v>£100k to £110k</c:v>
                </c:pt>
                <c:pt idx="11">
                  <c:v>£110k to £120k</c:v>
                </c:pt>
                <c:pt idx="12">
                  <c:v>Over £120k</c:v>
                </c:pt>
              </c:strCache>
            </c:strRef>
          </c:cat>
          <c:val>
            <c:numRef>
              <c:f>Sheet1!$B$2:$B$14</c:f>
              <c:numCache>
                <c:formatCode>0.0%</c:formatCode>
                <c:ptCount val="13"/>
                <c:pt idx="0">
                  <c:v>1.9E-2</c:v>
                </c:pt>
                <c:pt idx="1">
                  <c:v>0.20399999999999999</c:v>
                </c:pt>
                <c:pt idx="2">
                  <c:v>0.18100000000000002</c:v>
                </c:pt>
                <c:pt idx="3">
                  <c:v>0.13900000000000001</c:v>
                </c:pt>
                <c:pt idx="4">
                  <c:v>0.106</c:v>
                </c:pt>
                <c:pt idx="5">
                  <c:v>8.5999999999999993E-2</c:v>
                </c:pt>
                <c:pt idx="6">
                  <c:v>6.3E-2</c:v>
                </c:pt>
                <c:pt idx="7">
                  <c:v>4.2999999999999997E-2</c:v>
                </c:pt>
                <c:pt idx="8">
                  <c:v>3.1E-2</c:v>
                </c:pt>
                <c:pt idx="9">
                  <c:v>2.3E-2</c:v>
                </c:pt>
                <c:pt idx="10">
                  <c:v>1.9E-2</c:v>
                </c:pt>
                <c:pt idx="11">
                  <c:v>1.7000000000000001E-2</c:v>
                </c:pt>
                <c:pt idx="12">
                  <c:v>7.0000000000000007E-2</c:v>
                </c:pt>
              </c:numCache>
            </c:numRef>
          </c:val>
          <c:extLst>
            <c:ext xmlns:c16="http://schemas.microsoft.com/office/drawing/2014/chart" uri="{C3380CC4-5D6E-409C-BE32-E72D297353CC}">
              <c16:uniqueId val="{00000000-0807-4FBD-9308-DB5F3752F74B}"/>
            </c:ext>
          </c:extLst>
        </c:ser>
        <c:dLbls>
          <c:showLegendKey val="0"/>
          <c:showVal val="1"/>
          <c:showCatName val="0"/>
          <c:showSerName val="0"/>
          <c:showPercent val="0"/>
          <c:showBubbleSize val="0"/>
        </c:dLbls>
        <c:gapWidth val="50"/>
        <c:axId val="268408320"/>
        <c:axId val="268415360"/>
      </c:barChart>
      <c:catAx>
        <c:axId val="26840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8415360"/>
        <c:crosses val="autoZero"/>
        <c:auto val="1"/>
        <c:lblAlgn val="ctr"/>
        <c:lblOffset val="100"/>
        <c:noMultiLvlLbl val="0"/>
      </c:catAx>
      <c:valAx>
        <c:axId val="268415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Proportion of households in group</a:t>
                </a:r>
              </a:p>
            </c:rich>
          </c:tx>
          <c:layout>
            <c:manualLayout>
              <c:xMode val="edge"/>
              <c:yMode val="edge"/>
              <c:x val="2.5493945188018066E-3"/>
              <c:y val="0.1415109417055352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8408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070925665600865E-2"/>
          <c:y val="6.2161143859222667E-2"/>
          <c:w val="0.87921079286785009"/>
          <c:h val="0.74909236124977208"/>
        </c:manualLayout>
      </c:layout>
      <c:lineChart>
        <c:grouping val="standard"/>
        <c:varyColors val="0"/>
        <c:ser>
          <c:idx val="0"/>
          <c:order val="0"/>
          <c:tx>
            <c:strRef>
              <c:f>Sheet1!$B$1</c:f>
              <c:strCache>
                <c:ptCount val="1"/>
                <c:pt idx="0">
                  <c:v>Housing Benefit</c:v>
                </c:pt>
              </c:strCache>
            </c:strRef>
          </c:tx>
          <c:spPr>
            <a:ln w="28575" cap="rnd">
              <a:solidFill>
                <a:schemeClr val="accent1"/>
              </a:solidFill>
              <a:round/>
            </a:ln>
            <a:effectLst/>
          </c:spPr>
          <c:marker>
            <c:symbol val="none"/>
          </c:marker>
          <c:cat>
            <c:strRef>
              <c:f>Sheet1!$A$2:$A$155</c:f>
              <c:strCache>
                <c:ptCount val="147"/>
                <c:pt idx="2">
                  <c:v>Jan-09</c:v>
                </c:pt>
                <c:pt idx="14">
                  <c:v>Jan-10</c:v>
                </c:pt>
                <c:pt idx="26">
                  <c:v>Jan-11</c:v>
                </c:pt>
                <c:pt idx="38">
                  <c:v>Jan-12</c:v>
                </c:pt>
                <c:pt idx="50">
                  <c:v>Jan-13</c:v>
                </c:pt>
                <c:pt idx="62">
                  <c:v>Jan-14</c:v>
                </c:pt>
                <c:pt idx="74">
                  <c:v>Jan-15</c:v>
                </c:pt>
                <c:pt idx="86">
                  <c:v>Jan-16</c:v>
                </c:pt>
                <c:pt idx="98">
                  <c:v>Jan-17</c:v>
                </c:pt>
                <c:pt idx="110">
                  <c:v>Jan-18</c:v>
                </c:pt>
                <c:pt idx="122">
                  <c:v>Jan-19</c:v>
                </c:pt>
                <c:pt idx="134">
                  <c:v>Jan-20</c:v>
                </c:pt>
                <c:pt idx="146">
                  <c:v>Jan-21</c:v>
                </c:pt>
              </c:strCache>
            </c:strRef>
          </c:cat>
          <c:val>
            <c:numRef>
              <c:f>Sheet1!$B$2:$B$155</c:f>
              <c:numCache>
                <c:formatCode>General</c:formatCode>
                <c:ptCount val="154"/>
                <c:pt idx="0">
                  <c:v>1550</c:v>
                </c:pt>
                <c:pt idx="1">
                  <c:v>1583</c:v>
                </c:pt>
                <c:pt idx="2">
                  <c:v>1595</c:v>
                </c:pt>
                <c:pt idx="3">
                  <c:v>1650</c:v>
                </c:pt>
                <c:pt idx="4">
                  <c:v>1693</c:v>
                </c:pt>
                <c:pt idx="5">
                  <c:v>1731</c:v>
                </c:pt>
                <c:pt idx="6">
                  <c:v>1759</c:v>
                </c:pt>
                <c:pt idx="7">
                  <c:v>1775</c:v>
                </c:pt>
                <c:pt idx="8">
                  <c:v>1806</c:v>
                </c:pt>
                <c:pt idx="9">
                  <c:v>1783</c:v>
                </c:pt>
                <c:pt idx="10">
                  <c:v>1770</c:v>
                </c:pt>
                <c:pt idx="11">
                  <c:v>1788</c:v>
                </c:pt>
                <c:pt idx="12">
                  <c:v>1860</c:v>
                </c:pt>
                <c:pt idx="13">
                  <c:v>1861</c:v>
                </c:pt>
                <c:pt idx="14">
                  <c:v>1903</c:v>
                </c:pt>
                <c:pt idx="15">
                  <c:v>1933</c:v>
                </c:pt>
                <c:pt idx="16">
                  <c:v>1938</c:v>
                </c:pt>
                <c:pt idx="17">
                  <c:v>1987</c:v>
                </c:pt>
                <c:pt idx="18">
                  <c:v>1984</c:v>
                </c:pt>
                <c:pt idx="19">
                  <c:v>1988</c:v>
                </c:pt>
                <c:pt idx="20">
                  <c:v>2024</c:v>
                </c:pt>
                <c:pt idx="21">
                  <c:v>1991</c:v>
                </c:pt>
                <c:pt idx="22">
                  <c:v>2023</c:v>
                </c:pt>
                <c:pt idx="23">
                  <c:v>1987</c:v>
                </c:pt>
                <c:pt idx="24">
                  <c:v>2004</c:v>
                </c:pt>
                <c:pt idx="25">
                  <c:v>2033</c:v>
                </c:pt>
                <c:pt idx="26">
                  <c:v>2081</c:v>
                </c:pt>
                <c:pt idx="27">
                  <c:v>2080</c:v>
                </c:pt>
                <c:pt idx="28">
                  <c:v>2082</c:v>
                </c:pt>
                <c:pt idx="29">
                  <c:v>2051</c:v>
                </c:pt>
                <c:pt idx="30">
                  <c:v>2071</c:v>
                </c:pt>
                <c:pt idx="31">
                  <c:v>2072</c:v>
                </c:pt>
                <c:pt idx="32">
                  <c:v>2047</c:v>
                </c:pt>
                <c:pt idx="33">
                  <c:v>2055</c:v>
                </c:pt>
                <c:pt idx="34">
                  <c:v>2071</c:v>
                </c:pt>
                <c:pt idx="35">
                  <c:v>2056</c:v>
                </c:pt>
                <c:pt idx="36">
                  <c:v>2117</c:v>
                </c:pt>
                <c:pt idx="37">
                  <c:v>2148</c:v>
                </c:pt>
                <c:pt idx="38">
                  <c:v>2149</c:v>
                </c:pt>
                <c:pt idx="39">
                  <c:v>2181</c:v>
                </c:pt>
                <c:pt idx="40">
                  <c:v>2181</c:v>
                </c:pt>
                <c:pt idx="41">
                  <c:v>2155</c:v>
                </c:pt>
                <c:pt idx="42">
                  <c:v>2153</c:v>
                </c:pt>
                <c:pt idx="43">
                  <c:v>2150</c:v>
                </c:pt>
                <c:pt idx="44">
                  <c:v>2146</c:v>
                </c:pt>
                <c:pt idx="45">
                  <c:v>2146</c:v>
                </c:pt>
                <c:pt idx="46">
                  <c:v>2158</c:v>
                </c:pt>
                <c:pt idx="47">
                  <c:v>2175</c:v>
                </c:pt>
                <c:pt idx="48">
                  <c:v>2176</c:v>
                </c:pt>
                <c:pt idx="49">
                  <c:v>2191</c:v>
                </c:pt>
                <c:pt idx="50">
                  <c:v>2205</c:v>
                </c:pt>
                <c:pt idx="51">
                  <c:v>2211</c:v>
                </c:pt>
                <c:pt idx="52">
                  <c:v>2240</c:v>
                </c:pt>
                <c:pt idx="53">
                  <c:v>2255</c:v>
                </c:pt>
                <c:pt idx="54">
                  <c:v>2268</c:v>
                </c:pt>
                <c:pt idx="55">
                  <c:v>2256</c:v>
                </c:pt>
                <c:pt idx="56">
                  <c:v>2238</c:v>
                </c:pt>
                <c:pt idx="57">
                  <c:v>2237</c:v>
                </c:pt>
                <c:pt idx="58">
                  <c:v>2242</c:v>
                </c:pt>
                <c:pt idx="59">
                  <c:v>2266</c:v>
                </c:pt>
                <c:pt idx="60">
                  <c:v>2248</c:v>
                </c:pt>
                <c:pt idx="61">
                  <c:v>2264</c:v>
                </c:pt>
                <c:pt idx="62">
                  <c:v>2290</c:v>
                </c:pt>
                <c:pt idx="63">
                  <c:v>2292</c:v>
                </c:pt>
                <c:pt idx="64">
                  <c:v>2308</c:v>
                </c:pt>
                <c:pt idx="65">
                  <c:v>2286</c:v>
                </c:pt>
                <c:pt idx="66">
                  <c:v>2282</c:v>
                </c:pt>
                <c:pt idx="67">
                  <c:v>2272</c:v>
                </c:pt>
                <c:pt idx="68">
                  <c:v>2237</c:v>
                </c:pt>
                <c:pt idx="69">
                  <c:v>2227</c:v>
                </c:pt>
                <c:pt idx="70">
                  <c:v>2237</c:v>
                </c:pt>
                <c:pt idx="71">
                  <c:v>2247</c:v>
                </c:pt>
                <c:pt idx="72">
                  <c:v>2189</c:v>
                </c:pt>
                <c:pt idx="73">
                  <c:v>2163</c:v>
                </c:pt>
                <c:pt idx="74">
                  <c:v>2185</c:v>
                </c:pt>
                <c:pt idx="75">
                  <c:v>2185</c:v>
                </c:pt>
                <c:pt idx="76">
                  <c:v>2169</c:v>
                </c:pt>
                <c:pt idx="77">
                  <c:v>2176</c:v>
                </c:pt>
                <c:pt idx="78">
                  <c:v>2120</c:v>
                </c:pt>
                <c:pt idx="79">
                  <c:v>2111</c:v>
                </c:pt>
                <c:pt idx="80">
                  <c:v>2070</c:v>
                </c:pt>
                <c:pt idx="81">
                  <c:v>2038</c:v>
                </c:pt>
                <c:pt idx="82">
                  <c:v>2034</c:v>
                </c:pt>
                <c:pt idx="83">
                  <c:v>2048</c:v>
                </c:pt>
                <c:pt idx="84">
                  <c:v>2035</c:v>
                </c:pt>
                <c:pt idx="85">
                  <c:v>2061</c:v>
                </c:pt>
                <c:pt idx="86">
                  <c:v>2061</c:v>
                </c:pt>
                <c:pt idx="87">
                  <c:v>2055</c:v>
                </c:pt>
                <c:pt idx="88">
                  <c:v>2050</c:v>
                </c:pt>
                <c:pt idx="89">
                  <c:v>2033</c:v>
                </c:pt>
                <c:pt idx="90">
                  <c:v>2028</c:v>
                </c:pt>
                <c:pt idx="91">
                  <c:v>2032</c:v>
                </c:pt>
                <c:pt idx="92">
                  <c:v>1994</c:v>
                </c:pt>
                <c:pt idx="93">
                  <c:v>1976</c:v>
                </c:pt>
                <c:pt idx="94">
                  <c:v>1963</c:v>
                </c:pt>
                <c:pt idx="95">
                  <c:v>1958</c:v>
                </c:pt>
                <c:pt idx="96">
                  <c:v>1961</c:v>
                </c:pt>
                <c:pt idx="97">
                  <c:v>1963</c:v>
                </c:pt>
                <c:pt idx="98">
                  <c:v>1932</c:v>
                </c:pt>
                <c:pt idx="99">
                  <c:v>1947</c:v>
                </c:pt>
                <c:pt idx="100">
                  <c:v>1914</c:v>
                </c:pt>
                <c:pt idx="101">
                  <c:v>1892</c:v>
                </c:pt>
                <c:pt idx="102">
                  <c:v>1896</c:v>
                </c:pt>
                <c:pt idx="103">
                  <c:v>1900</c:v>
                </c:pt>
                <c:pt idx="104">
                  <c:v>1906</c:v>
                </c:pt>
                <c:pt idx="105">
                  <c:v>1920</c:v>
                </c:pt>
                <c:pt idx="106">
                  <c:v>1890</c:v>
                </c:pt>
                <c:pt idx="107">
                  <c:v>1879</c:v>
                </c:pt>
                <c:pt idx="108">
                  <c:v>1879</c:v>
                </c:pt>
                <c:pt idx="109">
                  <c:v>1870</c:v>
                </c:pt>
                <c:pt idx="110">
                  <c:v>1851</c:v>
                </c:pt>
                <c:pt idx="111">
                  <c:v>1844</c:v>
                </c:pt>
                <c:pt idx="112">
                  <c:v>1860</c:v>
                </c:pt>
                <c:pt idx="113">
                  <c:v>1845</c:v>
                </c:pt>
                <c:pt idx="114">
                  <c:v>1852</c:v>
                </c:pt>
                <c:pt idx="115">
                  <c:v>1831</c:v>
                </c:pt>
                <c:pt idx="116">
                  <c:v>1811</c:v>
                </c:pt>
                <c:pt idx="117">
                  <c:v>1758</c:v>
                </c:pt>
                <c:pt idx="118">
                  <c:v>1708</c:v>
                </c:pt>
                <c:pt idx="119">
                  <c:v>1657</c:v>
                </c:pt>
                <c:pt idx="120">
                  <c:v>1624</c:v>
                </c:pt>
                <c:pt idx="121">
                  <c:v>1588</c:v>
                </c:pt>
                <c:pt idx="122">
                  <c:v>1556</c:v>
                </c:pt>
                <c:pt idx="123">
                  <c:v>1513</c:v>
                </c:pt>
                <c:pt idx="124">
                  <c:v>1491</c:v>
                </c:pt>
                <c:pt idx="125">
                  <c:v>1450</c:v>
                </c:pt>
                <c:pt idx="126">
                  <c:v>1423</c:v>
                </c:pt>
                <c:pt idx="127">
                  <c:v>1399</c:v>
                </c:pt>
                <c:pt idx="128">
                  <c:v>1377</c:v>
                </c:pt>
                <c:pt idx="129">
                  <c:v>1352</c:v>
                </c:pt>
                <c:pt idx="130">
                  <c:v>1322</c:v>
                </c:pt>
                <c:pt idx="131">
                  <c:v>1294</c:v>
                </c:pt>
                <c:pt idx="132">
                  <c:v>1280</c:v>
                </c:pt>
                <c:pt idx="133">
                  <c:v>1259</c:v>
                </c:pt>
                <c:pt idx="134">
                  <c:v>1235</c:v>
                </c:pt>
                <c:pt idx="135">
                  <c:v>1204</c:v>
                </c:pt>
                <c:pt idx="136">
                  <c:v>1193</c:v>
                </c:pt>
                <c:pt idx="137">
                  <c:v>1181</c:v>
                </c:pt>
                <c:pt idx="138">
                  <c:v>1152</c:v>
                </c:pt>
                <c:pt idx="139">
                  <c:v>1144</c:v>
                </c:pt>
                <c:pt idx="140">
                  <c:v>1131</c:v>
                </c:pt>
                <c:pt idx="141">
                  <c:v>1127</c:v>
                </c:pt>
                <c:pt idx="142">
                  <c:v>1124</c:v>
                </c:pt>
                <c:pt idx="143">
                  <c:v>1111</c:v>
                </c:pt>
                <c:pt idx="144">
                  <c:v>1106</c:v>
                </c:pt>
                <c:pt idx="145">
                  <c:v>1092</c:v>
                </c:pt>
                <c:pt idx="146">
                  <c:v>1080</c:v>
                </c:pt>
                <c:pt idx="147">
                  <c:v>1074</c:v>
                </c:pt>
                <c:pt idx="148">
                  <c:v>1063</c:v>
                </c:pt>
                <c:pt idx="149">
                  <c:v>1052</c:v>
                </c:pt>
                <c:pt idx="150">
                  <c:v>1031</c:v>
                </c:pt>
                <c:pt idx="151">
                  <c:v>1015</c:v>
                </c:pt>
                <c:pt idx="152">
                  <c:v>1004</c:v>
                </c:pt>
                <c:pt idx="153">
                  <c:v>999</c:v>
                </c:pt>
              </c:numCache>
            </c:numRef>
          </c:val>
          <c:smooth val="0"/>
          <c:extLst>
            <c:ext xmlns:c16="http://schemas.microsoft.com/office/drawing/2014/chart" uri="{C3380CC4-5D6E-409C-BE32-E72D297353CC}">
              <c16:uniqueId val="{00000000-301C-45E1-AEDE-E83DCEFCFA47}"/>
            </c:ext>
          </c:extLst>
        </c:ser>
        <c:ser>
          <c:idx val="1"/>
          <c:order val="1"/>
          <c:tx>
            <c:strRef>
              <c:f>Sheet1!$C$1</c:f>
              <c:strCache>
                <c:ptCount val="1"/>
                <c:pt idx="0">
                  <c:v>Universal Credit</c:v>
                </c:pt>
              </c:strCache>
            </c:strRef>
          </c:tx>
          <c:spPr>
            <a:ln w="28575" cap="rnd">
              <a:solidFill>
                <a:schemeClr val="accent2"/>
              </a:solidFill>
              <a:round/>
            </a:ln>
            <a:effectLst/>
          </c:spPr>
          <c:marker>
            <c:symbol val="none"/>
          </c:marker>
          <c:cat>
            <c:strRef>
              <c:f>Sheet1!$A$2:$A$155</c:f>
              <c:strCache>
                <c:ptCount val="147"/>
                <c:pt idx="2">
                  <c:v>Jan-09</c:v>
                </c:pt>
                <c:pt idx="14">
                  <c:v>Jan-10</c:v>
                </c:pt>
                <c:pt idx="26">
                  <c:v>Jan-11</c:v>
                </c:pt>
                <c:pt idx="38">
                  <c:v>Jan-12</c:v>
                </c:pt>
                <c:pt idx="50">
                  <c:v>Jan-13</c:v>
                </c:pt>
                <c:pt idx="62">
                  <c:v>Jan-14</c:v>
                </c:pt>
                <c:pt idx="74">
                  <c:v>Jan-15</c:v>
                </c:pt>
                <c:pt idx="86">
                  <c:v>Jan-16</c:v>
                </c:pt>
                <c:pt idx="98">
                  <c:v>Jan-17</c:v>
                </c:pt>
                <c:pt idx="110">
                  <c:v>Jan-18</c:v>
                </c:pt>
                <c:pt idx="122">
                  <c:v>Jan-19</c:v>
                </c:pt>
                <c:pt idx="134">
                  <c:v>Jan-20</c:v>
                </c:pt>
                <c:pt idx="146">
                  <c:v>Jan-21</c:v>
                </c:pt>
              </c:strCache>
            </c:strRef>
          </c:cat>
          <c:val>
            <c:numRef>
              <c:f>Sheet1!$C$2:$C$155</c:f>
              <c:numCache>
                <c:formatCode>General</c:formatCode>
                <c:ptCount val="15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9</c:v>
                </c:pt>
                <c:pt idx="85">
                  <c:v>14</c:v>
                </c:pt>
                <c:pt idx="86">
                  <c:v>17</c:v>
                </c:pt>
                <c:pt idx="87">
                  <c:v>24</c:v>
                </c:pt>
                <c:pt idx="88">
                  <c:v>22</c:v>
                </c:pt>
                <c:pt idx="89">
                  <c:v>28</c:v>
                </c:pt>
                <c:pt idx="90">
                  <c:v>29</c:v>
                </c:pt>
                <c:pt idx="91">
                  <c:v>29</c:v>
                </c:pt>
                <c:pt idx="92">
                  <c:v>44</c:v>
                </c:pt>
                <c:pt idx="93">
                  <c:v>43</c:v>
                </c:pt>
                <c:pt idx="94">
                  <c:v>49</c:v>
                </c:pt>
                <c:pt idx="95">
                  <c:v>51</c:v>
                </c:pt>
                <c:pt idx="96">
                  <c:v>52</c:v>
                </c:pt>
                <c:pt idx="97">
                  <c:v>50</c:v>
                </c:pt>
                <c:pt idx="98">
                  <c:v>56</c:v>
                </c:pt>
                <c:pt idx="99">
                  <c:v>65</c:v>
                </c:pt>
                <c:pt idx="100">
                  <c:v>63</c:v>
                </c:pt>
                <c:pt idx="101">
                  <c:v>64</c:v>
                </c:pt>
                <c:pt idx="102">
                  <c:v>72</c:v>
                </c:pt>
                <c:pt idx="103">
                  <c:v>72</c:v>
                </c:pt>
                <c:pt idx="104">
                  <c:v>71</c:v>
                </c:pt>
                <c:pt idx="105">
                  <c:v>71</c:v>
                </c:pt>
                <c:pt idx="106">
                  <c:v>73</c:v>
                </c:pt>
                <c:pt idx="107">
                  <c:v>71</c:v>
                </c:pt>
                <c:pt idx="108">
                  <c:v>67</c:v>
                </c:pt>
                <c:pt idx="109">
                  <c:v>79</c:v>
                </c:pt>
                <c:pt idx="110">
                  <c:v>75</c:v>
                </c:pt>
                <c:pt idx="111">
                  <c:v>74</c:v>
                </c:pt>
                <c:pt idx="112">
                  <c:v>71</c:v>
                </c:pt>
                <c:pt idx="113">
                  <c:v>70</c:v>
                </c:pt>
                <c:pt idx="114">
                  <c:v>68</c:v>
                </c:pt>
                <c:pt idx="115">
                  <c:v>71</c:v>
                </c:pt>
                <c:pt idx="116">
                  <c:v>82</c:v>
                </c:pt>
                <c:pt idx="117">
                  <c:v>124</c:v>
                </c:pt>
                <c:pt idx="118">
                  <c:v>166</c:v>
                </c:pt>
                <c:pt idx="119">
                  <c:v>212</c:v>
                </c:pt>
                <c:pt idx="120">
                  <c:v>250</c:v>
                </c:pt>
                <c:pt idx="121">
                  <c:v>304</c:v>
                </c:pt>
                <c:pt idx="122">
                  <c:v>326</c:v>
                </c:pt>
                <c:pt idx="123">
                  <c:v>380</c:v>
                </c:pt>
                <c:pt idx="124">
                  <c:v>399</c:v>
                </c:pt>
                <c:pt idx="125">
                  <c:v>417</c:v>
                </c:pt>
                <c:pt idx="126">
                  <c:v>473</c:v>
                </c:pt>
                <c:pt idx="127">
                  <c:v>502</c:v>
                </c:pt>
                <c:pt idx="128">
                  <c:v>535</c:v>
                </c:pt>
                <c:pt idx="129">
                  <c:v>575</c:v>
                </c:pt>
                <c:pt idx="130">
                  <c:v>623</c:v>
                </c:pt>
                <c:pt idx="131">
                  <c:v>662</c:v>
                </c:pt>
                <c:pt idx="132">
                  <c:v>700</c:v>
                </c:pt>
                <c:pt idx="133">
                  <c:v>717</c:v>
                </c:pt>
                <c:pt idx="134">
                  <c:v>760</c:v>
                </c:pt>
                <c:pt idx="135">
                  <c:v>817</c:v>
                </c:pt>
                <c:pt idx="136">
                  <c:v>866</c:v>
                </c:pt>
                <c:pt idx="137">
                  <c:v>1356</c:v>
                </c:pt>
                <c:pt idx="138">
                  <c:v>1507</c:v>
                </c:pt>
                <c:pt idx="139">
                  <c:v>1573</c:v>
                </c:pt>
                <c:pt idx="140">
                  <c:v>1621</c:v>
                </c:pt>
                <c:pt idx="141">
                  <c:v>1684</c:v>
                </c:pt>
                <c:pt idx="142">
                  <c:v>1721</c:v>
                </c:pt>
                <c:pt idx="143">
                  <c:v>1754</c:v>
                </c:pt>
                <c:pt idx="144">
                  <c:v>1811</c:v>
                </c:pt>
                <c:pt idx="145">
                  <c:v>1817</c:v>
                </c:pt>
                <c:pt idx="146">
                  <c:v>1816</c:v>
                </c:pt>
                <c:pt idx="147">
                  <c:v>1808</c:v>
                </c:pt>
                <c:pt idx="148">
                  <c:v>1790</c:v>
                </c:pt>
                <c:pt idx="149">
                  <c:v>1779</c:v>
                </c:pt>
                <c:pt idx="150">
                  <c:v>1761</c:v>
                </c:pt>
                <c:pt idx="151">
                  <c:v>1745</c:v>
                </c:pt>
                <c:pt idx="152">
                  <c:v>1731</c:v>
                </c:pt>
                <c:pt idx="153">
                  <c:v>1684</c:v>
                </c:pt>
              </c:numCache>
            </c:numRef>
          </c:val>
          <c:smooth val="0"/>
          <c:extLst>
            <c:ext xmlns:c16="http://schemas.microsoft.com/office/drawing/2014/chart" uri="{C3380CC4-5D6E-409C-BE32-E72D297353CC}">
              <c16:uniqueId val="{00000001-301C-45E1-AEDE-E83DCEFCFA47}"/>
            </c:ext>
          </c:extLst>
        </c:ser>
        <c:ser>
          <c:idx val="2"/>
          <c:order val="2"/>
          <c:tx>
            <c:strRef>
              <c:f>Sheet1!$D$1</c:f>
              <c:strCache>
                <c:ptCount val="1"/>
                <c:pt idx="0">
                  <c:v>TOTAL</c:v>
                </c:pt>
              </c:strCache>
            </c:strRef>
          </c:tx>
          <c:spPr>
            <a:ln w="28575" cap="rnd">
              <a:solidFill>
                <a:schemeClr val="accent3"/>
              </a:solidFill>
              <a:round/>
            </a:ln>
            <a:effectLst/>
          </c:spPr>
          <c:marker>
            <c:symbol val="none"/>
          </c:marker>
          <c:cat>
            <c:strRef>
              <c:f>Sheet1!$A$2:$A$155</c:f>
              <c:strCache>
                <c:ptCount val="147"/>
                <c:pt idx="2">
                  <c:v>Jan-09</c:v>
                </c:pt>
                <c:pt idx="14">
                  <c:v>Jan-10</c:v>
                </c:pt>
                <c:pt idx="26">
                  <c:v>Jan-11</c:v>
                </c:pt>
                <c:pt idx="38">
                  <c:v>Jan-12</c:v>
                </c:pt>
                <c:pt idx="50">
                  <c:v>Jan-13</c:v>
                </c:pt>
                <c:pt idx="62">
                  <c:v>Jan-14</c:v>
                </c:pt>
                <c:pt idx="74">
                  <c:v>Jan-15</c:v>
                </c:pt>
                <c:pt idx="86">
                  <c:v>Jan-16</c:v>
                </c:pt>
                <c:pt idx="98">
                  <c:v>Jan-17</c:v>
                </c:pt>
                <c:pt idx="110">
                  <c:v>Jan-18</c:v>
                </c:pt>
                <c:pt idx="122">
                  <c:v>Jan-19</c:v>
                </c:pt>
                <c:pt idx="134">
                  <c:v>Jan-20</c:v>
                </c:pt>
                <c:pt idx="146">
                  <c:v>Jan-21</c:v>
                </c:pt>
              </c:strCache>
            </c:strRef>
          </c:cat>
          <c:val>
            <c:numRef>
              <c:f>Sheet1!$D$2:$D$155</c:f>
              <c:numCache>
                <c:formatCode>General</c:formatCode>
                <c:ptCount val="154"/>
                <c:pt idx="0">
                  <c:v>1550</c:v>
                </c:pt>
                <c:pt idx="1">
                  <c:v>1583</c:v>
                </c:pt>
                <c:pt idx="2">
                  <c:v>1595</c:v>
                </c:pt>
                <c:pt idx="3">
                  <c:v>1650</c:v>
                </c:pt>
                <c:pt idx="4">
                  <c:v>1693</c:v>
                </c:pt>
                <c:pt idx="5">
                  <c:v>1731</c:v>
                </c:pt>
                <c:pt idx="6">
                  <c:v>1759</c:v>
                </c:pt>
                <c:pt idx="7">
                  <c:v>1775</c:v>
                </c:pt>
                <c:pt idx="8">
                  <c:v>1806</c:v>
                </c:pt>
                <c:pt idx="9">
                  <c:v>1783</c:v>
                </c:pt>
                <c:pt idx="10">
                  <c:v>1770</c:v>
                </c:pt>
                <c:pt idx="11">
                  <c:v>1788</c:v>
                </c:pt>
                <c:pt idx="12">
                  <c:v>1860</c:v>
                </c:pt>
                <c:pt idx="13">
                  <c:v>1861</c:v>
                </c:pt>
                <c:pt idx="14">
                  <c:v>1903</c:v>
                </c:pt>
                <c:pt idx="15">
                  <c:v>1933</c:v>
                </c:pt>
                <c:pt idx="16">
                  <c:v>1938</c:v>
                </c:pt>
                <c:pt idx="17">
                  <c:v>1987</c:v>
                </c:pt>
                <c:pt idx="18">
                  <c:v>1984</c:v>
                </c:pt>
                <c:pt idx="19">
                  <c:v>1988</c:v>
                </c:pt>
                <c:pt idx="20">
                  <c:v>2024</c:v>
                </c:pt>
                <c:pt idx="21">
                  <c:v>1991</c:v>
                </c:pt>
                <c:pt idx="22">
                  <c:v>2023</c:v>
                </c:pt>
                <c:pt idx="23">
                  <c:v>1987</c:v>
                </c:pt>
                <c:pt idx="24">
                  <c:v>2004</c:v>
                </c:pt>
                <c:pt idx="25">
                  <c:v>2033</c:v>
                </c:pt>
                <c:pt idx="26">
                  <c:v>2081</c:v>
                </c:pt>
                <c:pt idx="27">
                  <c:v>2080</c:v>
                </c:pt>
                <c:pt idx="28">
                  <c:v>2082</c:v>
                </c:pt>
                <c:pt idx="29">
                  <c:v>2051</c:v>
                </c:pt>
                <c:pt idx="30">
                  <c:v>2071</c:v>
                </c:pt>
                <c:pt idx="31">
                  <c:v>2072</c:v>
                </c:pt>
                <c:pt idx="32">
                  <c:v>2047</c:v>
                </c:pt>
                <c:pt idx="33">
                  <c:v>2055</c:v>
                </c:pt>
                <c:pt idx="34">
                  <c:v>2071</c:v>
                </c:pt>
                <c:pt idx="35">
                  <c:v>2056</c:v>
                </c:pt>
                <c:pt idx="36">
                  <c:v>2117</c:v>
                </c:pt>
                <c:pt idx="37">
                  <c:v>2148</c:v>
                </c:pt>
                <c:pt idx="38">
                  <c:v>2149</c:v>
                </c:pt>
                <c:pt idx="39">
                  <c:v>2181</c:v>
                </c:pt>
                <c:pt idx="40">
                  <c:v>2181</c:v>
                </c:pt>
                <c:pt idx="41">
                  <c:v>2155</c:v>
                </c:pt>
                <c:pt idx="42">
                  <c:v>2153</c:v>
                </c:pt>
                <c:pt idx="43">
                  <c:v>2150</c:v>
                </c:pt>
                <c:pt idx="44">
                  <c:v>2146</c:v>
                </c:pt>
                <c:pt idx="45">
                  <c:v>2146</c:v>
                </c:pt>
                <c:pt idx="46">
                  <c:v>2158</c:v>
                </c:pt>
                <c:pt idx="47">
                  <c:v>2175</c:v>
                </c:pt>
                <c:pt idx="48">
                  <c:v>2176</c:v>
                </c:pt>
                <c:pt idx="49">
                  <c:v>2191</c:v>
                </c:pt>
                <c:pt idx="50">
                  <c:v>2205</c:v>
                </c:pt>
                <c:pt idx="51">
                  <c:v>2211</c:v>
                </c:pt>
                <c:pt idx="52">
                  <c:v>2240</c:v>
                </c:pt>
                <c:pt idx="53">
                  <c:v>2255</c:v>
                </c:pt>
                <c:pt idx="54">
                  <c:v>2268</c:v>
                </c:pt>
                <c:pt idx="55">
                  <c:v>2256</c:v>
                </c:pt>
                <c:pt idx="56">
                  <c:v>2238</c:v>
                </c:pt>
                <c:pt idx="57">
                  <c:v>2237</c:v>
                </c:pt>
                <c:pt idx="58">
                  <c:v>2242</c:v>
                </c:pt>
                <c:pt idx="59">
                  <c:v>2266</c:v>
                </c:pt>
                <c:pt idx="60">
                  <c:v>2248</c:v>
                </c:pt>
                <c:pt idx="61">
                  <c:v>2264</c:v>
                </c:pt>
                <c:pt idx="62">
                  <c:v>2290</c:v>
                </c:pt>
                <c:pt idx="63">
                  <c:v>2292</c:v>
                </c:pt>
                <c:pt idx="64">
                  <c:v>2308</c:v>
                </c:pt>
                <c:pt idx="65">
                  <c:v>2286</c:v>
                </c:pt>
                <c:pt idx="66">
                  <c:v>2282</c:v>
                </c:pt>
                <c:pt idx="67">
                  <c:v>2272</c:v>
                </c:pt>
                <c:pt idx="68">
                  <c:v>2237</c:v>
                </c:pt>
                <c:pt idx="69">
                  <c:v>2227</c:v>
                </c:pt>
                <c:pt idx="70">
                  <c:v>2237</c:v>
                </c:pt>
                <c:pt idx="71">
                  <c:v>2247</c:v>
                </c:pt>
                <c:pt idx="72">
                  <c:v>2189</c:v>
                </c:pt>
                <c:pt idx="73">
                  <c:v>2163</c:v>
                </c:pt>
                <c:pt idx="74">
                  <c:v>2185</c:v>
                </c:pt>
                <c:pt idx="75">
                  <c:v>2185</c:v>
                </c:pt>
                <c:pt idx="76">
                  <c:v>2169</c:v>
                </c:pt>
                <c:pt idx="77">
                  <c:v>2176</c:v>
                </c:pt>
                <c:pt idx="78">
                  <c:v>2120</c:v>
                </c:pt>
                <c:pt idx="79">
                  <c:v>2111</c:v>
                </c:pt>
                <c:pt idx="80">
                  <c:v>2070</c:v>
                </c:pt>
                <c:pt idx="81">
                  <c:v>2038</c:v>
                </c:pt>
                <c:pt idx="82">
                  <c:v>2034</c:v>
                </c:pt>
                <c:pt idx="83">
                  <c:v>2048</c:v>
                </c:pt>
                <c:pt idx="84">
                  <c:v>2044</c:v>
                </c:pt>
                <c:pt idx="85">
                  <c:v>2075</c:v>
                </c:pt>
                <c:pt idx="86">
                  <c:v>2078</c:v>
                </c:pt>
                <c:pt idx="87">
                  <c:v>2079</c:v>
                </c:pt>
                <c:pt idx="88">
                  <c:v>2072</c:v>
                </c:pt>
                <c:pt idx="89">
                  <c:v>2061</c:v>
                </c:pt>
                <c:pt idx="90">
                  <c:v>2057</c:v>
                </c:pt>
                <c:pt idx="91">
                  <c:v>2061</c:v>
                </c:pt>
                <c:pt idx="92">
                  <c:v>2038</c:v>
                </c:pt>
                <c:pt idx="93">
                  <c:v>2019</c:v>
                </c:pt>
                <c:pt idx="94">
                  <c:v>2012</c:v>
                </c:pt>
                <c:pt idx="95">
                  <c:v>2009</c:v>
                </c:pt>
                <c:pt idx="96">
                  <c:v>2013</c:v>
                </c:pt>
                <c:pt idx="97">
                  <c:v>2013</c:v>
                </c:pt>
                <c:pt idx="98">
                  <c:v>1988</c:v>
                </c:pt>
                <c:pt idx="99">
                  <c:v>2012</c:v>
                </c:pt>
                <c:pt idx="100">
                  <c:v>1977</c:v>
                </c:pt>
                <c:pt idx="101">
                  <c:v>1956</c:v>
                </c:pt>
                <c:pt idx="102">
                  <c:v>1968</c:v>
                </c:pt>
                <c:pt idx="103">
                  <c:v>1972</c:v>
                </c:pt>
                <c:pt idx="104">
                  <c:v>1977</c:v>
                </c:pt>
                <c:pt idx="105">
                  <c:v>1991</c:v>
                </c:pt>
                <c:pt idx="106">
                  <c:v>1963</c:v>
                </c:pt>
                <c:pt idx="107">
                  <c:v>1950</c:v>
                </c:pt>
                <c:pt idx="108">
                  <c:v>1946</c:v>
                </c:pt>
                <c:pt idx="109">
                  <c:v>1949</c:v>
                </c:pt>
                <c:pt idx="110">
                  <c:v>1926</c:v>
                </c:pt>
                <c:pt idx="111">
                  <c:v>1918</c:v>
                </c:pt>
                <c:pt idx="112">
                  <c:v>1931</c:v>
                </c:pt>
                <c:pt idx="113">
                  <c:v>1915</c:v>
                </c:pt>
                <c:pt idx="114">
                  <c:v>1920</c:v>
                </c:pt>
                <c:pt idx="115">
                  <c:v>1902</c:v>
                </c:pt>
                <c:pt idx="116">
                  <c:v>1893</c:v>
                </c:pt>
                <c:pt idx="117">
                  <c:v>1882</c:v>
                </c:pt>
                <c:pt idx="118">
                  <c:v>1874</c:v>
                </c:pt>
                <c:pt idx="119">
                  <c:v>1869</c:v>
                </c:pt>
                <c:pt idx="120">
                  <c:v>1874</c:v>
                </c:pt>
                <c:pt idx="121">
                  <c:v>1892</c:v>
                </c:pt>
                <c:pt idx="122">
                  <c:v>1882</c:v>
                </c:pt>
                <c:pt idx="123">
                  <c:v>1893</c:v>
                </c:pt>
                <c:pt idx="124">
                  <c:v>1890</c:v>
                </c:pt>
                <c:pt idx="125">
                  <c:v>1867</c:v>
                </c:pt>
                <c:pt idx="126">
                  <c:v>1896</c:v>
                </c:pt>
                <c:pt idx="127">
                  <c:v>1901</c:v>
                </c:pt>
                <c:pt idx="128">
                  <c:v>1912</c:v>
                </c:pt>
                <c:pt idx="129">
                  <c:v>1927</c:v>
                </c:pt>
                <c:pt idx="130">
                  <c:v>1945</c:v>
                </c:pt>
                <c:pt idx="131">
                  <c:v>1956</c:v>
                </c:pt>
                <c:pt idx="132">
                  <c:v>1980</c:v>
                </c:pt>
                <c:pt idx="133">
                  <c:v>1976</c:v>
                </c:pt>
                <c:pt idx="134">
                  <c:v>1995</c:v>
                </c:pt>
                <c:pt idx="135">
                  <c:v>2021</c:v>
                </c:pt>
                <c:pt idx="136">
                  <c:v>2059</c:v>
                </c:pt>
                <c:pt idx="137">
                  <c:v>2537</c:v>
                </c:pt>
                <c:pt idx="138">
                  <c:v>2659</c:v>
                </c:pt>
                <c:pt idx="139">
                  <c:v>2717</c:v>
                </c:pt>
                <c:pt idx="140">
                  <c:v>2752</c:v>
                </c:pt>
                <c:pt idx="141">
                  <c:v>2811</c:v>
                </c:pt>
                <c:pt idx="142">
                  <c:v>2845</c:v>
                </c:pt>
                <c:pt idx="143">
                  <c:v>2865</c:v>
                </c:pt>
                <c:pt idx="144">
                  <c:v>2917</c:v>
                </c:pt>
                <c:pt idx="145">
                  <c:v>2909</c:v>
                </c:pt>
                <c:pt idx="146">
                  <c:v>2896</c:v>
                </c:pt>
                <c:pt idx="147">
                  <c:v>2882</c:v>
                </c:pt>
                <c:pt idx="148">
                  <c:v>2853</c:v>
                </c:pt>
                <c:pt idx="149">
                  <c:v>2831</c:v>
                </c:pt>
                <c:pt idx="150">
                  <c:v>2792</c:v>
                </c:pt>
                <c:pt idx="151">
                  <c:v>2760</c:v>
                </c:pt>
                <c:pt idx="152">
                  <c:v>2735</c:v>
                </c:pt>
                <c:pt idx="153">
                  <c:v>2683</c:v>
                </c:pt>
              </c:numCache>
            </c:numRef>
          </c:val>
          <c:smooth val="0"/>
          <c:extLst>
            <c:ext xmlns:c16="http://schemas.microsoft.com/office/drawing/2014/chart" uri="{C3380CC4-5D6E-409C-BE32-E72D297353CC}">
              <c16:uniqueId val="{00000002-301C-45E1-AEDE-E83DCEFCFA47}"/>
            </c:ext>
          </c:extLst>
        </c:ser>
        <c:dLbls>
          <c:showLegendKey val="0"/>
          <c:showVal val="0"/>
          <c:showCatName val="0"/>
          <c:showSerName val="0"/>
          <c:showPercent val="0"/>
          <c:showBubbleSize val="0"/>
        </c:dLbls>
        <c:smooth val="0"/>
        <c:axId val="267770880"/>
        <c:axId val="267780864"/>
      </c:lineChart>
      <c:catAx>
        <c:axId val="26777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7780864"/>
        <c:crosses val="autoZero"/>
        <c:auto val="1"/>
        <c:lblAlgn val="ctr"/>
        <c:lblOffset val="100"/>
        <c:noMultiLvlLbl val="0"/>
      </c:catAx>
      <c:valAx>
        <c:axId val="26778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7770880"/>
        <c:crosses val="autoZero"/>
        <c:crossBetween val="between"/>
      </c:valAx>
      <c:spPr>
        <a:noFill/>
        <a:ln>
          <a:noFill/>
        </a:ln>
        <a:effectLst/>
      </c:spPr>
    </c:plotArea>
    <c:legend>
      <c:legendPos val="t"/>
      <c:layout>
        <c:manualLayout>
          <c:xMode val="edge"/>
          <c:yMode val="edge"/>
          <c:x val="0.32808246833578208"/>
          <c:y val="0.48511576626240355"/>
          <c:w val="0.25312048920683455"/>
          <c:h val="0.1812044552865290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41284767461621"/>
          <c:y val="4.6121593291404611E-2"/>
          <c:w val="0.85920825544288992"/>
          <c:h val="0.66722229488755769"/>
        </c:manualLayout>
      </c:layout>
      <c:barChart>
        <c:barDir val="col"/>
        <c:grouping val="percentStacked"/>
        <c:varyColors val="0"/>
        <c:ser>
          <c:idx val="0"/>
          <c:order val="0"/>
          <c:tx>
            <c:strRef>
              <c:f>Sheet1!$B$1</c:f>
              <c:strCache>
                <c:ptCount val="1"/>
                <c:pt idx="0">
                  <c:v>Owner-occupied (no mortgage)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Married couple</c:v>
                </c:pt>
                <c:pt idx="1">
                  <c:v>Cohabiting couple</c:v>
                </c:pt>
                <c:pt idx="2">
                  <c:v>Lone parent</c:v>
                </c:pt>
                <c:pt idx="3">
                  <c:v>Other households</c:v>
                </c:pt>
                <c:pt idx="4">
                  <c:v>All other households (no dependent children)</c:v>
                </c:pt>
                <c:pt idx="5">
                  <c:v>All households</c:v>
                </c:pt>
                <c:pt idx="6">
                  <c:v>All households with dependent children</c:v>
                </c:pt>
              </c:strCache>
            </c:strRef>
          </c:cat>
          <c:val>
            <c:numRef>
              <c:f>Sheet1!$B$2:$B$8</c:f>
              <c:numCache>
                <c:formatCode>0.0%</c:formatCode>
                <c:ptCount val="7"/>
                <c:pt idx="0">
                  <c:v>0.13407898370615853</c:v>
                </c:pt>
                <c:pt idx="1">
                  <c:v>5.9025394646533974E-2</c:v>
                </c:pt>
                <c:pt idx="2">
                  <c:v>8.5041430440470994E-2</c:v>
                </c:pt>
                <c:pt idx="3">
                  <c:v>0.20718562874251498</c:v>
                </c:pt>
                <c:pt idx="4">
                  <c:v>0.49406906709450038</c:v>
                </c:pt>
                <c:pt idx="5">
                  <c:v>0.40543251484512921</c:v>
                </c:pt>
                <c:pt idx="6">
                  <c:v>0.12048702122262619</c:v>
                </c:pt>
              </c:numCache>
            </c:numRef>
          </c:val>
          <c:extLst>
            <c:ext xmlns:c16="http://schemas.microsoft.com/office/drawing/2014/chart" uri="{C3380CC4-5D6E-409C-BE32-E72D297353CC}">
              <c16:uniqueId val="{00000000-A895-4D51-8964-5E95A56C4A9E}"/>
            </c:ext>
          </c:extLst>
        </c:ser>
        <c:ser>
          <c:idx val="1"/>
          <c:order val="1"/>
          <c:tx>
            <c:strRef>
              <c:f>Sheet1!$C$1</c:f>
              <c:strCache>
                <c:ptCount val="1"/>
                <c:pt idx="0">
                  <c:v>Owner-occupied (with mortgage)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Married couple</c:v>
                </c:pt>
                <c:pt idx="1">
                  <c:v>Cohabiting couple</c:v>
                </c:pt>
                <c:pt idx="2">
                  <c:v>Lone parent</c:v>
                </c:pt>
                <c:pt idx="3">
                  <c:v>Other households</c:v>
                </c:pt>
                <c:pt idx="4">
                  <c:v>All other households (no dependent children)</c:v>
                </c:pt>
                <c:pt idx="5">
                  <c:v>All households</c:v>
                </c:pt>
                <c:pt idx="6">
                  <c:v>All households with dependent children</c:v>
                </c:pt>
              </c:strCache>
            </c:strRef>
          </c:cat>
          <c:val>
            <c:numRef>
              <c:f>Sheet1!$C$2:$C$8</c:f>
              <c:numCache>
                <c:formatCode>0.0%</c:formatCode>
                <c:ptCount val="7"/>
                <c:pt idx="0">
                  <c:v>0.59969621651477489</c:v>
                </c:pt>
                <c:pt idx="1">
                  <c:v>0.37062457103637614</c:v>
                </c:pt>
                <c:pt idx="2">
                  <c:v>0.25032708242477103</c:v>
                </c:pt>
                <c:pt idx="3">
                  <c:v>0.43113772455089822</c:v>
                </c:pt>
                <c:pt idx="4">
                  <c:v>0.20801662239288815</c:v>
                </c:pt>
                <c:pt idx="5">
                  <c:v>0.27535708554004173</c:v>
                </c:pt>
                <c:pt idx="6">
                  <c:v>0.49184070347509934</c:v>
                </c:pt>
              </c:numCache>
            </c:numRef>
          </c:val>
          <c:extLst>
            <c:ext xmlns:c16="http://schemas.microsoft.com/office/drawing/2014/chart" uri="{C3380CC4-5D6E-409C-BE32-E72D297353CC}">
              <c16:uniqueId val="{00000001-A895-4D51-8964-5E95A56C4A9E}"/>
            </c:ext>
          </c:extLst>
        </c:ser>
        <c:ser>
          <c:idx val="2"/>
          <c:order val="2"/>
          <c:tx>
            <c:strRef>
              <c:f>Sheet1!$D$1</c:f>
              <c:strCache>
                <c:ptCount val="1"/>
                <c:pt idx="0">
                  <c:v>Social rented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Married couple</c:v>
                </c:pt>
                <c:pt idx="1">
                  <c:v>Cohabiting couple</c:v>
                </c:pt>
                <c:pt idx="2">
                  <c:v>Lone parent</c:v>
                </c:pt>
                <c:pt idx="3">
                  <c:v>Other households</c:v>
                </c:pt>
                <c:pt idx="4">
                  <c:v>All other households (no dependent children)</c:v>
                </c:pt>
                <c:pt idx="5">
                  <c:v>All households</c:v>
                </c:pt>
                <c:pt idx="6">
                  <c:v>All households with dependent children</c:v>
                </c:pt>
              </c:strCache>
            </c:strRef>
          </c:cat>
          <c:val>
            <c:numRef>
              <c:f>Sheet1!$D$2:$D$8</c:f>
              <c:numCache>
                <c:formatCode>0.0%</c:formatCode>
                <c:ptCount val="7"/>
                <c:pt idx="0">
                  <c:v>0.10176746755040045</c:v>
                </c:pt>
                <c:pt idx="1">
                  <c:v>0.33081674673987643</c:v>
                </c:pt>
                <c:pt idx="2">
                  <c:v>0.40078499781945048</c:v>
                </c:pt>
                <c:pt idx="3">
                  <c:v>0.17125748502994012</c:v>
                </c:pt>
                <c:pt idx="4">
                  <c:v>0.13482023092501513</c:v>
                </c:pt>
                <c:pt idx="5">
                  <c:v>0.1485917188252287</c:v>
                </c:pt>
                <c:pt idx="6">
                  <c:v>0.19286378625179673</c:v>
                </c:pt>
              </c:numCache>
            </c:numRef>
          </c:val>
          <c:extLst>
            <c:ext xmlns:c16="http://schemas.microsoft.com/office/drawing/2014/chart" uri="{C3380CC4-5D6E-409C-BE32-E72D297353CC}">
              <c16:uniqueId val="{00000002-A895-4D51-8964-5E95A56C4A9E}"/>
            </c:ext>
          </c:extLst>
        </c:ser>
        <c:ser>
          <c:idx val="3"/>
          <c:order val="3"/>
          <c:tx>
            <c:strRef>
              <c:f>Sheet1!$E$1</c:f>
              <c:strCache>
                <c:ptCount val="1"/>
                <c:pt idx="0">
                  <c:v>Private rented/rent free</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Married couple</c:v>
                </c:pt>
                <c:pt idx="1">
                  <c:v>Cohabiting couple</c:v>
                </c:pt>
                <c:pt idx="2">
                  <c:v>Lone parent</c:v>
                </c:pt>
                <c:pt idx="3">
                  <c:v>Other households</c:v>
                </c:pt>
                <c:pt idx="4">
                  <c:v>All other households (no dependent children)</c:v>
                </c:pt>
                <c:pt idx="5">
                  <c:v>All households</c:v>
                </c:pt>
                <c:pt idx="6">
                  <c:v>All households with dependent children</c:v>
                </c:pt>
              </c:strCache>
            </c:strRef>
          </c:cat>
          <c:val>
            <c:numRef>
              <c:f>Sheet1!$E$2:$E$8</c:f>
              <c:numCache>
                <c:formatCode>0.0%</c:formatCode>
                <c:ptCount val="7"/>
                <c:pt idx="0">
                  <c:v>0.16445733222866613</c:v>
                </c:pt>
                <c:pt idx="1">
                  <c:v>0.23953328757721346</c:v>
                </c:pt>
                <c:pt idx="2">
                  <c:v>0.26384648931530746</c:v>
                </c:pt>
                <c:pt idx="3">
                  <c:v>0.19041916167664671</c:v>
                </c:pt>
                <c:pt idx="4">
                  <c:v>0.16309407958759634</c:v>
                </c:pt>
                <c:pt idx="5">
                  <c:v>0.17061868078960038</c:v>
                </c:pt>
                <c:pt idx="6">
                  <c:v>0.19480848905047771</c:v>
                </c:pt>
              </c:numCache>
            </c:numRef>
          </c:val>
          <c:extLst>
            <c:ext xmlns:c16="http://schemas.microsoft.com/office/drawing/2014/chart" uri="{C3380CC4-5D6E-409C-BE32-E72D297353CC}">
              <c16:uniqueId val="{00000003-A895-4D51-8964-5E95A56C4A9E}"/>
            </c:ext>
          </c:extLst>
        </c:ser>
        <c:dLbls>
          <c:dLblPos val="ctr"/>
          <c:showLegendKey val="0"/>
          <c:showVal val="1"/>
          <c:showCatName val="0"/>
          <c:showSerName val="0"/>
          <c:showPercent val="0"/>
          <c:showBubbleSize val="0"/>
        </c:dLbls>
        <c:gapWidth val="100"/>
        <c:overlap val="100"/>
        <c:axId val="267802880"/>
        <c:axId val="273494016"/>
      </c:barChart>
      <c:catAx>
        <c:axId val="26780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73494016"/>
        <c:crosses val="autoZero"/>
        <c:auto val="1"/>
        <c:lblAlgn val="ctr"/>
        <c:lblOffset val="100"/>
        <c:noMultiLvlLbl val="0"/>
      </c:catAx>
      <c:valAx>
        <c:axId val="273494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 of households in group</a:t>
                </a:r>
              </a:p>
            </c:rich>
          </c:tx>
          <c:layout>
            <c:manualLayout>
              <c:xMode val="edge"/>
              <c:yMode val="edge"/>
              <c:x val="0"/>
              <c:y val="0.2019429175126694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67802880"/>
        <c:crosses val="autoZero"/>
        <c:crossBetween val="between"/>
      </c:valAx>
      <c:spPr>
        <a:noFill/>
        <a:ln>
          <a:noFill/>
        </a:ln>
        <a:effectLst/>
      </c:spPr>
    </c:plotArea>
    <c:legend>
      <c:legendPos val="b"/>
      <c:layout>
        <c:manualLayout>
          <c:xMode val="edge"/>
          <c:yMode val="edge"/>
          <c:x val="0"/>
          <c:y val="0.92164112892724137"/>
          <c:w val="0.99139145971374953"/>
          <c:h val="7.835887107275868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1-bedroom</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All households with dependent children</c:v>
                </c:pt>
                <c:pt idx="1">
                  <c:v>All households</c:v>
                </c:pt>
                <c:pt idx="2">
                  <c:v>All other households</c:v>
                </c:pt>
                <c:pt idx="3">
                  <c:v>Other household types: With dependent children</c:v>
                </c:pt>
                <c:pt idx="4">
                  <c:v>Lone parent: Dependent children</c:v>
                </c:pt>
                <c:pt idx="5">
                  <c:v>Cohabiting couple: Dependent children</c:v>
                </c:pt>
                <c:pt idx="6">
                  <c:v>Married or same-sex civil partnership couple: Dependent children</c:v>
                </c:pt>
              </c:strCache>
            </c:strRef>
          </c:cat>
          <c:val>
            <c:numRef>
              <c:f>Sheet1!$B$2:$B$8</c:f>
              <c:numCache>
                <c:formatCode>General</c:formatCode>
                <c:ptCount val="7"/>
                <c:pt idx="0">
                  <c:v>1.378202418195654E-2</c:v>
                </c:pt>
                <c:pt idx="1">
                  <c:v>9.5811266249398175E-2</c:v>
                </c:pt>
                <c:pt idx="2">
                  <c:v>0.12132768733068568</c:v>
                </c:pt>
                <c:pt idx="3">
                  <c:v>3.592814371257485E-3</c:v>
                </c:pt>
                <c:pt idx="4">
                  <c:v>2.7911033580462277E-2</c:v>
                </c:pt>
                <c:pt idx="5">
                  <c:v>3.3630748112560054E-2</c:v>
                </c:pt>
                <c:pt idx="6">
                  <c:v>6.4899199116266225E-3</c:v>
                </c:pt>
              </c:numCache>
            </c:numRef>
          </c:val>
          <c:extLst>
            <c:ext xmlns:c16="http://schemas.microsoft.com/office/drawing/2014/chart" uri="{C3380CC4-5D6E-409C-BE32-E72D297353CC}">
              <c16:uniqueId val="{00000000-7B03-4B91-A58F-57AEEA52BE43}"/>
            </c:ext>
          </c:extLst>
        </c:ser>
        <c:ser>
          <c:idx val="1"/>
          <c:order val="1"/>
          <c:tx>
            <c:strRef>
              <c:f>Sheet1!$C$1</c:f>
              <c:strCache>
                <c:ptCount val="1"/>
                <c:pt idx="0">
                  <c:v>2-bedrooms</c:v>
                </c:pt>
              </c:strCache>
            </c:strRef>
          </c:tx>
          <c:spPr>
            <a:solidFill>
              <a:schemeClr val="accent2"/>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All households with dependent children</c:v>
                </c:pt>
                <c:pt idx="1">
                  <c:v>All households</c:v>
                </c:pt>
                <c:pt idx="2">
                  <c:v>All other households</c:v>
                </c:pt>
                <c:pt idx="3">
                  <c:v>Other household types: With dependent children</c:v>
                </c:pt>
                <c:pt idx="4">
                  <c:v>Lone parent: Dependent children</c:v>
                </c:pt>
                <c:pt idx="5">
                  <c:v>Cohabiting couple: Dependent children</c:v>
                </c:pt>
                <c:pt idx="6">
                  <c:v>Married or same-sex civil partnership couple: Dependent children</c:v>
                </c:pt>
              </c:strCache>
            </c:strRef>
          </c:cat>
          <c:val>
            <c:numRef>
              <c:f>Sheet1!$C$2:$C$8</c:f>
              <c:numCache>
                <c:formatCode>General</c:formatCode>
                <c:ptCount val="7"/>
                <c:pt idx="0">
                  <c:v>0.20503931681745161</c:v>
                </c:pt>
                <c:pt idx="1">
                  <c:v>0.27993099021023915</c:v>
                </c:pt>
                <c:pt idx="2">
                  <c:v>0.30322716393571975</c:v>
                </c:pt>
                <c:pt idx="3">
                  <c:v>0.11377245508982035</c:v>
                </c:pt>
                <c:pt idx="4">
                  <c:v>0.38770170082860883</c:v>
                </c:pt>
                <c:pt idx="5">
                  <c:v>0.37131091283459161</c:v>
                </c:pt>
                <c:pt idx="6">
                  <c:v>0.12427506213753108</c:v>
                </c:pt>
              </c:numCache>
            </c:numRef>
          </c:val>
          <c:extLst>
            <c:ext xmlns:c16="http://schemas.microsoft.com/office/drawing/2014/chart" uri="{C3380CC4-5D6E-409C-BE32-E72D297353CC}">
              <c16:uniqueId val="{00000001-7B03-4B91-A58F-57AEEA52BE43}"/>
            </c:ext>
          </c:extLst>
        </c:ser>
        <c:ser>
          <c:idx val="2"/>
          <c:order val="2"/>
          <c:tx>
            <c:strRef>
              <c:f>Sheet1!$D$1</c:f>
              <c:strCache>
                <c:ptCount val="1"/>
                <c:pt idx="0">
                  <c:v>3-bedrooms</c:v>
                </c:pt>
              </c:strCache>
            </c:strRef>
          </c:tx>
          <c:spPr>
            <a:solidFill>
              <a:schemeClr val="accent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All households with dependent children</c:v>
                </c:pt>
                <c:pt idx="1">
                  <c:v>All households</c:v>
                </c:pt>
                <c:pt idx="2">
                  <c:v>All other households</c:v>
                </c:pt>
                <c:pt idx="3">
                  <c:v>Other household types: With dependent children</c:v>
                </c:pt>
                <c:pt idx="4">
                  <c:v>Lone parent: Dependent children</c:v>
                </c:pt>
                <c:pt idx="5">
                  <c:v>Cohabiting couple: Dependent children</c:v>
                </c:pt>
                <c:pt idx="6">
                  <c:v>Married or same-sex civil partnership couple: Dependent children</c:v>
                </c:pt>
              </c:strCache>
            </c:strRef>
          </c:cat>
          <c:val>
            <c:numRef>
              <c:f>Sheet1!$D$2:$D$8</c:f>
              <c:numCache>
                <c:formatCode>General</c:formatCode>
                <c:ptCount val="7"/>
                <c:pt idx="0">
                  <c:v>0.42665088357148895</c:v>
                </c:pt>
                <c:pt idx="1">
                  <c:v>0.38005536831969189</c:v>
                </c:pt>
                <c:pt idx="2">
                  <c:v>0.36556113726624762</c:v>
                </c:pt>
                <c:pt idx="3">
                  <c:v>0.3772455089820359</c:v>
                </c:pt>
                <c:pt idx="4">
                  <c:v>0.44395987788922808</c:v>
                </c:pt>
                <c:pt idx="5">
                  <c:v>0.42141386410432397</c:v>
                </c:pt>
                <c:pt idx="6">
                  <c:v>0.42792046396023198</c:v>
                </c:pt>
              </c:numCache>
            </c:numRef>
          </c:val>
          <c:extLst>
            <c:ext xmlns:c16="http://schemas.microsoft.com/office/drawing/2014/chart" uri="{C3380CC4-5D6E-409C-BE32-E72D297353CC}">
              <c16:uniqueId val="{00000002-7B03-4B91-A58F-57AEEA52BE43}"/>
            </c:ext>
          </c:extLst>
        </c:ser>
        <c:ser>
          <c:idx val="3"/>
          <c:order val="3"/>
          <c:tx>
            <c:strRef>
              <c:f>Sheet1!$E$1</c:f>
              <c:strCache>
                <c:ptCount val="1"/>
                <c:pt idx="0">
                  <c:v>4+-bedrooms</c:v>
                </c:pt>
              </c:strCache>
            </c:strRef>
          </c:tx>
          <c:spPr>
            <a:solidFill>
              <a:schemeClr val="accent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All households with dependent children</c:v>
                </c:pt>
                <c:pt idx="1">
                  <c:v>All households</c:v>
                </c:pt>
                <c:pt idx="2">
                  <c:v>All other households</c:v>
                </c:pt>
                <c:pt idx="3">
                  <c:v>Other household types: With dependent children</c:v>
                </c:pt>
                <c:pt idx="4">
                  <c:v>Lone parent: Dependent children</c:v>
                </c:pt>
                <c:pt idx="5">
                  <c:v>Cohabiting couple: Dependent children</c:v>
                </c:pt>
                <c:pt idx="6">
                  <c:v>Married or same-sex civil partnership couple: Dependent children</c:v>
                </c:pt>
              </c:strCache>
            </c:strRef>
          </c:cat>
          <c:val>
            <c:numRef>
              <c:f>Sheet1!$E$2:$E$8</c:f>
              <c:numCache>
                <c:formatCode>General</c:formatCode>
                <c:ptCount val="7"/>
                <c:pt idx="0">
                  <c:v>0.35452777542910291</c:v>
                </c:pt>
                <c:pt idx="1">
                  <c:v>0.24420237522067079</c:v>
                </c:pt>
                <c:pt idx="2">
                  <c:v>0.20988401146734698</c:v>
                </c:pt>
                <c:pt idx="3">
                  <c:v>0.50538922155688626</c:v>
                </c:pt>
                <c:pt idx="4">
                  <c:v>0.14042738770170082</c:v>
                </c:pt>
                <c:pt idx="5">
                  <c:v>0.17364447494852442</c:v>
                </c:pt>
                <c:pt idx="6">
                  <c:v>0.44131455399061031</c:v>
                </c:pt>
              </c:numCache>
            </c:numRef>
          </c:val>
          <c:extLst>
            <c:ext xmlns:c16="http://schemas.microsoft.com/office/drawing/2014/chart" uri="{C3380CC4-5D6E-409C-BE32-E72D297353CC}">
              <c16:uniqueId val="{00000003-7B03-4B91-A58F-57AEEA52BE43}"/>
            </c:ext>
          </c:extLst>
        </c:ser>
        <c:dLbls>
          <c:dLblPos val="ctr"/>
          <c:showLegendKey val="0"/>
          <c:showVal val="1"/>
          <c:showCatName val="0"/>
          <c:showSerName val="0"/>
          <c:showPercent val="0"/>
          <c:showBubbleSize val="0"/>
        </c:dLbls>
        <c:gapWidth val="150"/>
        <c:overlap val="100"/>
        <c:axId val="275216256"/>
        <c:axId val="275217792"/>
      </c:barChart>
      <c:catAx>
        <c:axId val="2752162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217792"/>
        <c:crosses val="autoZero"/>
        <c:auto val="1"/>
        <c:lblAlgn val="ctr"/>
        <c:lblOffset val="100"/>
        <c:noMultiLvlLbl val="0"/>
      </c:catAx>
      <c:valAx>
        <c:axId val="2752177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216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557363504596"/>
          <c:y val="4.6267087276551003E-2"/>
          <c:w val="0.87541782853805405"/>
          <c:h val="0.66522522000926354"/>
        </c:manualLayout>
      </c:layout>
      <c:lineChart>
        <c:grouping val="standard"/>
        <c:varyColors val="0"/>
        <c:ser>
          <c:idx val="0"/>
          <c:order val="0"/>
          <c:tx>
            <c:strRef>
              <c:f>Sheet1!$B$1</c:f>
              <c:strCache>
                <c:ptCount val="1"/>
                <c:pt idx="0">
                  <c:v>OO (Chichester)</c:v>
                </c:pt>
              </c:strCache>
            </c:strRef>
          </c:tx>
          <c:spPr>
            <a:ln w="28575" cap="rnd">
              <a:solidFill>
                <a:schemeClr val="accent6"/>
              </a:solidFill>
              <a:round/>
            </a:ln>
            <a:effectLst/>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Sheet1!$B$2:$B$15</c:f>
              <c:numCache>
                <c:formatCode>General</c:formatCode>
                <c:ptCount val="14"/>
                <c:pt idx="0">
                  <c:v>2.6507936507936503</c:v>
                </c:pt>
                <c:pt idx="1">
                  <c:v>2.3983903420523145</c:v>
                </c:pt>
                <c:pt idx="2">
                  <c:v>2.6984771573604056</c:v>
                </c:pt>
                <c:pt idx="3">
                  <c:v>3.1269185360094447</c:v>
                </c:pt>
                <c:pt idx="4">
                  <c:v>3.3384859294490687</c:v>
                </c:pt>
                <c:pt idx="5">
                  <c:v>3.4413512668126369</c:v>
                </c:pt>
                <c:pt idx="6">
                  <c:v>3.4374258600237244</c:v>
                </c:pt>
                <c:pt idx="7">
                  <c:v>3.3466945857014663</c:v>
                </c:pt>
                <c:pt idx="8">
                  <c:v>3.1900417101147029</c:v>
                </c:pt>
                <c:pt idx="9">
                  <c:v>3.1629802095459834</c:v>
                </c:pt>
                <c:pt idx="10">
                  <c:v>3.0488342785129183</c:v>
                </c:pt>
                <c:pt idx="11">
                  <c:v>2.9207954162453658</c:v>
                </c:pt>
                <c:pt idx="12">
                  <c:v>2.8331322878970648</c:v>
                </c:pt>
                <c:pt idx="13">
                  <c:v>2.6892950391644908</c:v>
                </c:pt>
              </c:numCache>
            </c:numRef>
          </c:val>
          <c:smooth val="1"/>
          <c:extLst>
            <c:ext xmlns:c16="http://schemas.microsoft.com/office/drawing/2014/chart" uri="{C3380CC4-5D6E-409C-BE32-E72D297353CC}">
              <c16:uniqueId val="{00000000-2BB7-419B-A874-727FBCC94335}"/>
            </c:ext>
          </c:extLst>
        </c:ser>
        <c:ser>
          <c:idx val="1"/>
          <c:order val="1"/>
          <c:tx>
            <c:strRef>
              <c:f>Sheet1!$C$1</c:f>
              <c:strCache>
                <c:ptCount val="1"/>
                <c:pt idx="0">
                  <c:v>OO (South East)</c:v>
                </c:pt>
              </c:strCache>
            </c:strRef>
          </c:tx>
          <c:spPr>
            <a:ln w="28575" cap="rnd">
              <a:solidFill>
                <a:schemeClr val="accent6"/>
              </a:solidFill>
              <a:prstDash val="dash"/>
              <a:round/>
            </a:ln>
            <a:effectLst/>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Sheet1!$C$2:$C$15</c:f>
              <c:numCache>
                <c:formatCode>General</c:formatCode>
                <c:ptCount val="14"/>
                <c:pt idx="0">
                  <c:v>2.4507879656160454</c:v>
                </c:pt>
                <c:pt idx="1">
                  <c:v>2.3841402889599652</c:v>
                </c:pt>
                <c:pt idx="2">
                  <c:v>2.6705118016064686</c:v>
                </c:pt>
                <c:pt idx="3">
                  <c:v>3.0224264471925846</c:v>
                </c:pt>
                <c:pt idx="4">
                  <c:v>3.2355136443158217</c:v>
                </c:pt>
                <c:pt idx="5">
                  <c:v>3.3290223876062095</c:v>
                </c:pt>
                <c:pt idx="6">
                  <c:v>3.3347935463125831</c:v>
                </c:pt>
                <c:pt idx="7">
                  <c:v>3.2772403595149191</c:v>
                </c:pt>
                <c:pt idx="8">
                  <c:v>3.1805697969743338</c:v>
                </c:pt>
                <c:pt idx="9">
                  <c:v>3.1039516129032263</c:v>
                </c:pt>
                <c:pt idx="10">
                  <c:v>2.9803466912111776</c:v>
                </c:pt>
                <c:pt idx="11">
                  <c:v>2.882299887260428</c:v>
                </c:pt>
                <c:pt idx="12">
                  <c:v>2.7564127900083002</c:v>
                </c:pt>
                <c:pt idx="13">
                  <c:v>2.5974583698510076</c:v>
                </c:pt>
              </c:numCache>
            </c:numRef>
          </c:val>
          <c:smooth val="1"/>
          <c:extLst>
            <c:ext xmlns:c16="http://schemas.microsoft.com/office/drawing/2014/chart" uri="{C3380CC4-5D6E-409C-BE32-E72D297353CC}">
              <c16:uniqueId val="{00000001-2BB7-419B-A874-727FBCC94335}"/>
            </c:ext>
          </c:extLst>
        </c:ser>
        <c:ser>
          <c:idx val="2"/>
          <c:order val="2"/>
          <c:tx>
            <c:strRef>
              <c:f>Sheet1!$D$1</c:f>
              <c:strCache>
                <c:ptCount val="1"/>
                <c:pt idx="0">
                  <c:v>PRS (Chichester)</c:v>
                </c:pt>
              </c:strCache>
            </c:strRef>
          </c:tx>
          <c:spPr>
            <a:ln w="28575">
              <a:solidFill>
                <a:schemeClr val="accent1"/>
              </a:solidFill>
            </a:ln>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Sheet1!$D$2:$D$15</c:f>
              <c:numCache>
                <c:formatCode>General</c:formatCode>
                <c:ptCount val="14"/>
                <c:pt idx="0">
                  <c:v>2.7943805874840359</c:v>
                </c:pt>
                <c:pt idx="1">
                  <c:v>2.1564625850340136</c:v>
                </c:pt>
                <c:pt idx="2">
                  <c:v>2.2598584428715873</c:v>
                </c:pt>
                <c:pt idx="3">
                  <c:v>2.4619506966773854</c:v>
                </c:pt>
                <c:pt idx="4">
                  <c:v>2.6866158868335144</c:v>
                </c:pt>
                <c:pt idx="5">
                  <c:v>2.624705882352941</c:v>
                </c:pt>
                <c:pt idx="6">
                  <c:v>2.5104166666666661</c:v>
                </c:pt>
                <c:pt idx="7">
                  <c:v>2.5841209829867671</c:v>
                </c:pt>
                <c:pt idx="8">
                  <c:v>2.5119999999999996</c:v>
                </c:pt>
                <c:pt idx="9">
                  <c:v>2.4178674351585019</c:v>
                </c:pt>
                <c:pt idx="10">
                  <c:v>2.2920962199312718</c:v>
                </c:pt>
                <c:pt idx="11">
                  <c:v>2.3108614232209734</c:v>
                </c:pt>
                <c:pt idx="12">
                  <c:v>2.3745173745173749</c:v>
                </c:pt>
                <c:pt idx="13">
                  <c:v>2.1985815602836882</c:v>
                </c:pt>
              </c:numCache>
            </c:numRef>
          </c:val>
          <c:smooth val="1"/>
          <c:extLst>
            <c:ext xmlns:c16="http://schemas.microsoft.com/office/drawing/2014/chart" uri="{C3380CC4-5D6E-409C-BE32-E72D297353CC}">
              <c16:uniqueId val="{00000002-2BB7-419B-A874-727FBCC94335}"/>
            </c:ext>
          </c:extLst>
        </c:ser>
        <c:ser>
          <c:idx val="3"/>
          <c:order val="3"/>
          <c:tx>
            <c:strRef>
              <c:f>Sheet1!$E$1</c:f>
              <c:strCache>
                <c:ptCount val="1"/>
                <c:pt idx="0">
                  <c:v>PRS (South East)</c:v>
                </c:pt>
              </c:strCache>
            </c:strRef>
          </c:tx>
          <c:spPr>
            <a:ln w="28575">
              <a:solidFill>
                <a:schemeClr val="accent1"/>
              </a:solidFill>
              <a:prstDash val="dash"/>
            </a:ln>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Sheet1!$E$2:$E$15</c:f>
              <c:numCache>
                <c:formatCode>General</c:formatCode>
                <c:ptCount val="14"/>
                <c:pt idx="0">
                  <c:v>2.4637152882812026</c:v>
                </c:pt>
                <c:pt idx="1">
                  <c:v>2.0966626736439484</c:v>
                </c:pt>
                <c:pt idx="2">
                  <c:v>2.2042860398152175</c:v>
                </c:pt>
                <c:pt idx="3">
                  <c:v>2.3769801311491516</c:v>
                </c:pt>
                <c:pt idx="4">
                  <c:v>2.4771133673641108</c:v>
                </c:pt>
                <c:pt idx="5">
                  <c:v>2.460386473429951</c:v>
                </c:pt>
                <c:pt idx="6">
                  <c:v>2.3918378169896828</c:v>
                </c:pt>
                <c:pt idx="7">
                  <c:v>2.2986104101477074</c:v>
                </c:pt>
                <c:pt idx="8">
                  <c:v>2.2083581378735562</c:v>
                </c:pt>
                <c:pt idx="9">
                  <c:v>2.1530041202878056</c:v>
                </c:pt>
                <c:pt idx="10">
                  <c:v>2.1265558432879454</c:v>
                </c:pt>
                <c:pt idx="11">
                  <c:v>2.1633534136546184</c:v>
                </c:pt>
                <c:pt idx="12">
                  <c:v>2.1393265702568534</c:v>
                </c:pt>
                <c:pt idx="13">
                  <c:v>2.074216743708269</c:v>
                </c:pt>
              </c:numCache>
            </c:numRef>
          </c:val>
          <c:smooth val="1"/>
          <c:extLst>
            <c:ext xmlns:c16="http://schemas.microsoft.com/office/drawing/2014/chart" uri="{C3380CC4-5D6E-409C-BE32-E72D297353CC}">
              <c16:uniqueId val="{00000003-2BB7-419B-A874-727FBCC94335}"/>
            </c:ext>
          </c:extLst>
        </c:ser>
        <c:ser>
          <c:idx val="4"/>
          <c:order val="4"/>
          <c:tx>
            <c:strRef>
              <c:f>Sheet1!$F$1</c:f>
              <c:strCache>
                <c:ptCount val="1"/>
                <c:pt idx="0">
                  <c:v>SR (Chichester)</c:v>
                </c:pt>
              </c:strCache>
            </c:strRef>
          </c:tx>
          <c:spPr>
            <a:ln w="28575">
              <a:solidFill>
                <a:schemeClr val="accent2"/>
              </a:solidFill>
            </a:ln>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Sheet1!$F$2:$F$15</c:f>
              <c:numCache>
                <c:formatCode>General</c:formatCode>
                <c:ptCount val="14"/>
                <c:pt idx="0">
                  <c:v>1.8494897959183676</c:v>
                </c:pt>
                <c:pt idx="1">
                  <c:v>2.0973236009732359</c:v>
                </c:pt>
                <c:pt idx="2">
                  <c:v>2.1625514403292176</c:v>
                </c:pt>
                <c:pt idx="3">
                  <c:v>2.2983050847457624</c:v>
                </c:pt>
                <c:pt idx="4">
                  <c:v>2.3271954674220967</c:v>
                </c:pt>
                <c:pt idx="5">
                  <c:v>2.3160690571049143</c:v>
                </c:pt>
                <c:pt idx="6">
                  <c:v>2.2397372742200328</c:v>
                </c:pt>
                <c:pt idx="7">
                  <c:v>2.1512287334593578</c:v>
                </c:pt>
                <c:pt idx="8">
                  <c:v>2.0474516695957821</c:v>
                </c:pt>
                <c:pt idx="9">
                  <c:v>1.8900000000000001</c:v>
                </c:pt>
                <c:pt idx="10">
                  <c:v>1.837894736842105</c:v>
                </c:pt>
                <c:pt idx="11">
                  <c:v>1.8556910569105689</c:v>
                </c:pt>
                <c:pt idx="12">
                  <c:v>1.83710407239819</c:v>
                </c:pt>
                <c:pt idx="13">
                  <c:v>1.6048565121412803</c:v>
                </c:pt>
              </c:numCache>
            </c:numRef>
          </c:val>
          <c:smooth val="1"/>
          <c:extLst>
            <c:ext xmlns:c16="http://schemas.microsoft.com/office/drawing/2014/chart" uri="{C3380CC4-5D6E-409C-BE32-E72D297353CC}">
              <c16:uniqueId val="{00000004-2BB7-419B-A874-727FBCC94335}"/>
            </c:ext>
          </c:extLst>
        </c:ser>
        <c:ser>
          <c:idx val="5"/>
          <c:order val="5"/>
          <c:tx>
            <c:strRef>
              <c:f>Sheet1!$G$1</c:f>
              <c:strCache>
                <c:ptCount val="1"/>
                <c:pt idx="0">
                  <c:v>SR (South East)</c:v>
                </c:pt>
              </c:strCache>
            </c:strRef>
          </c:tx>
          <c:spPr>
            <a:ln w="28575">
              <a:solidFill>
                <a:schemeClr val="accent2"/>
              </a:solidFill>
              <a:prstDash val="dash"/>
            </a:ln>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Sheet1!$G$2:$G$15</c:f>
              <c:numCache>
                <c:formatCode>General</c:formatCode>
                <c:ptCount val="14"/>
                <c:pt idx="0">
                  <c:v>1.8780107225734177</c:v>
                </c:pt>
                <c:pt idx="1">
                  <c:v>2.0702628516872035</c:v>
                </c:pt>
                <c:pt idx="2">
                  <c:v>2.2333693888588426</c:v>
                </c:pt>
                <c:pt idx="3">
                  <c:v>2.3378565024594731</c:v>
                </c:pt>
                <c:pt idx="4">
                  <c:v>2.3980035421027206</c:v>
                </c:pt>
                <c:pt idx="5">
                  <c:v>2.3656254439911506</c:v>
                </c:pt>
                <c:pt idx="6">
                  <c:v>2.2635952037414802</c:v>
                </c:pt>
                <c:pt idx="7">
                  <c:v>2.1259195153613151</c:v>
                </c:pt>
                <c:pt idx="8">
                  <c:v>1.9536672140120424</c:v>
                </c:pt>
                <c:pt idx="9">
                  <c:v>1.8333278413022707</c:v>
                </c:pt>
                <c:pt idx="10">
                  <c:v>1.7700103412616341</c:v>
                </c:pt>
                <c:pt idx="11">
                  <c:v>1.7394705620643631</c:v>
                </c:pt>
                <c:pt idx="12">
                  <c:v>1.6792030981754302</c:v>
                </c:pt>
                <c:pt idx="13">
                  <c:v>1.5279621180699572</c:v>
                </c:pt>
              </c:numCache>
            </c:numRef>
          </c:val>
          <c:smooth val="1"/>
          <c:extLst>
            <c:ext xmlns:c16="http://schemas.microsoft.com/office/drawing/2014/chart" uri="{C3380CC4-5D6E-409C-BE32-E72D297353CC}">
              <c16:uniqueId val="{00000005-2BB7-419B-A874-727FBCC94335}"/>
            </c:ext>
          </c:extLst>
        </c:ser>
        <c:dLbls>
          <c:showLegendKey val="0"/>
          <c:showVal val="0"/>
          <c:showCatName val="0"/>
          <c:showSerName val="0"/>
          <c:showPercent val="0"/>
          <c:showBubbleSize val="0"/>
        </c:dLbls>
        <c:smooth val="0"/>
        <c:axId val="275604992"/>
        <c:axId val="275606912"/>
      </c:lineChart>
      <c:catAx>
        <c:axId val="275604992"/>
        <c:scaling>
          <c:orientation val="minMax"/>
        </c:scaling>
        <c:delete val="0"/>
        <c:axPos val="b"/>
        <c:title>
          <c:tx>
            <c:rich>
              <a:bodyPr/>
              <a:lstStyle/>
              <a:p>
                <a:pPr>
                  <a:defRPr sz="1000">
                    <a:latin typeface="Arial Narrow" panose="020B0606020202030204" pitchFamily="34" charset="0"/>
                  </a:defRPr>
                </a:pPr>
                <a:r>
                  <a:rPr lang="en-GB" sz="1000">
                    <a:latin typeface="Arial Narrow" panose="020B0606020202030204" pitchFamily="34" charset="0"/>
                  </a:rPr>
                  <a:t>Age</a:t>
                </a:r>
                <a:r>
                  <a:rPr lang="en-GB" sz="1000" baseline="0">
                    <a:latin typeface="Arial Narrow" panose="020B0606020202030204" pitchFamily="34" charset="0"/>
                  </a:rPr>
                  <a:t> of household reference person</a:t>
                </a:r>
                <a:endParaRPr lang="en-GB" sz="1000">
                  <a:latin typeface="Arial Narrow" panose="020B0606020202030204" pitchFamily="34" charset="0"/>
                </a:endParaRPr>
              </a:p>
            </c:rich>
          </c:tx>
          <c:layout>
            <c:manualLayout>
              <c:xMode val="edge"/>
              <c:yMode val="edge"/>
              <c:x val="0.37312809898762656"/>
              <c:y val="0.82592403890690136"/>
            </c:manualLayout>
          </c:layout>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a:pPr>
            <a:endParaRPr lang="en-US"/>
          </a:p>
        </c:txPr>
        <c:crossAx val="275606912"/>
        <c:crosses val="autoZero"/>
        <c:auto val="1"/>
        <c:lblAlgn val="ctr"/>
        <c:lblOffset val="100"/>
        <c:noMultiLvlLbl val="0"/>
      </c:catAx>
      <c:valAx>
        <c:axId val="275606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Average number of bedrooms</a:t>
                </a:r>
              </a:p>
            </c:rich>
          </c:tx>
          <c:layout>
            <c:manualLayout>
              <c:xMode val="edge"/>
              <c:yMode val="edge"/>
              <c:x val="4.3449538278542898E-3"/>
              <c:y val="0.15942945941018699"/>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275604992"/>
        <c:crosses val="autoZero"/>
        <c:crossBetween val="between"/>
      </c:valAx>
      <c:spPr>
        <a:noFill/>
        <a:ln>
          <a:solidFill>
            <a:schemeClr val="bg1">
              <a:lumMod val="75000"/>
            </a:schemeClr>
          </a:solidFill>
        </a:ln>
        <a:effectLst/>
      </c:spPr>
    </c:plotArea>
    <c:legend>
      <c:legendPos val="b"/>
      <c:layout>
        <c:manualLayout>
          <c:xMode val="edge"/>
          <c:yMode val="edge"/>
          <c:x val="0.19981714285714286"/>
          <c:y val="0.8716049096804076"/>
          <c:w val="0.65979428571428567"/>
          <c:h val="0.1210421491431218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a:solidFill>
            <a:sysClr val="windowText" lastClr="000000"/>
          </a:solidFill>
          <a:latin typeface="Arial Narrow" panose="020B060602020203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Transactions!$E$3</c:f>
              <c:strCache>
                <c:ptCount val="1"/>
                <c:pt idx="0">
                  <c:v>Index</c:v>
                </c:pt>
              </c:strCache>
            </c:strRef>
          </c:tx>
          <c:spPr>
            <a:ln w="28575" cap="rnd">
              <a:solidFill>
                <a:schemeClr val="accent2"/>
              </a:solidFill>
              <a:round/>
            </a:ln>
            <a:effectLst/>
          </c:spPr>
          <c:marker>
            <c:symbol val="none"/>
          </c:marker>
          <c:cat>
            <c:numRef>
              <c:f>Transactions!$D$4:$D$24</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Transactions!$E$4:$E$24</c:f>
              <c:numCache>
                <c:formatCode>General</c:formatCode>
                <c:ptCount val="21"/>
                <c:pt idx="0">
                  <c:v>0.92974588938714497</c:v>
                </c:pt>
                <c:pt idx="1">
                  <c:v>0.99364723467862481</c:v>
                </c:pt>
                <c:pt idx="2">
                  <c:v>1.0242899850523168</c:v>
                </c:pt>
                <c:pt idx="3">
                  <c:v>0.8688340807174888</c:v>
                </c:pt>
                <c:pt idx="4">
                  <c:v>0.93460388639760839</c:v>
                </c:pt>
                <c:pt idx="5">
                  <c:v>0.82212257100149477</c:v>
                </c:pt>
                <c:pt idx="6">
                  <c:v>1.0171898355754858</c:v>
                </c:pt>
                <c:pt idx="7">
                  <c:v>1</c:v>
                </c:pt>
                <c:pt idx="8">
                  <c:v>0.54932735426008972</c:v>
                </c:pt>
                <c:pt idx="9">
                  <c:v>0.66292974588938713</c:v>
                </c:pt>
                <c:pt idx="10">
                  <c:v>0.70328849028400597</c:v>
                </c:pt>
                <c:pt idx="11">
                  <c:v>0.65732436472346789</c:v>
                </c:pt>
                <c:pt idx="12">
                  <c:v>0.67002989536621826</c:v>
                </c:pt>
                <c:pt idx="13">
                  <c:v>0.77615844544095669</c:v>
                </c:pt>
                <c:pt idx="14">
                  <c:v>0.87780269058295968</c:v>
                </c:pt>
                <c:pt idx="15">
                  <c:v>0.81427503736920781</c:v>
                </c:pt>
                <c:pt idx="16">
                  <c:v>0.78512705530642746</c:v>
                </c:pt>
                <c:pt idx="17">
                  <c:v>0.77952167414050821</c:v>
                </c:pt>
                <c:pt idx="18">
                  <c:v>0.73542600896860988</c:v>
                </c:pt>
                <c:pt idx="19">
                  <c:v>0.66442451420029891</c:v>
                </c:pt>
                <c:pt idx="20">
                  <c:v>0.6386397608370703</c:v>
                </c:pt>
              </c:numCache>
            </c:numRef>
          </c:val>
          <c:smooth val="0"/>
          <c:extLst>
            <c:ext xmlns:c16="http://schemas.microsoft.com/office/drawing/2014/chart" uri="{C3380CC4-5D6E-409C-BE32-E72D297353CC}">
              <c16:uniqueId val="{00000000-3818-444F-9D87-ECB4CE33F8BA}"/>
            </c:ext>
          </c:extLst>
        </c:ser>
        <c:dLbls>
          <c:showLegendKey val="0"/>
          <c:showVal val="0"/>
          <c:showCatName val="0"/>
          <c:showSerName val="0"/>
          <c:showPercent val="0"/>
          <c:showBubbleSize val="0"/>
        </c:dLbls>
        <c:smooth val="0"/>
        <c:axId val="151840256"/>
        <c:axId val="151841792"/>
      </c:lineChart>
      <c:catAx>
        <c:axId val="1518402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41792"/>
        <c:crossesAt val="1"/>
        <c:auto val="1"/>
        <c:lblAlgn val="ctr"/>
        <c:lblOffset val="100"/>
        <c:noMultiLvlLbl val="0"/>
      </c:catAx>
      <c:valAx>
        <c:axId val="151841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Transactions Index (1=2007)</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40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41100840655788"/>
          <c:y val="4.7159699892818867E-2"/>
          <c:w val="0.86301894328426343"/>
          <c:h val="0.71843492000104181"/>
        </c:manualLayout>
      </c:layout>
      <c:barChart>
        <c:barDir val="col"/>
        <c:grouping val="percentStacked"/>
        <c:varyColors val="0"/>
        <c:ser>
          <c:idx val="0"/>
          <c:order val="0"/>
          <c:tx>
            <c:strRef>
              <c:f>Sheet1!$B$1</c:f>
              <c:strCache>
                <c:ptCount val="1"/>
                <c:pt idx="0">
                  <c:v>Owner-occupied (no mortgage)</c:v>
                </c:pt>
              </c:strCache>
            </c:strRef>
          </c:tx>
          <c:spPr>
            <a:solidFill>
              <a:schemeClr val="accent1"/>
            </a:solidFill>
            <a:ln>
              <a:noFill/>
            </a:ln>
            <a:effectLst/>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Single older people</c:v>
                </c:pt>
                <c:pt idx="1">
                  <c:v>2 or more older persons</c:v>
                </c:pt>
                <c:pt idx="2">
                  <c:v>All older person only</c:v>
                </c:pt>
                <c:pt idx="3">
                  <c:v>All other households</c:v>
                </c:pt>
                <c:pt idx="4">
                  <c:v>All households</c:v>
                </c:pt>
              </c:strCache>
            </c:strRef>
          </c:cat>
          <c:val>
            <c:numRef>
              <c:f>Sheet1!$B$2:$B$6</c:f>
              <c:numCache>
                <c:formatCode>0.0%</c:formatCode>
                <c:ptCount val="5"/>
                <c:pt idx="0">
                  <c:v>0.66802136553646074</c:v>
                </c:pt>
                <c:pt idx="1">
                  <c:v>0.79070138999840234</c:v>
                </c:pt>
                <c:pt idx="2">
                  <c:v>0.71965570573599624</c:v>
                </c:pt>
                <c:pt idx="3">
                  <c:v>0.27183577779683793</c:v>
                </c:pt>
                <c:pt idx="4">
                  <c:v>0.40543251484512921</c:v>
                </c:pt>
              </c:numCache>
            </c:numRef>
          </c:val>
          <c:extLst>
            <c:ext xmlns:c16="http://schemas.microsoft.com/office/drawing/2014/chart" uri="{C3380CC4-5D6E-409C-BE32-E72D297353CC}">
              <c16:uniqueId val="{00000000-758B-4644-BCBC-DE186D93D7A0}"/>
            </c:ext>
          </c:extLst>
        </c:ser>
        <c:ser>
          <c:idx val="1"/>
          <c:order val="1"/>
          <c:tx>
            <c:strRef>
              <c:f>Sheet1!$C$1</c:f>
              <c:strCache>
                <c:ptCount val="1"/>
                <c:pt idx="0">
                  <c:v>Owner-occupied (with mortgage)</c:v>
                </c:pt>
              </c:strCache>
            </c:strRef>
          </c:tx>
          <c:spPr>
            <a:solidFill>
              <a:schemeClr val="accent2"/>
            </a:solidFill>
            <a:ln>
              <a:noFill/>
            </a:ln>
            <a:effectLst/>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Single older people</c:v>
                </c:pt>
                <c:pt idx="1">
                  <c:v>2 or more older persons</c:v>
                </c:pt>
                <c:pt idx="2">
                  <c:v>All older person only</c:v>
                </c:pt>
                <c:pt idx="3">
                  <c:v>All other households</c:v>
                </c:pt>
                <c:pt idx="4">
                  <c:v>All households</c:v>
                </c:pt>
              </c:strCache>
            </c:strRef>
          </c:cat>
          <c:val>
            <c:numRef>
              <c:f>Sheet1!$C$2:$C$6</c:f>
              <c:numCache>
                <c:formatCode>0.0%</c:formatCode>
                <c:ptCount val="5"/>
                <c:pt idx="0">
                  <c:v>6.0264746864839756E-2</c:v>
                </c:pt>
                <c:pt idx="1">
                  <c:v>7.6689567023486185E-2</c:v>
                </c:pt>
                <c:pt idx="2">
                  <c:v>6.7177728464797262E-2</c:v>
                </c:pt>
                <c:pt idx="3">
                  <c:v>0.36386768447837148</c:v>
                </c:pt>
                <c:pt idx="4">
                  <c:v>0.27535708554004173</c:v>
                </c:pt>
              </c:numCache>
            </c:numRef>
          </c:val>
          <c:extLst>
            <c:ext xmlns:c16="http://schemas.microsoft.com/office/drawing/2014/chart" uri="{C3380CC4-5D6E-409C-BE32-E72D297353CC}">
              <c16:uniqueId val="{00000001-758B-4644-BCBC-DE186D93D7A0}"/>
            </c:ext>
          </c:extLst>
        </c:ser>
        <c:ser>
          <c:idx val="2"/>
          <c:order val="2"/>
          <c:tx>
            <c:strRef>
              <c:f>Sheet1!$D$1</c:f>
              <c:strCache>
                <c:ptCount val="1"/>
                <c:pt idx="0">
                  <c:v>Social rented</c:v>
                </c:pt>
              </c:strCache>
            </c:strRef>
          </c:tx>
          <c:spPr>
            <a:solidFill>
              <a:schemeClr val="accent3"/>
            </a:solidFill>
            <a:ln>
              <a:noFill/>
            </a:ln>
            <a:effectLst/>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Single older people</c:v>
                </c:pt>
                <c:pt idx="1">
                  <c:v>2 or more older persons</c:v>
                </c:pt>
                <c:pt idx="2">
                  <c:v>All older person only</c:v>
                </c:pt>
                <c:pt idx="3">
                  <c:v>All other households</c:v>
                </c:pt>
                <c:pt idx="4">
                  <c:v>All households</c:v>
                </c:pt>
              </c:strCache>
            </c:strRef>
          </c:cat>
          <c:val>
            <c:numRef>
              <c:f>Sheet1!$D$2:$D$6</c:f>
              <c:numCache>
                <c:formatCode>0.0%</c:formatCode>
                <c:ptCount val="5"/>
                <c:pt idx="0">
                  <c:v>0.17405945192754296</c:v>
                </c:pt>
                <c:pt idx="1">
                  <c:v>7.6370027160888324E-2</c:v>
                </c:pt>
                <c:pt idx="2">
                  <c:v>0.13294331248739158</c:v>
                </c:pt>
                <c:pt idx="3">
                  <c:v>0.15524487520370528</c:v>
                </c:pt>
                <c:pt idx="4">
                  <c:v>0.1485917188252287</c:v>
                </c:pt>
              </c:numCache>
            </c:numRef>
          </c:val>
          <c:extLst>
            <c:ext xmlns:c16="http://schemas.microsoft.com/office/drawing/2014/chart" uri="{C3380CC4-5D6E-409C-BE32-E72D297353CC}">
              <c16:uniqueId val="{00000002-758B-4644-BCBC-DE186D93D7A0}"/>
            </c:ext>
          </c:extLst>
        </c:ser>
        <c:ser>
          <c:idx val="3"/>
          <c:order val="3"/>
          <c:tx>
            <c:strRef>
              <c:f>Sheet1!$E$1</c:f>
              <c:strCache>
                <c:ptCount val="1"/>
                <c:pt idx="0">
                  <c:v>Private rented/rent free</c:v>
                </c:pt>
              </c:strCache>
            </c:strRef>
          </c:tx>
          <c:spPr>
            <a:solidFill>
              <a:schemeClr val="accent4"/>
            </a:solidFill>
            <a:ln>
              <a:noFill/>
            </a:ln>
            <a:effectLst/>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Single older people</c:v>
                </c:pt>
                <c:pt idx="1">
                  <c:v>2 or more older persons</c:v>
                </c:pt>
                <c:pt idx="2">
                  <c:v>All older person only</c:v>
                </c:pt>
                <c:pt idx="3">
                  <c:v>All other households</c:v>
                </c:pt>
                <c:pt idx="4">
                  <c:v>All households</c:v>
                </c:pt>
              </c:strCache>
            </c:strRef>
          </c:cat>
          <c:val>
            <c:numRef>
              <c:f>Sheet1!$E$2:$E$6</c:f>
              <c:numCache>
                <c:formatCode>0.0%</c:formatCode>
                <c:ptCount val="5"/>
                <c:pt idx="0">
                  <c:v>9.7654435671156531E-2</c:v>
                </c:pt>
                <c:pt idx="1">
                  <c:v>5.6239015817223195E-2</c:v>
                </c:pt>
                <c:pt idx="2">
                  <c:v>8.0223253311814943E-2</c:v>
                </c:pt>
                <c:pt idx="3">
                  <c:v>0.20905166252108529</c:v>
                </c:pt>
                <c:pt idx="4">
                  <c:v>0.17061868078960038</c:v>
                </c:pt>
              </c:numCache>
            </c:numRef>
          </c:val>
          <c:extLst>
            <c:ext xmlns:c16="http://schemas.microsoft.com/office/drawing/2014/chart" uri="{C3380CC4-5D6E-409C-BE32-E72D297353CC}">
              <c16:uniqueId val="{00000003-758B-4644-BCBC-DE186D93D7A0}"/>
            </c:ext>
          </c:extLst>
        </c:ser>
        <c:dLbls>
          <c:dLblPos val="ctr"/>
          <c:showLegendKey val="0"/>
          <c:showVal val="1"/>
          <c:showCatName val="0"/>
          <c:showSerName val="0"/>
          <c:showPercent val="0"/>
          <c:showBubbleSize val="0"/>
        </c:dLbls>
        <c:gapWidth val="75"/>
        <c:overlap val="100"/>
        <c:axId val="275137664"/>
        <c:axId val="275139200"/>
      </c:barChart>
      <c:catAx>
        <c:axId val="27513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275139200"/>
        <c:crosses val="autoZero"/>
        <c:auto val="1"/>
        <c:lblAlgn val="ctr"/>
        <c:lblOffset val="100"/>
        <c:noMultiLvlLbl val="0"/>
      </c:catAx>
      <c:valAx>
        <c:axId val="275139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 of households in group</a:t>
                </a:r>
              </a:p>
            </c:rich>
          </c:tx>
          <c:layout>
            <c:manualLayout>
              <c:xMode val="edge"/>
              <c:yMode val="edge"/>
              <c:x val="4.830917874396135E-3"/>
              <c:y val="0.21736739499202468"/>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275137664"/>
        <c:crosses val="autoZero"/>
        <c:crossBetween val="between"/>
      </c:valAx>
      <c:spPr>
        <a:noFill/>
        <a:ln>
          <a:noFill/>
        </a:ln>
        <a:effectLst/>
      </c:spPr>
    </c:plotArea>
    <c:legend>
      <c:legendPos val="b"/>
      <c:layout>
        <c:manualLayout>
          <c:xMode val="edge"/>
          <c:yMode val="edge"/>
          <c:x val="0"/>
          <c:y val="0.89902716405212302"/>
          <c:w val="0.99923455066288558"/>
          <c:h val="0.100972815237884"/>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a:solidFill>
            <a:sysClr val="windowText" lastClr="000000"/>
          </a:solidFill>
          <a:latin typeface="Arial Narrow" panose="020B0606020202030204" pitchFamily="34" charset="0"/>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41100840655788"/>
          <c:y val="4.7159699892818867E-2"/>
          <c:w val="0.86301894328426343"/>
          <c:h val="0.59936105010026997"/>
        </c:manualLayout>
      </c:layout>
      <c:barChart>
        <c:barDir val="col"/>
        <c:grouping val="percentStacked"/>
        <c:varyColors val="0"/>
        <c:ser>
          <c:idx val="0"/>
          <c:order val="0"/>
          <c:tx>
            <c:strRef>
              <c:f>Sheet1!$B$1</c:f>
              <c:strCache>
                <c:ptCount val="1"/>
                <c:pt idx="0">
                  <c:v>Owner-occupied (no mortgage)</c:v>
                </c:pt>
              </c:strCache>
            </c:strRef>
          </c:tx>
          <c:spPr>
            <a:solidFill>
              <a:schemeClr val="accent1"/>
            </a:solidFill>
            <a:ln>
              <a:noFill/>
            </a:ln>
            <a:effectLst/>
          </c:spPr>
          <c:invertIfNegative val="0"/>
          <c:dLbls>
            <c:spPr>
              <a:noFill/>
              <a:ln>
                <a:noFill/>
              </a:ln>
              <a:effectLst/>
            </c:spPr>
            <c:txPr>
              <a:bodyPr rot="0" vert="horz"/>
              <a:lstStyle/>
              <a:p>
                <a:pPr>
                  <a:defRPr sz="1000"/>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Chichester City</c:v>
                </c:pt>
                <c:pt idx="1">
                  <c:v>EW Corridor</c:v>
                </c:pt>
                <c:pt idx="2">
                  <c:v>Manhood</c:v>
                </c:pt>
                <c:pt idx="3">
                  <c:v>Plan Area North</c:v>
                </c:pt>
                <c:pt idx="4">
                  <c:v>SDNP</c:v>
                </c:pt>
                <c:pt idx="5">
                  <c:v>TOTAL</c:v>
                </c:pt>
              </c:strCache>
            </c:strRef>
          </c:cat>
          <c:val>
            <c:numRef>
              <c:f>Sheet1!$B$2:$B$7</c:f>
              <c:numCache>
                <c:formatCode>0.0%</c:formatCode>
                <c:ptCount val="6"/>
                <c:pt idx="0">
                  <c:v>0.68053197509903796</c:v>
                </c:pt>
                <c:pt idx="1">
                  <c:v>0.76820083682008367</c:v>
                </c:pt>
                <c:pt idx="2">
                  <c:v>0.77761767531219983</c:v>
                </c:pt>
                <c:pt idx="3">
                  <c:v>0.73147023086269747</c:v>
                </c:pt>
                <c:pt idx="4">
                  <c:v>0.66186868686868683</c:v>
                </c:pt>
                <c:pt idx="5">
                  <c:v>0.71965570573599624</c:v>
                </c:pt>
              </c:numCache>
            </c:numRef>
          </c:val>
          <c:extLst>
            <c:ext xmlns:c16="http://schemas.microsoft.com/office/drawing/2014/chart" uri="{C3380CC4-5D6E-409C-BE32-E72D297353CC}">
              <c16:uniqueId val="{00000000-630D-4691-A780-A1F40BE11A47}"/>
            </c:ext>
          </c:extLst>
        </c:ser>
        <c:ser>
          <c:idx val="1"/>
          <c:order val="1"/>
          <c:tx>
            <c:strRef>
              <c:f>Sheet1!$C$1</c:f>
              <c:strCache>
                <c:ptCount val="1"/>
                <c:pt idx="0">
                  <c:v>Owner-occupied (with mortgage)</c:v>
                </c:pt>
              </c:strCache>
            </c:strRef>
          </c:tx>
          <c:spPr>
            <a:solidFill>
              <a:schemeClr val="accent2"/>
            </a:solidFill>
            <a:ln>
              <a:noFill/>
            </a:ln>
            <a:effectLst/>
          </c:spPr>
          <c:invertIfNegative val="0"/>
          <c:dLbls>
            <c:spPr>
              <a:noFill/>
              <a:ln>
                <a:noFill/>
              </a:ln>
              <a:effectLst/>
            </c:spPr>
            <c:txPr>
              <a:bodyPr rot="0" vert="horz"/>
              <a:lstStyle/>
              <a:p>
                <a:pPr>
                  <a:defRPr sz="1000"/>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Chichester City</c:v>
                </c:pt>
                <c:pt idx="1">
                  <c:v>EW Corridor</c:v>
                </c:pt>
                <c:pt idx="2">
                  <c:v>Manhood</c:v>
                </c:pt>
                <c:pt idx="3">
                  <c:v>Plan Area North</c:v>
                </c:pt>
                <c:pt idx="4">
                  <c:v>SDNP</c:v>
                </c:pt>
                <c:pt idx="5">
                  <c:v>TOTAL</c:v>
                </c:pt>
              </c:strCache>
            </c:strRef>
          </c:cat>
          <c:val>
            <c:numRef>
              <c:f>Sheet1!$C$2:$C$7</c:f>
              <c:numCache>
                <c:formatCode>0.0%</c:formatCode>
                <c:ptCount val="6"/>
                <c:pt idx="0">
                  <c:v>5.4046406338426708E-2</c:v>
                </c:pt>
                <c:pt idx="1">
                  <c:v>6.4853556485355651E-2</c:v>
                </c:pt>
                <c:pt idx="2">
                  <c:v>7.5168107588856864E-2</c:v>
                </c:pt>
                <c:pt idx="3">
                  <c:v>8.9914945321992706E-2</c:v>
                </c:pt>
                <c:pt idx="4">
                  <c:v>6.7171717171717174E-2</c:v>
                </c:pt>
                <c:pt idx="5">
                  <c:v>6.7177728464797262E-2</c:v>
                </c:pt>
              </c:numCache>
            </c:numRef>
          </c:val>
          <c:extLst>
            <c:ext xmlns:c16="http://schemas.microsoft.com/office/drawing/2014/chart" uri="{C3380CC4-5D6E-409C-BE32-E72D297353CC}">
              <c16:uniqueId val="{00000001-630D-4691-A780-A1F40BE11A47}"/>
            </c:ext>
          </c:extLst>
        </c:ser>
        <c:ser>
          <c:idx val="2"/>
          <c:order val="2"/>
          <c:tx>
            <c:strRef>
              <c:f>Sheet1!$D$1</c:f>
              <c:strCache>
                <c:ptCount val="1"/>
                <c:pt idx="0">
                  <c:v>Social rented</c:v>
                </c:pt>
              </c:strCache>
            </c:strRef>
          </c:tx>
          <c:spPr>
            <a:solidFill>
              <a:schemeClr val="accent3"/>
            </a:solidFill>
            <a:ln>
              <a:noFill/>
            </a:ln>
            <a:effectLst/>
          </c:spPr>
          <c:invertIfNegative val="0"/>
          <c:dLbls>
            <c:spPr>
              <a:noFill/>
              <a:ln>
                <a:noFill/>
              </a:ln>
              <a:effectLst/>
            </c:spPr>
            <c:txPr>
              <a:bodyPr rot="0" vert="horz"/>
              <a:lstStyle/>
              <a:p>
                <a:pPr>
                  <a:defRPr sz="1000"/>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Chichester City</c:v>
                </c:pt>
                <c:pt idx="1">
                  <c:v>EW Corridor</c:v>
                </c:pt>
                <c:pt idx="2">
                  <c:v>Manhood</c:v>
                </c:pt>
                <c:pt idx="3">
                  <c:v>Plan Area North</c:v>
                </c:pt>
                <c:pt idx="4">
                  <c:v>SDNP</c:v>
                </c:pt>
                <c:pt idx="5">
                  <c:v>TOTAL</c:v>
                </c:pt>
              </c:strCache>
            </c:strRef>
          </c:cat>
          <c:val>
            <c:numRef>
              <c:f>Sheet1!$D$2:$D$7</c:f>
              <c:numCache>
                <c:formatCode>0.0%</c:formatCode>
                <c:ptCount val="6"/>
                <c:pt idx="0">
                  <c:v>0.20288624787775891</c:v>
                </c:pt>
                <c:pt idx="1">
                  <c:v>9.6652719665271961E-2</c:v>
                </c:pt>
                <c:pt idx="2">
                  <c:v>7.9010566762728149E-2</c:v>
                </c:pt>
                <c:pt idx="3">
                  <c:v>0.11057108140947752</c:v>
                </c:pt>
                <c:pt idx="4">
                  <c:v>0.15378787878787878</c:v>
                </c:pt>
                <c:pt idx="5">
                  <c:v>0.13294331248739158</c:v>
                </c:pt>
              </c:numCache>
            </c:numRef>
          </c:val>
          <c:extLst>
            <c:ext xmlns:c16="http://schemas.microsoft.com/office/drawing/2014/chart" uri="{C3380CC4-5D6E-409C-BE32-E72D297353CC}">
              <c16:uniqueId val="{00000002-630D-4691-A780-A1F40BE11A47}"/>
            </c:ext>
          </c:extLst>
        </c:ser>
        <c:ser>
          <c:idx val="3"/>
          <c:order val="3"/>
          <c:tx>
            <c:strRef>
              <c:f>Sheet1!$E$1</c:f>
              <c:strCache>
                <c:ptCount val="1"/>
                <c:pt idx="0">
                  <c:v>Private rented/rent free</c:v>
                </c:pt>
              </c:strCache>
            </c:strRef>
          </c:tx>
          <c:spPr>
            <a:solidFill>
              <a:schemeClr val="accent4"/>
            </a:solidFill>
            <a:ln>
              <a:noFill/>
            </a:ln>
            <a:effectLst/>
          </c:spPr>
          <c:invertIfNegative val="0"/>
          <c:dLbls>
            <c:spPr>
              <a:noFill/>
              <a:ln>
                <a:noFill/>
              </a:ln>
              <a:effectLst/>
            </c:spPr>
            <c:txPr>
              <a:bodyPr rot="0" vert="horz"/>
              <a:lstStyle/>
              <a:p>
                <a:pPr>
                  <a:defRPr sz="1000"/>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Chichester City</c:v>
                </c:pt>
                <c:pt idx="1">
                  <c:v>EW Corridor</c:v>
                </c:pt>
                <c:pt idx="2">
                  <c:v>Manhood</c:v>
                </c:pt>
                <c:pt idx="3">
                  <c:v>Plan Area North</c:v>
                </c:pt>
                <c:pt idx="4">
                  <c:v>SDNP</c:v>
                </c:pt>
                <c:pt idx="5">
                  <c:v>TOTAL</c:v>
                </c:pt>
              </c:strCache>
            </c:strRef>
          </c:cat>
          <c:val>
            <c:numRef>
              <c:f>Sheet1!$E$2:$E$7</c:f>
              <c:numCache>
                <c:formatCode>0.0%</c:formatCode>
                <c:ptCount val="6"/>
                <c:pt idx="0">
                  <c:v>6.2535370684776451E-2</c:v>
                </c:pt>
                <c:pt idx="1">
                  <c:v>7.0292887029288709E-2</c:v>
                </c:pt>
                <c:pt idx="2">
                  <c:v>6.8203650336215171E-2</c:v>
                </c:pt>
                <c:pt idx="3">
                  <c:v>6.8043742405832316E-2</c:v>
                </c:pt>
                <c:pt idx="4">
                  <c:v>0.11717171717171718</c:v>
                </c:pt>
                <c:pt idx="5">
                  <c:v>8.0223253311814943E-2</c:v>
                </c:pt>
              </c:numCache>
            </c:numRef>
          </c:val>
          <c:extLst>
            <c:ext xmlns:c16="http://schemas.microsoft.com/office/drawing/2014/chart" uri="{C3380CC4-5D6E-409C-BE32-E72D297353CC}">
              <c16:uniqueId val="{00000003-630D-4691-A780-A1F40BE11A47}"/>
            </c:ext>
          </c:extLst>
        </c:ser>
        <c:dLbls>
          <c:dLblPos val="ctr"/>
          <c:showLegendKey val="0"/>
          <c:showVal val="1"/>
          <c:showCatName val="0"/>
          <c:showSerName val="0"/>
          <c:showPercent val="0"/>
          <c:showBubbleSize val="0"/>
        </c:dLbls>
        <c:gapWidth val="75"/>
        <c:overlap val="100"/>
        <c:axId val="275657088"/>
        <c:axId val="275658624"/>
      </c:barChart>
      <c:catAx>
        <c:axId val="275657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1000"/>
            </a:pPr>
            <a:endParaRPr lang="en-US"/>
          </a:p>
        </c:txPr>
        <c:crossAx val="275658624"/>
        <c:crosses val="autoZero"/>
        <c:auto val="1"/>
        <c:lblAlgn val="ctr"/>
        <c:lblOffset val="100"/>
        <c:noMultiLvlLbl val="0"/>
      </c:catAx>
      <c:valAx>
        <c:axId val="275658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 of households in group</a:t>
                </a:r>
              </a:p>
            </c:rich>
          </c:tx>
          <c:layout>
            <c:manualLayout>
              <c:xMode val="edge"/>
              <c:yMode val="edge"/>
              <c:x val="4.830917874396135E-3"/>
              <c:y val="0.21736739499202468"/>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275657088"/>
        <c:crosses val="autoZero"/>
        <c:crossBetween val="between"/>
      </c:valAx>
      <c:spPr>
        <a:noFill/>
        <a:ln>
          <a:noFill/>
        </a:ln>
        <a:effectLst/>
      </c:spPr>
    </c:plotArea>
    <c:legend>
      <c:legendPos val="b"/>
      <c:layout>
        <c:manualLayout>
          <c:xMode val="edge"/>
          <c:yMode val="edge"/>
          <c:x val="0"/>
          <c:y val="0.91225759404109763"/>
          <c:w val="0.98776744818199225"/>
          <c:h val="7.4511975969927688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a:solidFill>
            <a:sysClr val="windowText" lastClr="000000"/>
          </a:solidFill>
          <a:latin typeface="Arial Narrow" panose="020B0606020202030204" pitchFamily="34" charset="0"/>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084431631381"/>
          <c:y val="4.3650793650793697E-2"/>
          <c:w val="0.86745244786949205"/>
          <c:h val="0.76160154181388851"/>
        </c:manualLayout>
      </c:layout>
      <c:barChart>
        <c:barDir val="col"/>
        <c:grouping val="clustered"/>
        <c:varyColors val="0"/>
        <c:ser>
          <c:idx val="0"/>
          <c:order val="0"/>
          <c:tx>
            <c:strRef>
              <c:f>Sheet1!$B$1</c:f>
              <c:strCache>
                <c:ptCount val="1"/>
                <c:pt idx="0">
                  <c:v>Chichester</c:v>
                </c:pt>
              </c:strCache>
            </c:strRef>
          </c:tx>
          <c:spPr>
            <a:solidFill>
              <a:srgbClr val="DD0833"/>
            </a:solidFill>
          </c:spPr>
          <c:invertIfNegative val="0"/>
          <c:dLbls>
            <c:spPr>
              <a:noFill/>
              <a:ln>
                <a:noFill/>
              </a:ln>
              <a:effectLst/>
            </c:spPr>
            <c:txPr>
              <a:bodyPr rot="-5400000" vert="horz" wrap="square" lIns="38100" tIns="19050" rIns="38100" bIns="19050" anchor="ctr">
                <a:spAutoFit/>
              </a:bodyPr>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Age 0 to 15</c:v>
                </c:pt>
                <c:pt idx="1">
                  <c:v>Age 16 to 49</c:v>
                </c:pt>
                <c:pt idx="2">
                  <c:v>Age 50 to 64</c:v>
                </c:pt>
                <c:pt idx="3">
                  <c:v>Age 65 and over</c:v>
                </c:pt>
              </c:strCache>
            </c:strRef>
          </c:cat>
          <c:val>
            <c:numRef>
              <c:f>Sheet1!$B$2:$B$5</c:f>
              <c:numCache>
                <c:formatCode>0.0%</c:formatCode>
                <c:ptCount val="4"/>
                <c:pt idx="0">
                  <c:v>3.1342242258358827E-2</c:v>
                </c:pt>
                <c:pt idx="1">
                  <c:v>6.8833870562147084E-2</c:v>
                </c:pt>
                <c:pt idx="2">
                  <c:v>0.16502295527971433</c:v>
                </c:pt>
                <c:pt idx="3">
                  <c:v>0.44475514447551445</c:v>
                </c:pt>
              </c:numCache>
            </c:numRef>
          </c:val>
          <c:extLst>
            <c:ext xmlns:c16="http://schemas.microsoft.com/office/drawing/2014/chart" uri="{C3380CC4-5D6E-409C-BE32-E72D297353CC}">
              <c16:uniqueId val="{00000000-7156-4338-BC95-45D6A3EC6145}"/>
            </c:ext>
          </c:extLst>
        </c:ser>
        <c:ser>
          <c:idx val="1"/>
          <c:order val="1"/>
          <c:tx>
            <c:strRef>
              <c:f>Sheet1!$C$1</c:f>
              <c:strCache>
                <c:ptCount val="1"/>
                <c:pt idx="0">
                  <c:v>West Sussex</c:v>
                </c:pt>
              </c:strCache>
            </c:strRef>
          </c:tx>
          <c:spPr>
            <a:solidFill>
              <a:srgbClr val="222C56"/>
            </a:solidFill>
          </c:spPr>
          <c:invertIfNegative val="0"/>
          <c:dLbls>
            <c:spPr>
              <a:noFill/>
              <a:ln>
                <a:noFill/>
              </a:ln>
              <a:effectLst/>
            </c:spPr>
            <c:txPr>
              <a:bodyPr rot="-5400000" vert="horz" wrap="square" lIns="38100" tIns="19050" rIns="38100" bIns="19050" anchor="ctr">
                <a:spAutoFit/>
              </a:bodyPr>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Age 0 to 15</c:v>
                </c:pt>
                <c:pt idx="1">
                  <c:v>Age 16 to 49</c:v>
                </c:pt>
                <c:pt idx="2">
                  <c:v>Age 50 to 64</c:v>
                </c:pt>
                <c:pt idx="3">
                  <c:v>Age 65 and over</c:v>
                </c:pt>
              </c:strCache>
            </c:strRef>
          </c:cat>
          <c:val>
            <c:numRef>
              <c:f>Sheet1!$C$2:$C$5</c:f>
              <c:numCache>
                <c:formatCode>0.0%</c:formatCode>
                <c:ptCount val="4"/>
                <c:pt idx="0">
                  <c:v>3.3962264150943396E-2</c:v>
                </c:pt>
                <c:pt idx="1">
                  <c:v>7.8798236137921265E-2</c:v>
                </c:pt>
                <c:pt idx="2">
                  <c:v>0.17931144609095553</c:v>
                </c:pt>
                <c:pt idx="3">
                  <c:v>0.47538346090349692</c:v>
                </c:pt>
              </c:numCache>
            </c:numRef>
          </c:val>
          <c:extLst>
            <c:ext xmlns:c16="http://schemas.microsoft.com/office/drawing/2014/chart" uri="{C3380CC4-5D6E-409C-BE32-E72D297353CC}">
              <c16:uniqueId val="{00000001-7156-4338-BC95-45D6A3EC6145}"/>
            </c:ext>
          </c:extLst>
        </c:ser>
        <c:ser>
          <c:idx val="3"/>
          <c:order val="2"/>
          <c:tx>
            <c:strRef>
              <c:f>Sheet1!$D$1</c:f>
              <c:strCache>
                <c:ptCount val="1"/>
                <c:pt idx="0">
                  <c:v>South East</c:v>
                </c:pt>
              </c:strCache>
            </c:strRef>
          </c:tx>
          <c:spPr>
            <a:solidFill>
              <a:srgbClr val="45AC34"/>
            </a:solidFill>
          </c:spPr>
          <c:invertIfNegative val="0"/>
          <c:dLbls>
            <c:spPr>
              <a:noFill/>
              <a:ln>
                <a:noFill/>
              </a:ln>
              <a:effectLst/>
            </c:spPr>
            <c:txPr>
              <a:bodyPr rot="-5400000" vert="horz" wrap="square" lIns="38100" tIns="19050" rIns="38100" bIns="19050" anchor="ctr">
                <a:spAutoFit/>
              </a:bodyPr>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Sheet1!$A$2:$A$5</c:f>
              <c:strCache>
                <c:ptCount val="4"/>
                <c:pt idx="0">
                  <c:v>Age 0 to 15</c:v>
                </c:pt>
                <c:pt idx="1">
                  <c:v>Age 16 to 49</c:v>
                </c:pt>
                <c:pt idx="2">
                  <c:v>Age 50 to 64</c:v>
                </c:pt>
                <c:pt idx="3">
                  <c:v>Age 65 and over</c:v>
                </c:pt>
              </c:strCache>
            </c:strRef>
          </c:cat>
          <c:val>
            <c:numRef>
              <c:f>Sheet1!$D$2:$D$5</c:f>
              <c:numCache>
                <c:formatCode>0.0%</c:formatCode>
                <c:ptCount val="4"/>
                <c:pt idx="0">
                  <c:v>3.5690013421968668E-2</c:v>
                </c:pt>
                <c:pt idx="1">
                  <c:v>7.499243285694418E-2</c:v>
                </c:pt>
                <c:pt idx="2">
                  <c:v>0.18338734632563644</c:v>
                </c:pt>
                <c:pt idx="3">
                  <c:v>0.47976275623810744</c:v>
                </c:pt>
              </c:numCache>
            </c:numRef>
          </c:val>
          <c:extLst>
            <c:ext xmlns:c16="http://schemas.microsoft.com/office/drawing/2014/chart" uri="{C3380CC4-5D6E-409C-BE32-E72D297353CC}">
              <c16:uniqueId val="{00000002-7156-4338-BC95-45D6A3EC6145}"/>
            </c:ext>
          </c:extLst>
        </c:ser>
        <c:ser>
          <c:idx val="2"/>
          <c:order val="3"/>
          <c:tx>
            <c:strRef>
              <c:f>Sheet1!$E$1</c:f>
              <c:strCache>
                <c:ptCount val="1"/>
                <c:pt idx="0">
                  <c:v>England</c:v>
                </c:pt>
              </c:strCache>
            </c:strRef>
          </c:tx>
          <c:spPr>
            <a:solidFill>
              <a:schemeClr val="accent4"/>
            </a:solidFill>
          </c:spPr>
          <c:invertIfNegative val="0"/>
          <c:dLbls>
            <c:spPr>
              <a:noFill/>
              <a:ln>
                <a:noFill/>
              </a:ln>
              <a:effectLst/>
            </c:spPr>
            <c:txPr>
              <a:bodyPr rot="-5400000" vert="horz" wrap="square" lIns="38100" tIns="19050" rIns="38100" bIns="19050" anchor="ctr">
                <a:spAutoFit/>
              </a:bodyPr>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Sheet1!$A$2:$A$5</c:f>
              <c:strCache>
                <c:ptCount val="4"/>
                <c:pt idx="0">
                  <c:v>Age 0 to 15</c:v>
                </c:pt>
                <c:pt idx="1">
                  <c:v>Age 16 to 49</c:v>
                </c:pt>
                <c:pt idx="2">
                  <c:v>Age 50 to 64</c:v>
                </c:pt>
                <c:pt idx="3">
                  <c:v>Age 65 and over</c:v>
                </c:pt>
              </c:strCache>
            </c:strRef>
          </c:cat>
          <c:val>
            <c:numRef>
              <c:f>Sheet1!$E$2:$E$5</c:f>
              <c:numCache>
                <c:formatCode>0.0%</c:formatCode>
                <c:ptCount val="4"/>
                <c:pt idx="0">
                  <c:v>3.7394306361991758E-2</c:v>
                </c:pt>
                <c:pt idx="1">
                  <c:v>8.6529346628094889E-2</c:v>
                </c:pt>
                <c:pt idx="2">
                  <c:v>0.23349294686668831</c:v>
                </c:pt>
                <c:pt idx="3">
                  <c:v>0.53125703984133066</c:v>
                </c:pt>
              </c:numCache>
            </c:numRef>
          </c:val>
          <c:extLst>
            <c:ext xmlns:c16="http://schemas.microsoft.com/office/drawing/2014/chart" uri="{C3380CC4-5D6E-409C-BE32-E72D297353CC}">
              <c16:uniqueId val="{00000003-7156-4338-BC95-45D6A3EC6145}"/>
            </c:ext>
          </c:extLst>
        </c:ser>
        <c:dLbls>
          <c:dLblPos val="outEnd"/>
          <c:showLegendKey val="0"/>
          <c:showVal val="1"/>
          <c:showCatName val="0"/>
          <c:showSerName val="0"/>
          <c:showPercent val="0"/>
          <c:showBubbleSize val="0"/>
        </c:dLbls>
        <c:gapWidth val="219"/>
        <c:overlap val="-27"/>
        <c:axId val="289701248"/>
        <c:axId val="289719424"/>
      </c:barChart>
      <c:catAx>
        <c:axId val="28970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289719424"/>
        <c:crosses val="autoZero"/>
        <c:auto val="1"/>
        <c:lblAlgn val="ctr"/>
        <c:lblOffset val="100"/>
        <c:noMultiLvlLbl val="0"/>
      </c:catAx>
      <c:valAx>
        <c:axId val="289719424"/>
        <c:scaling>
          <c:orientation val="minMax"/>
          <c:max val="0.70000000000000007"/>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 with long-term health problem or disability</a:t>
                </a:r>
              </a:p>
            </c:rich>
          </c:tx>
          <c:layout>
            <c:manualLayout>
              <c:xMode val="edge"/>
              <c:yMode val="edge"/>
              <c:x val="0"/>
              <c:y val="8.2334708161479794E-2"/>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289701248"/>
        <c:crosses val="autoZero"/>
        <c:crossBetween val="between"/>
      </c:valAx>
      <c:spPr>
        <a:noFill/>
        <a:ln>
          <a:noFill/>
        </a:ln>
        <a:effectLst/>
      </c:spPr>
    </c:plotArea>
    <c:legend>
      <c:legendPos val="b"/>
      <c:layout>
        <c:manualLayout>
          <c:xMode val="edge"/>
          <c:yMode val="edge"/>
          <c:x val="0.30503958833292494"/>
          <c:y val="0.91086336368924115"/>
          <c:w val="0.54301666930573345"/>
          <c:h val="7.5755863923699679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a:solidFill>
            <a:sysClr val="windowText" lastClr="000000"/>
          </a:solidFill>
          <a:latin typeface="Arial Narrow" panose="020B0606020202030204" pitchFamily="34" charset="0"/>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41100840655788"/>
          <c:y val="4.7159699892818867E-2"/>
          <c:w val="0.86301894328426343"/>
          <c:h val="0.72815841790448743"/>
        </c:manualLayout>
      </c:layout>
      <c:barChart>
        <c:barDir val="col"/>
        <c:grouping val="clustered"/>
        <c:varyColors val="0"/>
        <c:ser>
          <c:idx val="0"/>
          <c:order val="0"/>
          <c:tx>
            <c:strRef>
              <c:f>Sheet1!$B$1</c:f>
              <c:strCache>
                <c:ptCount val="1"/>
                <c:pt idx="0">
                  <c:v> </c:v>
                </c:pt>
              </c:strCache>
            </c:strRef>
          </c:tx>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Chichester City</c:v>
                </c:pt>
                <c:pt idx="1">
                  <c:v>EW Corridor</c:v>
                </c:pt>
                <c:pt idx="2">
                  <c:v>Manhood</c:v>
                </c:pt>
                <c:pt idx="3">
                  <c:v>Plan Area North</c:v>
                </c:pt>
                <c:pt idx="4">
                  <c:v>SDNP</c:v>
                </c:pt>
                <c:pt idx="5">
                  <c:v>TOTAL</c:v>
                </c:pt>
              </c:strCache>
            </c:strRef>
          </c:cat>
          <c:val>
            <c:numRef>
              <c:f>Sheet1!$B$2:$B$7</c:f>
              <c:numCache>
                <c:formatCode>0.0%</c:formatCode>
                <c:ptCount val="6"/>
                <c:pt idx="0">
                  <c:v>0.47066848567530695</c:v>
                </c:pt>
                <c:pt idx="1">
                  <c:v>0.44997924449979243</c:v>
                </c:pt>
                <c:pt idx="2">
                  <c:v>0.47510399596621705</c:v>
                </c:pt>
                <c:pt idx="3">
                  <c:v>0.37422552664188352</c:v>
                </c:pt>
                <c:pt idx="4">
                  <c:v>0.40508806262230918</c:v>
                </c:pt>
                <c:pt idx="5">
                  <c:v>0.44475514447551445</c:v>
                </c:pt>
              </c:numCache>
            </c:numRef>
          </c:val>
          <c:extLst>
            <c:ext xmlns:c16="http://schemas.microsoft.com/office/drawing/2014/chart" uri="{C3380CC4-5D6E-409C-BE32-E72D297353CC}">
              <c16:uniqueId val="{00000000-A511-41A3-BC14-AF65C886A5D0}"/>
            </c:ext>
          </c:extLst>
        </c:ser>
        <c:dLbls>
          <c:showLegendKey val="0"/>
          <c:showVal val="1"/>
          <c:showCatName val="0"/>
          <c:showSerName val="0"/>
          <c:showPercent val="0"/>
          <c:showBubbleSize val="0"/>
        </c:dLbls>
        <c:gapWidth val="75"/>
        <c:axId val="275714816"/>
        <c:axId val="275717504"/>
      </c:barChart>
      <c:catAx>
        <c:axId val="27571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1000"/>
            </a:pPr>
            <a:endParaRPr lang="en-US"/>
          </a:p>
        </c:txPr>
        <c:crossAx val="275717504"/>
        <c:crosses val="autoZero"/>
        <c:auto val="1"/>
        <c:lblAlgn val="ctr"/>
        <c:lblOffset val="100"/>
        <c:noMultiLvlLbl val="0"/>
      </c:catAx>
      <c:valAx>
        <c:axId val="275717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 of households in group</a:t>
                </a:r>
              </a:p>
            </c:rich>
          </c:tx>
          <c:layout>
            <c:manualLayout>
              <c:xMode val="edge"/>
              <c:yMode val="edge"/>
              <c:x val="4.830917874396135E-3"/>
              <c:y val="0.21736739499202468"/>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275714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a:solidFill>
            <a:sysClr val="windowText" lastClr="000000"/>
          </a:solidFill>
          <a:latin typeface="Arial Narrow" panose="020B0606020202030204" pitchFamily="34" charset="0"/>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Sheet4!$C$68:$L$68</c:f>
              <c:strCache>
                <c:ptCount val="10"/>
                <c:pt idx="0">
                  <c:v>2008-09</c:v>
                </c:pt>
                <c:pt idx="1">
                  <c:v>2009-10</c:v>
                </c:pt>
                <c:pt idx="2">
                  <c:v>2010-11</c:v>
                </c:pt>
                <c:pt idx="3">
                  <c:v>2011-12</c:v>
                </c:pt>
                <c:pt idx="4">
                  <c:v>2012-13</c:v>
                </c:pt>
                <c:pt idx="5">
                  <c:v>2013-14</c:v>
                </c:pt>
                <c:pt idx="6">
                  <c:v>2014-15</c:v>
                </c:pt>
                <c:pt idx="7">
                  <c:v>2015-16</c:v>
                </c:pt>
                <c:pt idx="8">
                  <c:v>2016-17</c:v>
                </c:pt>
                <c:pt idx="9">
                  <c:v>2017-18</c:v>
                </c:pt>
              </c:strCache>
            </c:strRef>
          </c:cat>
          <c:val>
            <c:numRef>
              <c:f>Sheet4!$C$69:$L$69</c:f>
              <c:numCache>
                <c:formatCode>General</c:formatCode>
                <c:ptCount val="10"/>
                <c:pt idx="0">
                  <c:v>65</c:v>
                </c:pt>
                <c:pt idx="1">
                  <c:v>44</c:v>
                </c:pt>
                <c:pt idx="2">
                  <c:v>47</c:v>
                </c:pt>
                <c:pt idx="3">
                  <c:v>50</c:v>
                </c:pt>
                <c:pt idx="4">
                  <c:v>45</c:v>
                </c:pt>
                <c:pt idx="5">
                  <c:v>37</c:v>
                </c:pt>
                <c:pt idx="6">
                  <c:v>37</c:v>
                </c:pt>
                <c:pt idx="7">
                  <c:v>38</c:v>
                </c:pt>
                <c:pt idx="8">
                  <c:v>37</c:v>
                </c:pt>
                <c:pt idx="9">
                  <c:v>38</c:v>
                </c:pt>
              </c:numCache>
            </c:numRef>
          </c:val>
          <c:extLst>
            <c:ext xmlns:c16="http://schemas.microsoft.com/office/drawing/2014/chart" uri="{C3380CC4-5D6E-409C-BE32-E72D297353CC}">
              <c16:uniqueId val="{00000000-651C-4110-8DF5-3EF6D6758A94}"/>
            </c:ext>
          </c:extLst>
        </c:ser>
        <c:dLbls>
          <c:showLegendKey val="0"/>
          <c:showVal val="0"/>
          <c:showCatName val="0"/>
          <c:showSerName val="0"/>
          <c:showPercent val="0"/>
          <c:showBubbleSize val="0"/>
        </c:dLbls>
        <c:gapWidth val="219"/>
        <c:overlap val="-27"/>
        <c:axId val="275881984"/>
        <c:axId val="275883520"/>
      </c:barChart>
      <c:catAx>
        <c:axId val="27588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883520"/>
        <c:crosses val="autoZero"/>
        <c:auto val="1"/>
        <c:lblAlgn val="ctr"/>
        <c:lblOffset val="100"/>
        <c:noMultiLvlLbl val="0"/>
      </c:catAx>
      <c:valAx>
        <c:axId val="275883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881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'Data Sheet'!$A$4</c:f>
              <c:strCache>
                <c:ptCount val="1"/>
                <c:pt idx="0">
                  <c:v>Prevention Duty Owed</c:v>
                </c:pt>
              </c:strCache>
            </c:strRef>
          </c:tx>
          <c:spPr>
            <a:solidFill>
              <a:schemeClr val="accent1"/>
            </a:solidFill>
            <a:ln>
              <a:noFill/>
            </a:ln>
            <a:effectLst/>
          </c:spPr>
          <c:invertIfNegative val="0"/>
          <c:cat>
            <c:numRef>
              <c:f>'Data Sheet'!$B$3:$L$3</c:f>
              <c:numCache>
                <c:formatCode>mmm\-yy</c:formatCode>
                <c:ptCount val="11"/>
                <c:pt idx="0">
                  <c:v>43252</c:v>
                </c:pt>
                <c:pt idx="1">
                  <c:v>43344</c:v>
                </c:pt>
                <c:pt idx="2">
                  <c:v>43435</c:v>
                </c:pt>
                <c:pt idx="3">
                  <c:v>43525</c:v>
                </c:pt>
                <c:pt idx="4">
                  <c:v>43617</c:v>
                </c:pt>
                <c:pt idx="5">
                  <c:v>43709</c:v>
                </c:pt>
                <c:pt idx="6">
                  <c:v>43800</c:v>
                </c:pt>
                <c:pt idx="7">
                  <c:v>43891</c:v>
                </c:pt>
                <c:pt idx="8">
                  <c:v>43983</c:v>
                </c:pt>
                <c:pt idx="9">
                  <c:v>44075</c:v>
                </c:pt>
                <c:pt idx="10">
                  <c:v>44166</c:v>
                </c:pt>
              </c:numCache>
            </c:numRef>
          </c:cat>
          <c:val>
            <c:numRef>
              <c:f>'Data Sheet'!$B$4:$L$4</c:f>
              <c:numCache>
                <c:formatCode>#,##0</c:formatCode>
                <c:ptCount val="11"/>
                <c:pt idx="0">
                  <c:v>45</c:v>
                </c:pt>
                <c:pt idx="1">
                  <c:v>27</c:v>
                </c:pt>
                <c:pt idx="2">
                  <c:v>27</c:v>
                </c:pt>
                <c:pt idx="3">
                  <c:v>36</c:v>
                </c:pt>
                <c:pt idx="4">
                  <c:v>30</c:v>
                </c:pt>
                <c:pt idx="5">
                  <c:v>41</c:v>
                </c:pt>
                <c:pt idx="6">
                  <c:v>27</c:v>
                </c:pt>
                <c:pt idx="7">
                  <c:v>21</c:v>
                </c:pt>
                <c:pt idx="8">
                  <c:v>22</c:v>
                </c:pt>
                <c:pt idx="9">
                  <c:v>15</c:v>
                </c:pt>
                <c:pt idx="10">
                  <c:v>7</c:v>
                </c:pt>
              </c:numCache>
            </c:numRef>
          </c:val>
          <c:extLst>
            <c:ext xmlns:c16="http://schemas.microsoft.com/office/drawing/2014/chart" uri="{C3380CC4-5D6E-409C-BE32-E72D297353CC}">
              <c16:uniqueId val="{00000000-EAC4-4022-9E05-AD720962EAD9}"/>
            </c:ext>
          </c:extLst>
        </c:ser>
        <c:ser>
          <c:idx val="1"/>
          <c:order val="1"/>
          <c:tx>
            <c:strRef>
              <c:f>'Data Sheet'!$A$5</c:f>
              <c:strCache>
                <c:ptCount val="1"/>
                <c:pt idx="0">
                  <c:v>Relief Duty Owed</c:v>
                </c:pt>
              </c:strCache>
            </c:strRef>
          </c:tx>
          <c:spPr>
            <a:solidFill>
              <a:schemeClr val="accent2"/>
            </a:solidFill>
            <a:ln>
              <a:noFill/>
            </a:ln>
            <a:effectLst/>
          </c:spPr>
          <c:invertIfNegative val="0"/>
          <c:cat>
            <c:numRef>
              <c:f>'Data Sheet'!$B$3:$L$3</c:f>
              <c:numCache>
                <c:formatCode>mmm\-yy</c:formatCode>
                <c:ptCount val="11"/>
                <c:pt idx="0">
                  <c:v>43252</c:v>
                </c:pt>
                <c:pt idx="1">
                  <c:v>43344</c:v>
                </c:pt>
                <c:pt idx="2">
                  <c:v>43435</c:v>
                </c:pt>
                <c:pt idx="3">
                  <c:v>43525</c:v>
                </c:pt>
                <c:pt idx="4">
                  <c:v>43617</c:v>
                </c:pt>
                <c:pt idx="5">
                  <c:v>43709</c:v>
                </c:pt>
                <c:pt idx="6">
                  <c:v>43800</c:v>
                </c:pt>
                <c:pt idx="7">
                  <c:v>43891</c:v>
                </c:pt>
                <c:pt idx="8">
                  <c:v>43983</c:v>
                </c:pt>
                <c:pt idx="9">
                  <c:v>44075</c:v>
                </c:pt>
                <c:pt idx="10">
                  <c:v>44166</c:v>
                </c:pt>
              </c:numCache>
            </c:numRef>
          </c:cat>
          <c:val>
            <c:numRef>
              <c:f>'Data Sheet'!$B$5:$L$5</c:f>
              <c:numCache>
                <c:formatCode>#,##0</c:formatCode>
                <c:ptCount val="11"/>
                <c:pt idx="0">
                  <c:v>47</c:v>
                </c:pt>
                <c:pt idx="1">
                  <c:v>48</c:v>
                </c:pt>
                <c:pt idx="2">
                  <c:v>40</c:v>
                </c:pt>
                <c:pt idx="3">
                  <c:v>37</c:v>
                </c:pt>
                <c:pt idx="4">
                  <c:v>45</c:v>
                </c:pt>
                <c:pt idx="5">
                  <c:v>38</c:v>
                </c:pt>
                <c:pt idx="6">
                  <c:v>18</c:v>
                </c:pt>
                <c:pt idx="7">
                  <c:v>41</c:v>
                </c:pt>
                <c:pt idx="8">
                  <c:v>38</c:v>
                </c:pt>
                <c:pt idx="9">
                  <c:v>26</c:v>
                </c:pt>
                <c:pt idx="10">
                  <c:v>17</c:v>
                </c:pt>
              </c:numCache>
            </c:numRef>
          </c:val>
          <c:extLst>
            <c:ext xmlns:c16="http://schemas.microsoft.com/office/drawing/2014/chart" uri="{C3380CC4-5D6E-409C-BE32-E72D297353CC}">
              <c16:uniqueId val="{00000001-EAC4-4022-9E05-AD720962EAD9}"/>
            </c:ext>
          </c:extLst>
        </c:ser>
        <c:dLbls>
          <c:showLegendKey val="0"/>
          <c:showVal val="0"/>
          <c:showCatName val="0"/>
          <c:showSerName val="0"/>
          <c:showPercent val="0"/>
          <c:showBubbleSize val="0"/>
        </c:dLbls>
        <c:gapWidth val="0"/>
        <c:overlap val="100"/>
        <c:axId val="275061760"/>
        <c:axId val="275084032"/>
      </c:barChart>
      <c:dateAx>
        <c:axId val="275061760"/>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084032"/>
        <c:crosses val="autoZero"/>
        <c:auto val="1"/>
        <c:lblOffset val="100"/>
        <c:baseTimeUnit val="months"/>
        <c:majorUnit val="3"/>
        <c:majorTimeUnit val="months"/>
        <c:minorUnit val="3"/>
        <c:minorTimeUnit val="months"/>
      </c:dateAx>
      <c:valAx>
        <c:axId val="275084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061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Narrow" panose="020B0606020202030204" pitchFamily="34" charset="0"/>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Sheet4!$B$77</c:f>
              <c:strCache>
                <c:ptCount val="1"/>
                <c:pt idx="0">
                  <c:v>HH in TA</c:v>
                </c:pt>
              </c:strCache>
            </c:strRef>
          </c:tx>
          <c:spPr>
            <a:solidFill>
              <a:schemeClr val="accent1"/>
            </a:solidFill>
            <a:ln>
              <a:noFill/>
            </a:ln>
            <a:effectLst/>
          </c:spPr>
          <c:invertIfNegative val="0"/>
          <c:cat>
            <c:numRef>
              <c:f>Sheet4!$C$76:$L$76</c:f>
              <c:numCache>
                <c:formatCode>mmm\-yy</c:formatCode>
                <c:ptCount val="10"/>
                <c:pt idx="0">
                  <c:v>43252</c:v>
                </c:pt>
                <c:pt idx="1">
                  <c:v>43344</c:v>
                </c:pt>
                <c:pt idx="2">
                  <c:v>43435</c:v>
                </c:pt>
                <c:pt idx="3">
                  <c:v>43525</c:v>
                </c:pt>
                <c:pt idx="4">
                  <c:v>43617</c:v>
                </c:pt>
                <c:pt idx="5">
                  <c:v>43800</c:v>
                </c:pt>
                <c:pt idx="6">
                  <c:v>43891</c:v>
                </c:pt>
                <c:pt idx="7">
                  <c:v>43983</c:v>
                </c:pt>
                <c:pt idx="8">
                  <c:v>44075</c:v>
                </c:pt>
                <c:pt idx="9">
                  <c:v>44166</c:v>
                </c:pt>
              </c:numCache>
            </c:numRef>
          </c:cat>
          <c:val>
            <c:numRef>
              <c:f>Sheet4!$C$77:$L$77</c:f>
              <c:numCache>
                <c:formatCode>General</c:formatCode>
                <c:ptCount val="10"/>
                <c:pt idx="0">
                  <c:v>61</c:v>
                </c:pt>
                <c:pt idx="1">
                  <c:v>51</c:v>
                </c:pt>
                <c:pt idx="2">
                  <c:v>24</c:v>
                </c:pt>
                <c:pt idx="3">
                  <c:v>18</c:v>
                </c:pt>
                <c:pt idx="4">
                  <c:v>26</c:v>
                </c:pt>
                <c:pt idx="5">
                  <c:v>42</c:v>
                </c:pt>
                <c:pt idx="6">
                  <c:v>59</c:v>
                </c:pt>
                <c:pt idx="7">
                  <c:v>71</c:v>
                </c:pt>
                <c:pt idx="8">
                  <c:v>51</c:v>
                </c:pt>
                <c:pt idx="9">
                  <c:v>59</c:v>
                </c:pt>
              </c:numCache>
            </c:numRef>
          </c:val>
          <c:extLst>
            <c:ext xmlns:c16="http://schemas.microsoft.com/office/drawing/2014/chart" uri="{C3380CC4-5D6E-409C-BE32-E72D297353CC}">
              <c16:uniqueId val="{00000000-0011-4C0F-9AE2-F4EE825C8D23}"/>
            </c:ext>
          </c:extLst>
        </c:ser>
        <c:dLbls>
          <c:showLegendKey val="0"/>
          <c:showVal val="0"/>
          <c:showCatName val="0"/>
          <c:showSerName val="0"/>
          <c:showPercent val="0"/>
          <c:showBubbleSize val="0"/>
        </c:dLbls>
        <c:gapWidth val="27"/>
        <c:overlap val="-30"/>
        <c:axId val="275109760"/>
        <c:axId val="275111296"/>
      </c:barChart>
      <c:dateAx>
        <c:axId val="2751097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111296"/>
        <c:crosses val="autoZero"/>
        <c:auto val="1"/>
        <c:lblOffset val="100"/>
        <c:baseTimeUnit val="months"/>
        <c:majorUnit val="3"/>
        <c:majorTimeUnit val="months"/>
        <c:minorUnit val="3"/>
        <c:minorTimeUnit val="months"/>
      </c:dateAx>
      <c:valAx>
        <c:axId val="27511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109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Students!$B$5</c:f>
              <c:strCache>
                <c:ptCount val="1"/>
                <c:pt idx="0">
                  <c:v>PG FT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Students!$A$6:$A$14</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Students!$B$6:$B$14</c:f>
              <c:numCache>
                <c:formatCode>General</c:formatCode>
                <c:ptCount val="9"/>
                <c:pt idx="0">
                  <c:v>305</c:v>
                </c:pt>
                <c:pt idx="1">
                  <c:v>360</c:v>
                </c:pt>
                <c:pt idx="2">
                  <c:v>350</c:v>
                </c:pt>
                <c:pt idx="3">
                  <c:v>360</c:v>
                </c:pt>
                <c:pt idx="4">
                  <c:v>360</c:v>
                </c:pt>
                <c:pt idx="5">
                  <c:v>380</c:v>
                </c:pt>
                <c:pt idx="6">
                  <c:v>415</c:v>
                </c:pt>
                <c:pt idx="7">
                  <c:v>455</c:v>
                </c:pt>
                <c:pt idx="8">
                  <c:v>465</c:v>
                </c:pt>
              </c:numCache>
            </c:numRef>
          </c:val>
          <c:extLst>
            <c:ext xmlns:c16="http://schemas.microsoft.com/office/drawing/2014/chart" uri="{C3380CC4-5D6E-409C-BE32-E72D297353CC}">
              <c16:uniqueId val="{00000000-890F-4F7C-9FC7-E487364A64EF}"/>
            </c:ext>
          </c:extLst>
        </c:ser>
        <c:ser>
          <c:idx val="1"/>
          <c:order val="1"/>
          <c:tx>
            <c:strRef>
              <c:f>Students!$C$5</c:f>
              <c:strCache>
                <c:ptCount val="1"/>
                <c:pt idx="0">
                  <c:v>PG PT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Students!$A$6:$A$14</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Students!$C$6:$C$14</c:f>
              <c:numCache>
                <c:formatCode>General</c:formatCode>
                <c:ptCount val="9"/>
                <c:pt idx="0">
                  <c:v>605</c:v>
                </c:pt>
                <c:pt idx="1">
                  <c:v>490</c:v>
                </c:pt>
                <c:pt idx="2">
                  <c:v>495</c:v>
                </c:pt>
                <c:pt idx="3">
                  <c:v>440</c:v>
                </c:pt>
                <c:pt idx="4">
                  <c:v>485</c:v>
                </c:pt>
                <c:pt idx="5">
                  <c:v>510</c:v>
                </c:pt>
                <c:pt idx="6">
                  <c:v>640</c:v>
                </c:pt>
                <c:pt idx="7">
                  <c:v>640</c:v>
                </c:pt>
                <c:pt idx="8">
                  <c:v>680</c:v>
                </c:pt>
              </c:numCache>
            </c:numRef>
          </c:val>
          <c:extLst>
            <c:ext xmlns:c16="http://schemas.microsoft.com/office/drawing/2014/chart" uri="{C3380CC4-5D6E-409C-BE32-E72D297353CC}">
              <c16:uniqueId val="{00000001-890F-4F7C-9FC7-E487364A64EF}"/>
            </c:ext>
          </c:extLst>
        </c:ser>
        <c:ser>
          <c:idx val="2"/>
          <c:order val="2"/>
          <c:tx>
            <c:strRef>
              <c:f>Students!$D$5</c:f>
              <c:strCache>
                <c:ptCount val="1"/>
                <c:pt idx="0">
                  <c:v>UG FT</c:v>
                </c:pt>
              </c:strCache>
            </c:strRef>
          </c:tx>
          <c:spPr>
            <a:solidFill>
              <a:schemeClr val="accent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Students!$A$6:$A$14</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Students!$D$6:$D$14</c:f>
              <c:numCache>
                <c:formatCode>General</c:formatCode>
                <c:ptCount val="9"/>
                <c:pt idx="0">
                  <c:v>4025</c:v>
                </c:pt>
                <c:pt idx="1">
                  <c:v>4175</c:v>
                </c:pt>
                <c:pt idx="2">
                  <c:v>4310</c:v>
                </c:pt>
                <c:pt idx="3">
                  <c:v>4225</c:v>
                </c:pt>
                <c:pt idx="4">
                  <c:v>4270</c:v>
                </c:pt>
                <c:pt idx="5">
                  <c:v>4245</c:v>
                </c:pt>
                <c:pt idx="6">
                  <c:v>4065</c:v>
                </c:pt>
                <c:pt idx="7">
                  <c:v>3960</c:v>
                </c:pt>
                <c:pt idx="8">
                  <c:v>3940</c:v>
                </c:pt>
              </c:numCache>
            </c:numRef>
          </c:val>
          <c:extLst>
            <c:ext xmlns:c16="http://schemas.microsoft.com/office/drawing/2014/chart" uri="{C3380CC4-5D6E-409C-BE32-E72D297353CC}">
              <c16:uniqueId val="{00000002-890F-4F7C-9FC7-E487364A64EF}"/>
            </c:ext>
          </c:extLst>
        </c:ser>
        <c:ser>
          <c:idx val="3"/>
          <c:order val="3"/>
          <c:tx>
            <c:strRef>
              <c:f>Students!$E$5</c:f>
              <c:strCache>
                <c:ptCount val="1"/>
                <c:pt idx="0">
                  <c:v>UG PT</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Students!$A$6:$A$14</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Students!$E$6:$E$14</c:f>
              <c:numCache>
                <c:formatCode>General</c:formatCode>
                <c:ptCount val="9"/>
                <c:pt idx="0">
                  <c:v>705</c:v>
                </c:pt>
                <c:pt idx="1">
                  <c:v>525</c:v>
                </c:pt>
                <c:pt idx="2">
                  <c:v>480</c:v>
                </c:pt>
                <c:pt idx="3">
                  <c:v>425</c:v>
                </c:pt>
                <c:pt idx="4">
                  <c:v>405</c:v>
                </c:pt>
                <c:pt idx="5">
                  <c:v>405</c:v>
                </c:pt>
                <c:pt idx="6">
                  <c:v>400</c:v>
                </c:pt>
                <c:pt idx="7">
                  <c:v>415</c:v>
                </c:pt>
                <c:pt idx="8">
                  <c:v>455</c:v>
                </c:pt>
              </c:numCache>
            </c:numRef>
          </c:val>
          <c:extLst>
            <c:ext xmlns:c16="http://schemas.microsoft.com/office/drawing/2014/chart" uri="{C3380CC4-5D6E-409C-BE32-E72D297353CC}">
              <c16:uniqueId val="{00000003-890F-4F7C-9FC7-E487364A64EF}"/>
            </c:ext>
          </c:extLst>
        </c:ser>
        <c:dLbls>
          <c:dLblPos val="ctr"/>
          <c:showLegendKey val="0"/>
          <c:showVal val="1"/>
          <c:showCatName val="0"/>
          <c:showSerName val="0"/>
          <c:showPercent val="0"/>
          <c:showBubbleSize val="0"/>
        </c:dLbls>
        <c:gapWidth val="150"/>
        <c:overlap val="100"/>
        <c:axId val="275774848"/>
        <c:axId val="275899520"/>
      </c:barChart>
      <c:catAx>
        <c:axId val="27577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899520"/>
        <c:crosses val="autoZero"/>
        <c:auto val="1"/>
        <c:lblAlgn val="ctr"/>
        <c:lblOffset val="100"/>
        <c:noMultiLvlLbl val="0"/>
      </c:catAx>
      <c:valAx>
        <c:axId val="2758995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77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Students!$B$19</c:f>
              <c:strCache>
                <c:ptCount val="1"/>
                <c:pt idx="0">
                  <c:v>Undergraduate</c:v>
                </c:pt>
              </c:strCache>
            </c:strRef>
          </c:tx>
          <c:spPr>
            <a:solidFill>
              <a:schemeClr val="accent1"/>
            </a:solidFill>
            <a:ln>
              <a:noFill/>
            </a:ln>
            <a:effectLst/>
          </c:spPr>
          <c:invertIfNegative val="0"/>
          <c:cat>
            <c:strRef>
              <c:f>Students!$A$20:$A$28</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Students!$B$20:$B$28</c:f>
              <c:numCache>
                <c:formatCode>General</c:formatCode>
                <c:ptCount val="9"/>
                <c:pt idx="0">
                  <c:v>4025</c:v>
                </c:pt>
                <c:pt idx="1">
                  <c:v>4175</c:v>
                </c:pt>
                <c:pt idx="2">
                  <c:v>4310</c:v>
                </c:pt>
                <c:pt idx="3">
                  <c:v>4225</c:v>
                </c:pt>
                <c:pt idx="4">
                  <c:v>4270</c:v>
                </c:pt>
                <c:pt idx="5">
                  <c:v>4245</c:v>
                </c:pt>
                <c:pt idx="6">
                  <c:v>4065</c:v>
                </c:pt>
                <c:pt idx="7">
                  <c:v>3960</c:v>
                </c:pt>
                <c:pt idx="8">
                  <c:v>3940</c:v>
                </c:pt>
              </c:numCache>
            </c:numRef>
          </c:val>
          <c:extLst>
            <c:ext xmlns:c16="http://schemas.microsoft.com/office/drawing/2014/chart" uri="{C3380CC4-5D6E-409C-BE32-E72D297353CC}">
              <c16:uniqueId val="{00000000-383B-4BD5-B7F4-1F575C13A89D}"/>
            </c:ext>
          </c:extLst>
        </c:ser>
        <c:ser>
          <c:idx val="1"/>
          <c:order val="1"/>
          <c:tx>
            <c:strRef>
              <c:f>Students!$C$19</c:f>
              <c:strCache>
                <c:ptCount val="1"/>
                <c:pt idx="0">
                  <c:v>Postgraduate</c:v>
                </c:pt>
              </c:strCache>
            </c:strRef>
          </c:tx>
          <c:spPr>
            <a:solidFill>
              <a:schemeClr val="accent2"/>
            </a:solidFill>
            <a:ln>
              <a:noFill/>
            </a:ln>
            <a:effectLst/>
          </c:spPr>
          <c:invertIfNegative val="0"/>
          <c:cat>
            <c:strRef>
              <c:f>Students!$A$20:$A$28</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Students!$C$20:$C$28</c:f>
              <c:numCache>
                <c:formatCode>General</c:formatCode>
                <c:ptCount val="9"/>
                <c:pt idx="0">
                  <c:v>305</c:v>
                </c:pt>
                <c:pt idx="1">
                  <c:v>360</c:v>
                </c:pt>
                <c:pt idx="2">
                  <c:v>350</c:v>
                </c:pt>
                <c:pt idx="3">
                  <c:v>360</c:v>
                </c:pt>
                <c:pt idx="4">
                  <c:v>360</c:v>
                </c:pt>
                <c:pt idx="5">
                  <c:v>380</c:v>
                </c:pt>
                <c:pt idx="6">
                  <c:v>415</c:v>
                </c:pt>
                <c:pt idx="7">
                  <c:v>455</c:v>
                </c:pt>
                <c:pt idx="8">
                  <c:v>465</c:v>
                </c:pt>
              </c:numCache>
            </c:numRef>
          </c:val>
          <c:extLst>
            <c:ext xmlns:c16="http://schemas.microsoft.com/office/drawing/2014/chart" uri="{C3380CC4-5D6E-409C-BE32-E72D297353CC}">
              <c16:uniqueId val="{00000001-383B-4BD5-B7F4-1F575C13A89D}"/>
            </c:ext>
          </c:extLst>
        </c:ser>
        <c:dLbls>
          <c:showLegendKey val="0"/>
          <c:showVal val="0"/>
          <c:showCatName val="0"/>
          <c:showSerName val="0"/>
          <c:showPercent val="0"/>
          <c:showBubbleSize val="0"/>
        </c:dLbls>
        <c:gapWidth val="150"/>
        <c:overlap val="100"/>
        <c:axId val="290094080"/>
        <c:axId val="290116352"/>
      </c:barChart>
      <c:catAx>
        <c:axId val="29009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0116352"/>
        <c:crosses val="autoZero"/>
        <c:auto val="1"/>
        <c:lblAlgn val="ctr"/>
        <c:lblOffset val="100"/>
        <c:noMultiLvlLbl val="0"/>
      </c:catAx>
      <c:valAx>
        <c:axId val="290116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0094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Sheet2!$E$10</c:f>
              <c:strCache>
                <c:ptCount val="1"/>
                <c:pt idx="0">
                  <c:v>Military</c:v>
                </c:pt>
              </c:strCache>
            </c:strRef>
          </c:tx>
          <c:spPr>
            <a:solidFill>
              <a:schemeClr val="accent1"/>
            </a:solidFill>
            <a:ln>
              <a:noFill/>
            </a:ln>
            <a:effectLst/>
          </c:spPr>
          <c:invertIfNegative val="0"/>
          <c:cat>
            <c:strRef>
              <c:f>Sheet2!$F$9:$N$9</c:f>
              <c:strCache>
                <c:ptCount val="9"/>
                <c:pt idx="0">
                  <c:v>2012</c:v>
                </c:pt>
                <c:pt idx="1">
                  <c:v>2013</c:v>
                </c:pt>
                <c:pt idx="2">
                  <c:v>2014</c:v>
                </c:pt>
                <c:pt idx="3">
                  <c:v>2015</c:v>
                </c:pt>
                <c:pt idx="4">
                  <c:v>2016</c:v>
                </c:pt>
                <c:pt idx="5">
                  <c:v>2017</c:v>
                </c:pt>
                <c:pt idx="6">
                  <c:v>2018</c:v>
                </c:pt>
                <c:pt idx="7">
                  <c:v>2019</c:v>
                </c:pt>
                <c:pt idx="8">
                  <c:v>2020</c:v>
                </c:pt>
              </c:strCache>
            </c:strRef>
          </c:cat>
          <c:val>
            <c:numRef>
              <c:f>Sheet2!$F$10:$N$10</c:f>
              <c:numCache>
                <c:formatCode>[=0]"-";[=5]"~";#,##0</c:formatCode>
                <c:ptCount val="9"/>
                <c:pt idx="0">
                  <c:v>900</c:v>
                </c:pt>
                <c:pt idx="1">
                  <c:v>910</c:v>
                </c:pt>
                <c:pt idx="2">
                  <c:v>730</c:v>
                </c:pt>
                <c:pt idx="3">
                  <c:v>780</c:v>
                </c:pt>
                <c:pt idx="4">
                  <c:v>820</c:v>
                </c:pt>
                <c:pt idx="5">
                  <c:v>870</c:v>
                </c:pt>
                <c:pt idx="6">
                  <c:v>930</c:v>
                </c:pt>
                <c:pt idx="7">
                  <c:v>1010</c:v>
                </c:pt>
                <c:pt idx="8">
                  <c:v>980</c:v>
                </c:pt>
              </c:numCache>
            </c:numRef>
          </c:val>
          <c:extLst>
            <c:ext xmlns:c16="http://schemas.microsoft.com/office/drawing/2014/chart" uri="{C3380CC4-5D6E-409C-BE32-E72D297353CC}">
              <c16:uniqueId val="{00000000-FC4C-4134-9A08-1BE382EDBCF4}"/>
            </c:ext>
          </c:extLst>
        </c:ser>
        <c:ser>
          <c:idx val="1"/>
          <c:order val="1"/>
          <c:tx>
            <c:strRef>
              <c:f>Sheet2!$E$11</c:f>
              <c:strCache>
                <c:ptCount val="1"/>
                <c:pt idx="0">
                  <c:v>Civilians</c:v>
                </c:pt>
              </c:strCache>
            </c:strRef>
          </c:tx>
          <c:spPr>
            <a:solidFill>
              <a:schemeClr val="accent2"/>
            </a:solidFill>
            <a:ln>
              <a:noFill/>
            </a:ln>
            <a:effectLst/>
          </c:spPr>
          <c:invertIfNegative val="0"/>
          <c:cat>
            <c:strRef>
              <c:f>Sheet2!$F$9:$N$9</c:f>
              <c:strCache>
                <c:ptCount val="9"/>
                <c:pt idx="0">
                  <c:v>2012</c:v>
                </c:pt>
                <c:pt idx="1">
                  <c:v>2013</c:v>
                </c:pt>
                <c:pt idx="2">
                  <c:v>2014</c:v>
                </c:pt>
                <c:pt idx="3">
                  <c:v>2015</c:v>
                </c:pt>
                <c:pt idx="4">
                  <c:v>2016</c:v>
                </c:pt>
                <c:pt idx="5">
                  <c:v>2017</c:v>
                </c:pt>
                <c:pt idx="6">
                  <c:v>2018</c:v>
                </c:pt>
                <c:pt idx="7">
                  <c:v>2019</c:v>
                </c:pt>
                <c:pt idx="8">
                  <c:v>2020</c:v>
                </c:pt>
              </c:strCache>
            </c:strRef>
          </c:cat>
          <c:val>
            <c:numRef>
              <c:f>Sheet2!$F$11:$N$11</c:f>
              <c:numCache>
                <c:formatCode>[=0]"-";[=5]"~";#,##0</c:formatCode>
                <c:ptCount val="9"/>
                <c:pt idx="0">
                  <c:v>30</c:v>
                </c:pt>
                <c:pt idx="1">
                  <c:v>20</c:v>
                </c:pt>
                <c:pt idx="2">
                  <c:v>20</c:v>
                </c:pt>
                <c:pt idx="3">
                  <c:v>20</c:v>
                </c:pt>
                <c:pt idx="4">
                  <c:v>20</c:v>
                </c:pt>
                <c:pt idx="5">
                  <c:v>20</c:v>
                </c:pt>
                <c:pt idx="6">
                  <c:v>20</c:v>
                </c:pt>
                <c:pt idx="7">
                  <c:v>20</c:v>
                </c:pt>
                <c:pt idx="8">
                  <c:v>20</c:v>
                </c:pt>
              </c:numCache>
            </c:numRef>
          </c:val>
          <c:extLst>
            <c:ext xmlns:c16="http://schemas.microsoft.com/office/drawing/2014/chart" uri="{C3380CC4-5D6E-409C-BE32-E72D297353CC}">
              <c16:uniqueId val="{00000001-FC4C-4134-9A08-1BE382EDBCF4}"/>
            </c:ext>
          </c:extLst>
        </c:ser>
        <c:dLbls>
          <c:showLegendKey val="0"/>
          <c:showVal val="0"/>
          <c:showCatName val="0"/>
          <c:showSerName val="0"/>
          <c:showPercent val="0"/>
          <c:showBubbleSize val="0"/>
        </c:dLbls>
        <c:gapWidth val="219"/>
        <c:overlap val="100"/>
        <c:axId val="297306368"/>
        <c:axId val="297308160"/>
      </c:barChart>
      <c:catAx>
        <c:axId val="29730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97308160"/>
        <c:crosses val="autoZero"/>
        <c:auto val="1"/>
        <c:lblAlgn val="ctr"/>
        <c:lblOffset val="100"/>
        <c:noMultiLvlLbl val="0"/>
      </c:catAx>
      <c:valAx>
        <c:axId val="297308160"/>
        <c:scaling>
          <c:orientation val="minMax"/>
        </c:scaling>
        <c:delete val="0"/>
        <c:axPos val="l"/>
        <c:majorGridlines>
          <c:spPr>
            <a:ln w="9525" cap="flat" cmpd="sng" algn="ctr">
              <a:solidFill>
                <a:schemeClr val="tx1">
                  <a:lumMod val="15000"/>
                  <a:lumOff val="85000"/>
                </a:schemeClr>
              </a:solidFill>
              <a:round/>
            </a:ln>
            <a:effectLst/>
          </c:spPr>
        </c:majorGridlines>
        <c:numFmt formatCode="[=0]&quot;-&quot;;[=5]&quot;~&quot;;#,##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97306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1000">
          <a:latin typeface="Arial Narrow" panose="020B060602020203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Chichester District</c:v>
          </c:tx>
          <c:spPr>
            <a:solidFill>
              <a:schemeClr val="accent1"/>
            </a:solidFill>
            <a:ln>
              <a:noFill/>
            </a:ln>
            <a:effectLst/>
          </c:spPr>
          <c:invertIfNegative val="0"/>
          <c:cat>
            <c:strRef>
              <c:f>'Front sheet'!$B$1:$U$1</c:f>
              <c:strCache>
                <c:ptCount val="20"/>
                <c:pt idx="0">
                  <c:v>2001-02</c:v>
                </c:pt>
                <c:pt idx="1">
                  <c:v>2002-03</c:v>
                </c:pt>
                <c:pt idx="2">
                  <c:v>2003-04</c:v>
                </c:pt>
                <c:pt idx="3">
                  <c:v>2004-05</c:v>
                </c:pt>
                <c:pt idx="4">
                  <c:v>2005-06</c:v>
                </c:pt>
                <c:pt idx="5">
                  <c:v>2006-07</c:v>
                </c:pt>
                <c:pt idx="6">
                  <c:v>2007-08</c:v>
                </c:pt>
                <c:pt idx="7">
                  <c:v>2008-09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pt idx="19">
                  <c:v>2020-21</c:v>
                </c:pt>
              </c:strCache>
            </c:strRef>
          </c:cat>
          <c:val>
            <c:numRef>
              <c:f>'Front sheet'!$B$2:$U$2</c:f>
              <c:numCache>
                <c:formatCode>0</c:formatCode>
                <c:ptCount val="20"/>
                <c:pt idx="0">
                  <c:v>430.59999999999854</c:v>
                </c:pt>
                <c:pt idx="1">
                  <c:v>570.59999999999854</c:v>
                </c:pt>
                <c:pt idx="2">
                  <c:v>482.60000000000582</c:v>
                </c:pt>
                <c:pt idx="3">
                  <c:v>529.59999999999854</c:v>
                </c:pt>
                <c:pt idx="4">
                  <c:v>560.59999999999854</c:v>
                </c:pt>
                <c:pt idx="5">
                  <c:v>429.59999999999854</c:v>
                </c:pt>
                <c:pt idx="6">
                  <c:v>504.59999999999854</c:v>
                </c:pt>
                <c:pt idx="7">
                  <c:v>671.60000000000582</c:v>
                </c:pt>
                <c:pt idx="8">
                  <c:v>398.59999999999854</c:v>
                </c:pt>
                <c:pt idx="9">
                  <c:v>507.59999999999854</c:v>
                </c:pt>
                <c:pt idx="10" formatCode="General">
                  <c:v>353</c:v>
                </c:pt>
                <c:pt idx="11" formatCode="General">
                  <c:v>298</c:v>
                </c:pt>
                <c:pt idx="12" formatCode="General">
                  <c:v>229</c:v>
                </c:pt>
                <c:pt idx="13" formatCode="General">
                  <c:v>461</c:v>
                </c:pt>
                <c:pt idx="14" formatCode="General">
                  <c:v>580</c:v>
                </c:pt>
                <c:pt idx="15" formatCode="General">
                  <c:v>564</c:v>
                </c:pt>
                <c:pt idx="16" formatCode="General">
                  <c:v>690</c:v>
                </c:pt>
                <c:pt idx="17" formatCode="General">
                  <c:v>635</c:v>
                </c:pt>
                <c:pt idx="18" formatCode="General">
                  <c:v>542</c:v>
                </c:pt>
                <c:pt idx="19" formatCode="General">
                  <c:v>530</c:v>
                </c:pt>
              </c:numCache>
            </c:numRef>
          </c:val>
          <c:extLst>
            <c:ext xmlns:c16="http://schemas.microsoft.com/office/drawing/2014/chart" uri="{C3380CC4-5D6E-409C-BE32-E72D297353CC}">
              <c16:uniqueId val="{00000000-1F4D-4C1E-84DB-C4F3EE9472C6}"/>
            </c:ext>
          </c:extLst>
        </c:ser>
        <c:ser>
          <c:idx val="2"/>
          <c:order val="2"/>
          <c:tx>
            <c:strRef>
              <c:f>'Front sheet'!$A$29</c:f>
              <c:strCache>
                <c:ptCount val="1"/>
                <c:pt idx="0">
                  <c:v>Chichester Plan Area</c:v>
                </c:pt>
              </c:strCache>
            </c:strRef>
          </c:tx>
          <c:spPr>
            <a:solidFill>
              <a:schemeClr val="accent3"/>
            </a:solidFill>
            <a:ln>
              <a:noFill/>
            </a:ln>
            <a:effectLst/>
          </c:spPr>
          <c:invertIfNegative val="0"/>
          <c:cat>
            <c:strRef>
              <c:f>'Front sheet'!$B$1:$U$1</c:f>
              <c:strCache>
                <c:ptCount val="20"/>
                <c:pt idx="0">
                  <c:v>2001-02</c:v>
                </c:pt>
                <c:pt idx="1">
                  <c:v>2002-03</c:v>
                </c:pt>
                <c:pt idx="2">
                  <c:v>2003-04</c:v>
                </c:pt>
                <c:pt idx="3">
                  <c:v>2004-05</c:v>
                </c:pt>
                <c:pt idx="4">
                  <c:v>2005-06</c:v>
                </c:pt>
                <c:pt idx="5">
                  <c:v>2006-07</c:v>
                </c:pt>
                <c:pt idx="6">
                  <c:v>2007-08</c:v>
                </c:pt>
                <c:pt idx="7">
                  <c:v>2008-09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pt idx="19">
                  <c:v>2020-21</c:v>
                </c:pt>
              </c:strCache>
            </c:strRef>
          </c:cat>
          <c:val>
            <c:numRef>
              <c:f>'Front sheet'!$B$29:$U$29</c:f>
              <c:numCache>
                <c:formatCode>General</c:formatCode>
                <c:ptCount val="20"/>
                <c:pt idx="12">
                  <c:v>202</c:v>
                </c:pt>
                <c:pt idx="13">
                  <c:v>351</c:v>
                </c:pt>
                <c:pt idx="14">
                  <c:v>507</c:v>
                </c:pt>
                <c:pt idx="15">
                  <c:v>439</c:v>
                </c:pt>
                <c:pt idx="16">
                  <c:v>557</c:v>
                </c:pt>
                <c:pt idx="17">
                  <c:v>654</c:v>
                </c:pt>
                <c:pt idx="18">
                  <c:v>503</c:v>
                </c:pt>
                <c:pt idx="19">
                  <c:v>482</c:v>
                </c:pt>
              </c:numCache>
            </c:numRef>
          </c:val>
          <c:extLst>
            <c:ext xmlns:c16="http://schemas.microsoft.com/office/drawing/2014/chart" uri="{C3380CC4-5D6E-409C-BE32-E72D297353CC}">
              <c16:uniqueId val="{00000001-1F4D-4C1E-84DB-C4F3EE9472C6}"/>
            </c:ext>
          </c:extLst>
        </c:ser>
        <c:dLbls>
          <c:showLegendKey val="0"/>
          <c:showVal val="0"/>
          <c:showCatName val="0"/>
          <c:showSerName val="0"/>
          <c:showPercent val="0"/>
          <c:showBubbleSize val="0"/>
        </c:dLbls>
        <c:gapWidth val="150"/>
        <c:axId val="1017834287"/>
        <c:axId val="1017842607"/>
      </c:barChart>
      <c:lineChart>
        <c:grouping val="standard"/>
        <c:varyColors val="0"/>
        <c:ser>
          <c:idx val="1"/>
          <c:order val="1"/>
          <c:tx>
            <c:v>District Average</c:v>
          </c:tx>
          <c:spPr>
            <a:ln w="28575" cap="rnd">
              <a:solidFill>
                <a:schemeClr val="accent2"/>
              </a:solidFill>
              <a:round/>
            </a:ln>
            <a:effectLst/>
          </c:spPr>
          <c:marker>
            <c:symbol val="none"/>
          </c:marker>
          <c:cat>
            <c:strRef>
              <c:f>'Front sheet'!$B$1:$U$1</c:f>
              <c:strCache>
                <c:ptCount val="20"/>
                <c:pt idx="0">
                  <c:v>2001-02</c:v>
                </c:pt>
                <c:pt idx="1">
                  <c:v>2002-03</c:v>
                </c:pt>
                <c:pt idx="2">
                  <c:v>2003-04</c:v>
                </c:pt>
                <c:pt idx="3">
                  <c:v>2004-05</c:v>
                </c:pt>
                <c:pt idx="4">
                  <c:v>2005-06</c:v>
                </c:pt>
                <c:pt idx="5">
                  <c:v>2006-07</c:v>
                </c:pt>
                <c:pt idx="6">
                  <c:v>2007-08</c:v>
                </c:pt>
                <c:pt idx="7">
                  <c:v>2008-09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pt idx="19">
                  <c:v>2020-21</c:v>
                </c:pt>
              </c:strCache>
            </c:strRef>
          </c:cat>
          <c:val>
            <c:numRef>
              <c:f>'Front sheet'!$B$3:$U$3</c:f>
              <c:numCache>
                <c:formatCode>0</c:formatCode>
                <c:ptCount val="20"/>
                <c:pt idx="0">
                  <c:v>498.4</c:v>
                </c:pt>
                <c:pt idx="1">
                  <c:v>498.4</c:v>
                </c:pt>
                <c:pt idx="2">
                  <c:v>498.4</c:v>
                </c:pt>
                <c:pt idx="3">
                  <c:v>498.4</c:v>
                </c:pt>
                <c:pt idx="4">
                  <c:v>498.4</c:v>
                </c:pt>
                <c:pt idx="5">
                  <c:v>498.4</c:v>
                </c:pt>
                <c:pt idx="6">
                  <c:v>498.4</c:v>
                </c:pt>
                <c:pt idx="7">
                  <c:v>498.4</c:v>
                </c:pt>
                <c:pt idx="8">
                  <c:v>498.4</c:v>
                </c:pt>
                <c:pt idx="9">
                  <c:v>498.4</c:v>
                </c:pt>
                <c:pt idx="10">
                  <c:v>498.4</c:v>
                </c:pt>
                <c:pt idx="11">
                  <c:v>498.4</c:v>
                </c:pt>
                <c:pt idx="12">
                  <c:v>498.4</c:v>
                </c:pt>
                <c:pt idx="13">
                  <c:v>498.4</c:v>
                </c:pt>
                <c:pt idx="14">
                  <c:v>498.4</c:v>
                </c:pt>
                <c:pt idx="15">
                  <c:v>498.4</c:v>
                </c:pt>
                <c:pt idx="16">
                  <c:v>498.4</c:v>
                </c:pt>
                <c:pt idx="17">
                  <c:v>498.4</c:v>
                </c:pt>
                <c:pt idx="18">
                  <c:v>498.4</c:v>
                </c:pt>
                <c:pt idx="19">
                  <c:v>498.4</c:v>
                </c:pt>
              </c:numCache>
            </c:numRef>
          </c:val>
          <c:smooth val="0"/>
          <c:extLst>
            <c:ext xmlns:c16="http://schemas.microsoft.com/office/drawing/2014/chart" uri="{C3380CC4-5D6E-409C-BE32-E72D297353CC}">
              <c16:uniqueId val="{00000002-1F4D-4C1E-84DB-C4F3EE9472C6}"/>
            </c:ext>
          </c:extLst>
        </c:ser>
        <c:ser>
          <c:idx val="3"/>
          <c:order val="3"/>
          <c:tx>
            <c:strRef>
              <c:f>'Front sheet'!$A$30</c:f>
              <c:strCache>
                <c:ptCount val="1"/>
                <c:pt idx="0">
                  <c:v>Chichester Plan Area Average</c:v>
                </c:pt>
              </c:strCache>
            </c:strRef>
          </c:tx>
          <c:spPr>
            <a:ln w="28575" cap="rnd">
              <a:solidFill>
                <a:schemeClr val="accent4"/>
              </a:solidFill>
              <a:round/>
            </a:ln>
            <a:effectLst/>
          </c:spPr>
          <c:marker>
            <c:symbol val="none"/>
          </c:marker>
          <c:val>
            <c:numRef>
              <c:f>'Front sheet'!$B$30:$U$30</c:f>
              <c:numCache>
                <c:formatCode>General</c:formatCode>
                <c:ptCount val="20"/>
                <c:pt idx="12">
                  <c:v>462</c:v>
                </c:pt>
                <c:pt idx="13">
                  <c:v>462</c:v>
                </c:pt>
                <c:pt idx="14">
                  <c:v>462</c:v>
                </c:pt>
                <c:pt idx="15">
                  <c:v>462</c:v>
                </c:pt>
                <c:pt idx="16">
                  <c:v>462</c:v>
                </c:pt>
                <c:pt idx="17">
                  <c:v>462</c:v>
                </c:pt>
                <c:pt idx="18">
                  <c:v>462</c:v>
                </c:pt>
                <c:pt idx="19">
                  <c:v>462</c:v>
                </c:pt>
              </c:numCache>
            </c:numRef>
          </c:val>
          <c:smooth val="0"/>
          <c:extLst>
            <c:ext xmlns:c16="http://schemas.microsoft.com/office/drawing/2014/chart" uri="{C3380CC4-5D6E-409C-BE32-E72D297353CC}">
              <c16:uniqueId val="{00000003-1F4D-4C1E-84DB-C4F3EE9472C6}"/>
            </c:ext>
          </c:extLst>
        </c:ser>
        <c:dLbls>
          <c:showLegendKey val="0"/>
          <c:showVal val="0"/>
          <c:showCatName val="0"/>
          <c:showSerName val="0"/>
          <c:showPercent val="0"/>
          <c:showBubbleSize val="0"/>
        </c:dLbls>
        <c:marker val="1"/>
        <c:smooth val="0"/>
        <c:axId val="1017834287"/>
        <c:axId val="1017842607"/>
      </c:lineChart>
      <c:catAx>
        <c:axId val="1017834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7842607"/>
        <c:crosses val="autoZero"/>
        <c:auto val="1"/>
        <c:lblAlgn val="ctr"/>
        <c:lblOffset val="100"/>
        <c:noMultiLvlLbl val="0"/>
      </c:catAx>
      <c:valAx>
        <c:axId val="10178426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Net Additional</a:t>
                </a:r>
                <a:r>
                  <a:rPr lang="en-GB" baseline="0"/>
                  <a:t> Dwellings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7834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'[VOA Business Floorspace Chichester.xlsx]Office'!$B$20</c:f>
              <c:strCache>
                <c:ptCount val="1"/>
                <c:pt idx="0">
                  <c:v>Chichester</c:v>
                </c:pt>
              </c:strCache>
            </c:strRef>
          </c:tx>
          <c:spPr>
            <a:solidFill>
              <a:schemeClr val="accent1"/>
            </a:solidFill>
            <a:ln>
              <a:noFill/>
            </a:ln>
            <a:effectLst/>
          </c:spPr>
          <c:invertIfNegative val="0"/>
          <c:cat>
            <c:strRef>
              <c:f>'[VOA Business Floorspace Chichester.xlsx]Office'!$C$19:$V$19</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'[VOA Business Floorspace Chichester.xlsx]Office'!$C$20:$V$20</c:f>
              <c:numCache>
                <c:formatCode>_-* #,##0_-;\-* #,##0_-;_-* "-"??_-;_-@_-</c:formatCode>
                <c:ptCount val="20"/>
                <c:pt idx="0">
                  <c:v>113000</c:v>
                </c:pt>
                <c:pt idx="1">
                  <c:v>113000</c:v>
                </c:pt>
                <c:pt idx="2">
                  <c:v>120000</c:v>
                </c:pt>
                <c:pt idx="3">
                  <c:v>102000</c:v>
                </c:pt>
                <c:pt idx="4">
                  <c:v>105000</c:v>
                </c:pt>
                <c:pt idx="5">
                  <c:v>97000</c:v>
                </c:pt>
                <c:pt idx="6">
                  <c:v>96000</c:v>
                </c:pt>
                <c:pt idx="7">
                  <c:v>97000</c:v>
                </c:pt>
                <c:pt idx="8">
                  <c:v>99000</c:v>
                </c:pt>
                <c:pt idx="9">
                  <c:v>96000</c:v>
                </c:pt>
                <c:pt idx="10">
                  <c:v>97000</c:v>
                </c:pt>
                <c:pt idx="11">
                  <c:v>98000</c:v>
                </c:pt>
                <c:pt idx="12">
                  <c:v>98000</c:v>
                </c:pt>
                <c:pt idx="13">
                  <c:v>101000</c:v>
                </c:pt>
                <c:pt idx="14">
                  <c:v>105000</c:v>
                </c:pt>
                <c:pt idx="15">
                  <c:v>104000</c:v>
                </c:pt>
                <c:pt idx="16">
                  <c:v>103000</c:v>
                </c:pt>
                <c:pt idx="17">
                  <c:v>103000</c:v>
                </c:pt>
                <c:pt idx="18">
                  <c:v>101000</c:v>
                </c:pt>
                <c:pt idx="19">
                  <c:v>102000</c:v>
                </c:pt>
              </c:numCache>
            </c:numRef>
          </c:val>
          <c:extLst>
            <c:ext xmlns:c16="http://schemas.microsoft.com/office/drawing/2014/chart" uri="{C3380CC4-5D6E-409C-BE32-E72D297353CC}">
              <c16:uniqueId val="{00000000-DA01-458D-B65A-D1743AB8AA4D}"/>
            </c:ext>
          </c:extLst>
        </c:ser>
        <c:dLbls>
          <c:showLegendKey val="0"/>
          <c:showVal val="0"/>
          <c:showCatName val="0"/>
          <c:showSerName val="0"/>
          <c:showPercent val="0"/>
          <c:showBubbleSize val="0"/>
        </c:dLbls>
        <c:gapWidth val="219"/>
        <c:overlap val="-27"/>
        <c:axId val="297673472"/>
        <c:axId val="297675008"/>
      </c:barChart>
      <c:catAx>
        <c:axId val="29767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7675008"/>
        <c:crosses val="autoZero"/>
        <c:auto val="1"/>
        <c:lblAlgn val="ctr"/>
        <c:lblOffset val="100"/>
        <c:noMultiLvlLbl val="0"/>
      </c:catAx>
      <c:valAx>
        <c:axId val="297675008"/>
        <c:scaling>
          <c:orientation val="minMax"/>
          <c:max val="12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Floorspace (Sqm)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7673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Office!$B$36</c:f>
              <c:strCache>
                <c:ptCount val="1"/>
                <c:pt idx="0">
                  <c:v>Chichester</c:v>
                </c:pt>
              </c:strCache>
            </c:strRef>
          </c:tx>
          <c:spPr>
            <a:ln w="28575" cap="rnd">
              <a:solidFill>
                <a:schemeClr val="accent1"/>
              </a:solidFill>
              <a:round/>
            </a:ln>
            <a:effectLst/>
          </c:spPr>
          <c:marker>
            <c:symbol val="none"/>
          </c:marker>
          <c:cat>
            <c:strRef>
              <c:f>Office!$C$35:$V$35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Office!$C$36:$V$36</c:f>
              <c:numCache>
                <c:formatCode>_(* #,##0.00_);_(* \(#,##0.00\);_(* "-"??_);_(@_)</c:formatCode>
                <c:ptCount val="20"/>
                <c:pt idx="0">
                  <c:v>1</c:v>
                </c:pt>
                <c:pt idx="1">
                  <c:v>1</c:v>
                </c:pt>
                <c:pt idx="2">
                  <c:v>1.06</c:v>
                </c:pt>
                <c:pt idx="3">
                  <c:v>0.9</c:v>
                </c:pt>
                <c:pt idx="4">
                  <c:v>0.93</c:v>
                </c:pt>
                <c:pt idx="5">
                  <c:v>0.86</c:v>
                </c:pt>
                <c:pt idx="6">
                  <c:v>0.85</c:v>
                </c:pt>
                <c:pt idx="7">
                  <c:v>0.86</c:v>
                </c:pt>
                <c:pt idx="8">
                  <c:v>0.88</c:v>
                </c:pt>
                <c:pt idx="9">
                  <c:v>0.85</c:v>
                </c:pt>
                <c:pt idx="10">
                  <c:v>0.86</c:v>
                </c:pt>
                <c:pt idx="11">
                  <c:v>0.87</c:v>
                </c:pt>
                <c:pt idx="12">
                  <c:v>0.87</c:v>
                </c:pt>
                <c:pt idx="13">
                  <c:v>0.89</c:v>
                </c:pt>
                <c:pt idx="14">
                  <c:v>0.93</c:v>
                </c:pt>
                <c:pt idx="15">
                  <c:v>0.92</c:v>
                </c:pt>
                <c:pt idx="16">
                  <c:v>0.91</c:v>
                </c:pt>
                <c:pt idx="17">
                  <c:v>0.91</c:v>
                </c:pt>
                <c:pt idx="18">
                  <c:v>0.89</c:v>
                </c:pt>
                <c:pt idx="19">
                  <c:v>0.9</c:v>
                </c:pt>
              </c:numCache>
            </c:numRef>
          </c:val>
          <c:smooth val="0"/>
          <c:extLst>
            <c:ext xmlns:c16="http://schemas.microsoft.com/office/drawing/2014/chart" uri="{C3380CC4-5D6E-409C-BE32-E72D297353CC}">
              <c16:uniqueId val="{00000000-2E44-4665-B96B-656B8C48540E}"/>
            </c:ext>
          </c:extLst>
        </c:ser>
        <c:ser>
          <c:idx val="6"/>
          <c:order val="1"/>
          <c:tx>
            <c:strRef>
              <c:f>Office!$B$42</c:f>
              <c:strCache>
                <c:ptCount val="1"/>
                <c:pt idx="0">
                  <c:v>West Sussex</c:v>
                </c:pt>
              </c:strCache>
            </c:strRef>
          </c:tx>
          <c:spPr>
            <a:ln w="28575" cap="rnd">
              <a:solidFill>
                <a:schemeClr val="accent1">
                  <a:lumMod val="60000"/>
                </a:schemeClr>
              </a:solidFill>
              <a:round/>
            </a:ln>
            <a:effectLst/>
          </c:spPr>
          <c:marker>
            <c:symbol val="none"/>
          </c:marker>
          <c:cat>
            <c:strRef>
              <c:f>Office!$C$35:$V$35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Office!$C$42:$V$42</c:f>
              <c:numCache>
                <c:formatCode>_(* #,##0.00_);_(* \(#,##0.00\);_(* "-"??_);_(@_)</c:formatCode>
                <c:ptCount val="20"/>
                <c:pt idx="0">
                  <c:v>1</c:v>
                </c:pt>
                <c:pt idx="1">
                  <c:v>0.99</c:v>
                </c:pt>
                <c:pt idx="2">
                  <c:v>1.03</c:v>
                </c:pt>
                <c:pt idx="3">
                  <c:v>1.01</c:v>
                </c:pt>
                <c:pt idx="4">
                  <c:v>1.02</c:v>
                </c:pt>
                <c:pt idx="5">
                  <c:v>0.99</c:v>
                </c:pt>
                <c:pt idx="6">
                  <c:v>1</c:v>
                </c:pt>
                <c:pt idx="7">
                  <c:v>1</c:v>
                </c:pt>
                <c:pt idx="8">
                  <c:v>1</c:v>
                </c:pt>
                <c:pt idx="9">
                  <c:v>0.96</c:v>
                </c:pt>
                <c:pt idx="10">
                  <c:v>0.97</c:v>
                </c:pt>
                <c:pt idx="11">
                  <c:v>0.96</c:v>
                </c:pt>
                <c:pt idx="12">
                  <c:v>0.96</c:v>
                </c:pt>
                <c:pt idx="13">
                  <c:v>0.95</c:v>
                </c:pt>
                <c:pt idx="14">
                  <c:v>0.94</c:v>
                </c:pt>
                <c:pt idx="15">
                  <c:v>0.93</c:v>
                </c:pt>
                <c:pt idx="16">
                  <c:v>0.9</c:v>
                </c:pt>
                <c:pt idx="17">
                  <c:v>0.9</c:v>
                </c:pt>
                <c:pt idx="18">
                  <c:v>0.9</c:v>
                </c:pt>
                <c:pt idx="19">
                  <c:v>0.9</c:v>
                </c:pt>
              </c:numCache>
            </c:numRef>
          </c:val>
          <c:smooth val="0"/>
          <c:extLst>
            <c:ext xmlns:c16="http://schemas.microsoft.com/office/drawing/2014/chart" uri="{C3380CC4-5D6E-409C-BE32-E72D297353CC}">
              <c16:uniqueId val="{00000001-2E44-4665-B96B-656B8C48540E}"/>
            </c:ext>
          </c:extLst>
        </c:ser>
        <c:ser>
          <c:idx val="7"/>
          <c:order val="2"/>
          <c:tx>
            <c:strRef>
              <c:f>Office!$B$43</c:f>
              <c:strCache>
                <c:ptCount val="1"/>
                <c:pt idx="0">
                  <c:v>SOUTH EAST</c:v>
                </c:pt>
              </c:strCache>
            </c:strRef>
          </c:tx>
          <c:spPr>
            <a:ln w="28575" cap="rnd">
              <a:solidFill>
                <a:schemeClr val="accent2">
                  <a:lumMod val="60000"/>
                </a:schemeClr>
              </a:solidFill>
              <a:round/>
            </a:ln>
            <a:effectLst/>
          </c:spPr>
          <c:marker>
            <c:symbol val="none"/>
          </c:marker>
          <c:cat>
            <c:strRef>
              <c:f>Office!$C$35:$V$35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Office!$C$43:$V$43</c:f>
              <c:numCache>
                <c:formatCode>_(* #,##0.00_);_(* \(#,##0.00\);_(* "-"??_);_(@_)</c:formatCode>
                <c:ptCount val="20"/>
                <c:pt idx="0">
                  <c:v>1</c:v>
                </c:pt>
                <c:pt idx="1">
                  <c:v>1.03</c:v>
                </c:pt>
                <c:pt idx="2">
                  <c:v>1.06</c:v>
                </c:pt>
                <c:pt idx="3">
                  <c:v>1.07</c:v>
                </c:pt>
                <c:pt idx="4">
                  <c:v>1.07</c:v>
                </c:pt>
                <c:pt idx="5">
                  <c:v>1.04</c:v>
                </c:pt>
                <c:pt idx="6">
                  <c:v>1.04</c:v>
                </c:pt>
                <c:pt idx="7">
                  <c:v>1.04</c:v>
                </c:pt>
                <c:pt idx="8">
                  <c:v>1.05</c:v>
                </c:pt>
                <c:pt idx="9">
                  <c:v>1.05</c:v>
                </c:pt>
                <c:pt idx="10">
                  <c:v>1.06</c:v>
                </c:pt>
                <c:pt idx="11">
                  <c:v>1.06</c:v>
                </c:pt>
                <c:pt idx="12">
                  <c:v>1.07</c:v>
                </c:pt>
                <c:pt idx="13">
                  <c:v>1.07</c:v>
                </c:pt>
                <c:pt idx="14">
                  <c:v>1.07</c:v>
                </c:pt>
                <c:pt idx="15">
                  <c:v>1.06</c:v>
                </c:pt>
                <c:pt idx="16">
                  <c:v>1.04</c:v>
                </c:pt>
                <c:pt idx="17">
                  <c:v>1.03</c:v>
                </c:pt>
                <c:pt idx="18">
                  <c:v>1.03</c:v>
                </c:pt>
                <c:pt idx="19">
                  <c:v>1.02</c:v>
                </c:pt>
              </c:numCache>
            </c:numRef>
          </c:val>
          <c:smooth val="0"/>
          <c:extLst>
            <c:ext xmlns:c16="http://schemas.microsoft.com/office/drawing/2014/chart" uri="{C3380CC4-5D6E-409C-BE32-E72D297353CC}">
              <c16:uniqueId val="{00000002-2E44-4665-B96B-656B8C48540E}"/>
            </c:ext>
          </c:extLst>
        </c:ser>
        <c:ser>
          <c:idx val="8"/>
          <c:order val="3"/>
          <c:tx>
            <c:strRef>
              <c:f>Office!$B$44</c:f>
              <c:strCache>
                <c:ptCount val="1"/>
                <c:pt idx="0">
                  <c:v>ENGLAND</c:v>
                </c:pt>
              </c:strCache>
            </c:strRef>
          </c:tx>
          <c:spPr>
            <a:ln w="28575" cap="rnd">
              <a:solidFill>
                <a:schemeClr val="accent3">
                  <a:lumMod val="60000"/>
                </a:schemeClr>
              </a:solidFill>
              <a:round/>
            </a:ln>
            <a:effectLst/>
          </c:spPr>
          <c:marker>
            <c:symbol val="none"/>
          </c:marker>
          <c:cat>
            <c:strRef>
              <c:f>Office!$C$35:$V$35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Office!$C$44:$V$44</c:f>
              <c:numCache>
                <c:formatCode>_(* #,##0.00_);_(* \(#,##0.00\);_(* "-"??_);_(@_)</c:formatCode>
                <c:ptCount val="20"/>
                <c:pt idx="0">
                  <c:v>1</c:v>
                </c:pt>
                <c:pt idx="1">
                  <c:v>1.02</c:v>
                </c:pt>
                <c:pt idx="2">
                  <c:v>1.04</c:v>
                </c:pt>
                <c:pt idx="3">
                  <c:v>1.06</c:v>
                </c:pt>
                <c:pt idx="4">
                  <c:v>1.07</c:v>
                </c:pt>
                <c:pt idx="5">
                  <c:v>1.06</c:v>
                </c:pt>
                <c:pt idx="6">
                  <c:v>1.07</c:v>
                </c:pt>
                <c:pt idx="7">
                  <c:v>1.08</c:v>
                </c:pt>
                <c:pt idx="8">
                  <c:v>1.0900000000000001</c:v>
                </c:pt>
                <c:pt idx="9">
                  <c:v>1.1000000000000001</c:v>
                </c:pt>
                <c:pt idx="10">
                  <c:v>1.1100000000000001</c:v>
                </c:pt>
                <c:pt idx="11">
                  <c:v>1.1200000000000001</c:v>
                </c:pt>
                <c:pt idx="12">
                  <c:v>1.1200000000000001</c:v>
                </c:pt>
                <c:pt idx="13">
                  <c:v>1.1299999999999999</c:v>
                </c:pt>
                <c:pt idx="14">
                  <c:v>1.1299999999999999</c:v>
                </c:pt>
                <c:pt idx="15">
                  <c:v>1.1200000000000001</c:v>
                </c:pt>
                <c:pt idx="16">
                  <c:v>1.1200000000000001</c:v>
                </c:pt>
                <c:pt idx="17">
                  <c:v>1.1200000000000001</c:v>
                </c:pt>
                <c:pt idx="18">
                  <c:v>1.1100000000000001</c:v>
                </c:pt>
                <c:pt idx="19">
                  <c:v>1.1000000000000001</c:v>
                </c:pt>
              </c:numCache>
            </c:numRef>
          </c:val>
          <c:smooth val="0"/>
          <c:extLst>
            <c:ext xmlns:c16="http://schemas.microsoft.com/office/drawing/2014/chart" uri="{C3380CC4-5D6E-409C-BE32-E72D297353CC}">
              <c16:uniqueId val="{00000003-2E44-4665-B96B-656B8C48540E}"/>
            </c:ext>
          </c:extLst>
        </c:ser>
        <c:dLbls>
          <c:showLegendKey val="0"/>
          <c:showVal val="0"/>
          <c:showCatName val="0"/>
          <c:showSerName val="0"/>
          <c:showPercent val="0"/>
          <c:showBubbleSize val="0"/>
        </c:dLbls>
        <c:smooth val="0"/>
        <c:axId val="297405440"/>
        <c:axId val="297415424"/>
      </c:lineChart>
      <c:catAx>
        <c:axId val="29740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415424"/>
        <c:crosses val="autoZero"/>
        <c:auto val="1"/>
        <c:lblAlgn val="ctr"/>
        <c:lblOffset val="100"/>
        <c:noMultiLvlLbl val="0"/>
      </c:catAx>
      <c:valAx>
        <c:axId val="297415424"/>
        <c:scaling>
          <c:orientation val="minMax"/>
          <c:min val="0.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Index (1 = 2000/01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40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'Office Vacancy Rate'!$B$1</c:f>
              <c:strCache>
                <c:ptCount val="1"/>
                <c:pt idx="0">
                  <c:v>Chichester</c:v>
                </c:pt>
              </c:strCache>
            </c:strRef>
          </c:tx>
          <c:spPr>
            <a:ln w="28575" cap="rnd">
              <a:solidFill>
                <a:schemeClr val="accent1"/>
              </a:solidFill>
              <a:round/>
            </a:ln>
            <a:effectLst/>
          </c:spPr>
          <c:marker>
            <c:symbol val="none"/>
          </c:marker>
          <c:cat>
            <c:numRef>
              <c:f>'Office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Vacancy Rate'!$B$2:$B$14</c:f>
              <c:numCache>
                <c:formatCode>0%</c:formatCode>
                <c:ptCount val="13"/>
                <c:pt idx="0">
                  <c:v>0</c:v>
                </c:pt>
                <c:pt idx="1">
                  <c:v>0</c:v>
                </c:pt>
                <c:pt idx="2">
                  <c:v>0</c:v>
                </c:pt>
                <c:pt idx="3" formatCode="0.00%">
                  <c:v>2E-3</c:v>
                </c:pt>
                <c:pt idx="4" formatCode="0.00%">
                  <c:v>2E-3</c:v>
                </c:pt>
                <c:pt idx="5" formatCode="0.00%">
                  <c:v>1E-3</c:v>
                </c:pt>
                <c:pt idx="6">
                  <c:v>0</c:v>
                </c:pt>
                <c:pt idx="7" formatCode="0.00%">
                  <c:v>5.8999999999999997E-2</c:v>
                </c:pt>
                <c:pt idx="8" formatCode="0.00%">
                  <c:v>6.0999999999999999E-2</c:v>
                </c:pt>
                <c:pt idx="9" formatCode="0.00%">
                  <c:v>0.125</c:v>
                </c:pt>
                <c:pt idx="10" formatCode="0.00%">
                  <c:v>0.129</c:v>
                </c:pt>
                <c:pt idx="11" formatCode="0.00%">
                  <c:v>8.5000000000000006E-2</c:v>
                </c:pt>
                <c:pt idx="12" formatCode="0.00%">
                  <c:v>5.5E-2</c:v>
                </c:pt>
              </c:numCache>
            </c:numRef>
          </c:val>
          <c:smooth val="0"/>
          <c:extLst>
            <c:ext xmlns:c16="http://schemas.microsoft.com/office/drawing/2014/chart" uri="{C3380CC4-5D6E-409C-BE32-E72D297353CC}">
              <c16:uniqueId val="{00000000-61C1-4300-BCD2-FA65DA4F2034}"/>
            </c:ext>
          </c:extLst>
        </c:ser>
        <c:ser>
          <c:idx val="1"/>
          <c:order val="1"/>
          <c:tx>
            <c:strRef>
              <c:f>'Office Vacancy Rate'!$C$1</c:f>
              <c:strCache>
                <c:ptCount val="1"/>
                <c:pt idx="0">
                  <c:v>South Coast</c:v>
                </c:pt>
              </c:strCache>
            </c:strRef>
          </c:tx>
          <c:spPr>
            <a:ln w="28575" cap="rnd">
              <a:solidFill>
                <a:schemeClr val="accent2"/>
              </a:solidFill>
              <a:round/>
            </a:ln>
            <a:effectLst/>
          </c:spPr>
          <c:marker>
            <c:symbol val="none"/>
          </c:marker>
          <c:cat>
            <c:numRef>
              <c:f>'Office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Vacancy Rate'!$C$2:$C$14</c:f>
              <c:numCache>
                <c:formatCode>0.00%</c:formatCode>
                <c:ptCount val="13"/>
                <c:pt idx="0">
                  <c:v>7.5999999999999998E-2</c:v>
                </c:pt>
                <c:pt idx="1">
                  <c:v>8.2000000000000003E-2</c:v>
                </c:pt>
                <c:pt idx="2">
                  <c:v>8.3000000000000004E-2</c:v>
                </c:pt>
                <c:pt idx="3">
                  <c:v>7.6999999999999999E-2</c:v>
                </c:pt>
                <c:pt idx="4">
                  <c:v>5.8999999999999997E-2</c:v>
                </c:pt>
                <c:pt idx="5">
                  <c:v>4.8000000000000001E-2</c:v>
                </c:pt>
                <c:pt idx="6" formatCode="0%">
                  <c:v>0.05</c:v>
                </c:pt>
                <c:pt idx="7">
                  <c:v>5.3999999999999999E-2</c:v>
                </c:pt>
                <c:pt idx="8">
                  <c:v>5.2999999999999999E-2</c:v>
                </c:pt>
                <c:pt idx="9" formatCode="0%">
                  <c:v>0.05</c:v>
                </c:pt>
                <c:pt idx="10">
                  <c:v>4.2999999999999997E-2</c:v>
                </c:pt>
                <c:pt idx="11">
                  <c:v>4.2000000000000003E-2</c:v>
                </c:pt>
                <c:pt idx="12">
                  <c:v>5.3999999999999999E-2</c:v>
                </c:pt>
              </c:numCache>
            </c:numRef>
          </c:val>
          <c:smooth val="0"/>
          <c:extLst>
            <c:ext xmlns:c16="http://schemas.microsoft.com/office/drawing/2014/chart" uri="{C3380CC4-5D6E-409C-BE32-E72D297353CC}">
              <c16:uniqueId val="{00000001-61C1-4300-BCD2-FA65DA4F2034}"/>
            </c:ext>
          </c:extLst>
        </c:ser>
        <c:ser>
          <c:idx val="2"/>
          <c:order val="2"/>
          <c:tx>
            <c:strRef>
              <c:f>'Office Vacancy Rate'!$D$1</c:f>
              <c:strCache>
                <c:ptCount val="1"/>
                <c:pt idx="0">
                  <c:v>UK</c:v>
                </c:pt>
              </c:strCache>
            </c:strRef>
          </c:tx>
          <c:spPr>
            <a:ln w="28575" cap="rnd">
              <a:solidFill>
                <a:schemeClr val="accent3"/>
              </a:solidFill>
              <a:round/>
            </a:ln>
            <a:effectLst/>
          </c:spPr>
          <c:marker>
            <c:symbol val="none"/>
          </c:marker>
          <c:cat>
            <c:numRef>
              <c:f>'Office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Vacancy Rate'!$D$2:$D$14</c:f>
              <c:numCache>
                <c:formatCode>0%</c:formatCode>
                <c:ptCount val="13"/>
                <c:pt idx="0" formatCode="0.00%">
                  <c:v>9.1999999999999998E-2</c:v>
                </c:pt>
                <c:pt idx="1">
                  <c:v>0.09</c:v>
                </c:pt>
                <c:pt idx="2" formatCode="0.00%">
                  <c:v>9.2999999999999999E-2</c:v>
                </c:pt>
                <c:pt idx="3" formatCode="0.00%">
                  <c:v>9.5000000000000001E-2</c:v>
                </c:pt>
                <c:pt idx="4" formatCode="0.00%">
                  <c:v>8.7999999999999995E-2</c:v>
                </c:pt>
                <c:pt idx="5" formatCode="0.00%">
                  <c:v>7.8E-2</c:v>
                </c:pt>
                <c:pt idx="6" formatCode="0.00%">
                  <c:v>7.0999999999999994E-2</c:v>
                </c:pt>
                <c:pt idx="7" formatCode="0.00%">
                  <c:v>6.8000000000000005E-2</c:v>
                </c:pt>
                <c:pt idx="8" formatCode="0.00%">
                  <c:v>6.3E-2</c:v>
                </c:pt>
                <c:pt idx="9" formatCode="0.00%">
                  <c:v>5.2999999999999999E-2</c:v>
                </c:pt>
                <c:pt idx="10" formatCode="0.00%">
                  <c:v>4.8000000000000001E-2</c:v>
                </c:pt>
                <c:pt idx="11" formatCode="0.00%">
                  <c:v>5.5E-2</c:v>
                </c:pt>
                <c:pt idx="12" formatCode="0.00%">
                  <c:v>6.5000000000000002E-2</c:v>
                </c:pt>
              </c:numCache>
            </c:numRef>
          </c:val>
          <c:smooth val="0"/>
          <c:extLst>
            <c:ext xmlns:c16="http://schemas.microsoft.com/office/drawing/2014/chart" uri="{C3380CC4-5D6E-409C-BE32-E72D297353CC}">
              <c16:uniqueId val="{00000002-61C1-4300-BCD2-FA65DA4F2034}"/>
            </c:ext>
          </c:extLst>
        </c:ser>
        <c:dLbls>
          <c:showLegendKey val="0"/>
          <c:showVal val="0"/>
          <c:showCatName val="0"/>
          <c:showSerName val="0"/>
          <c:showPercent val="0"/>
          <c:showBubbleSize val="0"/>
        </c:dLbls>
        <c:smooth val="0"/>
        <c:axId val="297444096"/>
        <c:axId val="297445632"/>
      </c:lineChart>
      <c:catAx>
        <c:axId val="29744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7445632"/>
        <c:crosses val="autoZero"/>
        <c:auto val="1"/>
        <c:lblAlgn val="ctr"/>
        <c:lblOffset val="100"/>
        <c:noMultiLvlLbl val="0"/>
      </c:catAx>
      <c:valAx>
        <c:axId val="297445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74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'Net abs, Net Dels, Vac'!$B$1</c:f>
              <c:strCache>
                <c:ptCount val="1"/>
                <c:pt idx="0">
                  <c:v>Net Absorption</c:v>
                </c:pt>
              </c:strCache>
            </c:strRef>
          </c:tx>
          <c:spPr>
            <a:solidFill>
              <a:schemeClr val="accent1"/>
            </a:solidFill>
            <a:ln>
              <a:noFill/>
            </a:ln>
            <a:effectLst/>
          </c:spPr>
          <c:invertIfNegative val="0"/>
          <c:cat>
            <c:numRef>
              <c:f>'Net abs, Net Dels, Vac'!$A$2:$A$14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Vac'!$B$2:$B$14</c:f>
              <c:numCache>
                <c:formatCode>_-* #,##0_-;\-* #,##0_-;_-* "-"??_-;_-@_-</c:formatCode>
                <c:ptCount val="13"/>
                <c:pt idx="0">
                  <c:v>0</c:v>
                </c:pt>
                <c:pt idx="1">
                  <c:v>1900.9661835748793</c:v>
                </c:pt>
                <c:pt idx="2">
                  <c:v>650.50167224080269</c:v>
                </c:pt>
                <c:pt idx="3">
                  <c:v>-250.83612040133781</c:v>
                </c:pt>
                <c:pt idx="4">
                  <c:v>18.580453363062059</c:v>
                </c:pt>
                <c:pt idx="5">
                  <c:v>92.902266815310298</c:v>
                </c:pt>
                <c:pt idx="6">
                  <c:v>654.03195837978456</c:v>
                </c:pt>
                <c:pt idx="7">
                  <c:v>-6717.9487179487187</c:v>
                </c:pt>
                <c:pt idx="8">
                  <c:v>-263.37792642140471</c:v>
                </c:pt>
                <c:pt idx="9">
                  <c:v>-4023.4113712374583</c:v>
                </c:pt>
                <c:pt idx="10">
                  <c:v>-540.31958379784464</c:v>
                </c:pt>
                <c:pt idx="11">
                  <c:v>4905.4254923820145</c:v>
                </c:pt>
                <c:pt idx="12">
                  <c:v>3671.1128479795802</c:v>
                </c:pt>
              </c:numCache>
            </c:numRef>
          </c:val>
          <c:extLst>
            <c:ext xmlns:c16="http://schemas.microsoft.com/office/drawing/2014/chart" uri="{C3380CC4-5D6E-409C-BE32-E72D297353CC}">
              <c16:uniqueId val="{00000000-BFED-42AC-972E-7C04F55FEC82}"/>
            </c:ext>
          </c:extLst>
        </c:ser>
        <c:ser>
          <c:idx val="1"/>
          <c:order val="1"/>
          <c:tx>
            <c:strRef>
              <c:f>'Net abs, Net Dels, Vac'!$C$1</c:f>
              <c:strCache>
                <c:ptCount val="1"/>
                <c:pt idx="0">
                  <c:v>Net Deliveries</c:v>
                </c:pt>
              </c:strCache>
            </c:strRef>
          </c:tx>
          <c:spPr>
            <a:solidFill>
              <a:schemeClr val="accent2"/>
            </a:solidFill>
            <a:ln>
              <a:noFill/>
            </a:ln>
            <a:effectLst/>
          </c:spPr>
          <c:invertIfNegative val="0"/>
          <c:cat>
            <c:numRef>
              <c:f>'Net abs, Net Dels, Vac'!$A$2:$A$14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Vac'!$C$2:$C$14</c:f>
              <c:numCache>
                <c:formatCode>_-* #,##0_-;\-* #,##0_-;_-* "-"??_-;_-@_-</c:formatCode>
                <c:ptCount val="13"/>
                <c:pt idx="0">
                  <c:v>0</c:v>
                </c:pt>
                <c:pt idx="1">
                  <c:v>1900.9661835748702</c:v>
                </c:pt>
                <c:pt idx="2">
                  <c:v>650.5016722408036</c:v>
                </c:pt>
                <c:pt idx="3">
                  <c:v>0</c:v>
                </c:pt>
                <c:pt idx="4">
                  <c:v>0</c:v>
                </c:pt>
                <c:pt idx="5">
                  <c:v>0</c:v>
                </c:pt>
                <c:pt idx="6">
                  <c:v>514.6785581568256</c:v>
                </c:pt>
                <c:pt idx="7">
                  <c:v>0</c:v>
                </c:pt>
                <c:pt idx="8">
                  <c:v>0</c:v>
                </c:pt>
                <c:pt idx="9">
                  <c:v>3698.7179487179383</c:v>
                </c:pt>
                <c:pt idx="10">
                  <c:v>0</c:v>
                </c:pt>
                <c:pt idx="11">
                  <c:v>-364.5484949832753</c:v>
                </c:pt>
                <c:pt idx="12">
                  <c:v>-406.91192865105404</c:v>
                </c:pt>
              </c:numCache>
            </c:numRef>
          </c:val>
          <c:extLst>
            <c:ext xmlns:c16="http://schemas.microsoft.com/office/drawing/2014/chart" uri="{C3380CC4-5D6E-409C-BE32-E72D297353CC}">
              <c16:uniqueId val="{00000001-BFED-42AC-972E-7C04F55FEC82}"/>
            </c:ext>
          </c:extLst>
        </c:ser>
        <c:dLbls>
          <c:showLegendKey val="0"/>
          <c:showVal val="0"/>
          <c:showCatName val="0"/>
          <c:showSerName val="0"/>
          <c:showPercent val="0"/>
          <c:showBubbleSize val="0"/>
        </c:dLbls>
        <c:gapWidth val="150"/>
        <c:axId val="297495168"/>
        <c:axId val="297496960"/>
      </c:barChart>
      <c:lineChart>
        <c:grouping val="standard"/>
        <c:varyColors val="0"/>
        <c:ser>
          <c:idx val="2"/>
          <c:order val="2"/>
          <c:tx>
            <c:strRef>
              <c:f>'Net abs, Net Dels, Vac'!$D$1</c:f>
              <c:strCache>
                <c:ptCount val="1"/>
                <c:pt idx="0">
                  <c:v>Vacancy Rate</c:v>
                </c:pt>
              </c:strCache>
            </c:strRef>
          </c:tx>
          <c:spPr>
            <a:ln w="28575" cap="rnd">
              <a:solidFill>
                <a:schemeClr val="accent3"/>
              </a:solidFill>
              <a:round/>
            </a:ln>
            <a:effectLst/>
          </c:spPr>
          <c:marker>
            <c:symbol val="none"/>
          </c:marker>
          <c:cat>
            <c:numRef>
              <c:f>'Net abs, Net Dels, Vac'!$A$2:$A$14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Vac'!$D$2:$D$14</c:f>
              <c:numCache>
                <c:formatCode>0.0%</c:formatCode>
                <c:ptCount val="13"/>
                <c:pt idx="0">
                  <c:v>0</c:v>
                </c:pt>
                <c:pt idx="1">
                  <c:v>0</c:v>
                </c:pt>
                <c:pt idx="2">
                  <c:v>0</c:v>
                </c:pt>
                <c:pt idx="3">
                  <c:v>2.2064123245289298E-3</c:v>
                </c:pt>
                <c:pt idx="4">
                  <c:v>2.04297437456383E-3</c:v>
                </c:pt>
                <c:pt idx="5">
                  <c:v>1.2257846247382899E-3</c:v>
                </c:pt>
                <c:pt idx="6">
                  <c:v>0</c:v>
                </c:pt>
                <c:pt idx="7">
                  <c:v>5.8826304905608799E-2</c:v>
                </c:pt>
                <c:pt idx="8">
                  <c:v>6.1132596730028001E-2</c:v>
                </c:pt>
                <c:pt idx="9">
                  <c:v>0.124712877809464</c:v>
                </c:pt>
                <c:pt idx="10">
                  <c:v>0.12929580106204699</c:v>
                </c:pt>
                <c:pt idx="11">
                  <c:v>8.4858928098582406E-2</c:v>
                </c:pt>
                <c:pt idx="12">
                  <c:v>5.4512573814896603E-2</c:v>
                </c:pt>
              </c:numCache>
            </c:numRef>
          </c:val>
          <c:smooth val="0"/>
          <c:extLst>
            <c:ext xmlns:c16="http://schemas.microsoft.com/office/drawing/2014/chart" uri="{C3380CC4-5D6E-409C-BE32-E72D297353CC}">
              <c16:uniqueId val="{00000002-BFED-42AC-972E-7C04F55FEC82}"/>
            </c:ext>
          </c:extLst>
        </c:ser>
        <c:dLbls>
          <c:showLegendKey val="0"/>
          <c:showVal val="0"/>
          <c:showCatName val="0"/>
          <c:showSerName val="0"/>
          <c:showPercent val="0"/>
          <c:showBubbleSize val="0"/>
        </c:dLbls>
        <c:marker val="1"/>
        <c:smooth val="0"/>
        <c:axId val="297509248"/>
        <c:axId val="297498880"/>
      </c:lineChart>
      <c:catAx>
        <c:axId val="2974951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496960"/>
        <c:crosses val="autoZero"/>
        <c:auto val="1"/>
        <c:lblAlgn val="ctr"/>
        <c:lblOffset val="100"/>
        <c:noMultiLvlLbl val="0"/>
      </c:catAx>
      <c:valAx>
        <c:axId val="297496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US"/>
                  <a:t>Floorspace (Sqm)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495168"/>
        <c:crosses val="autoZero"/>
        <c:crossBetween val="between"/>
      </c:valAx>
      <c:valAx>
        <c:axId val="297498880"/>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Vacancy Rate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509248"/>
        <c:crosses val="max"/>
        <c:crossBetween val="between"/>
      </c:valAx>
      <c:catAx>
        <c:axId val="297509248"/>
        <c:scaling>
          <c:orientation val="minMax"/>
        </c:scaling>
        <c:delete val="1"/>
        <c:axPos val="b"/>
        <c:numFmt formatCode="General" sourceLinked="1"/>
        <c:majorTickMark val="out"/>
        <c:minorTickMark val="none"/>
        <c:tickLblPos val="nextTo"/>
        <c:crossAx val="297498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'Office Rents'!$B$1</c:f>
              <c:strCache>
                <c:ptCount val="1"/>
                <c:pt idx="0">
                  <c:v>Chichester</c:v>
                </c:pt>
              </c:strCache>
            </c:strRef>
          </c:tx>
          <c:spPr>
            <a:ln w="28575" cap="rnd">
              <a:solidFill>
                <a:schemeClr val="accent1"/>
              </a:solidFill>
              <a:round/>
            </a:ln>
            <a:effectLst/>
          </c:spPr>
          <c:marker>
            <c:symbol val="none"/>
          </c:marker>
          <c:cat>
            <c:numRef>
              <c:f>'Office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Rents'!$B$2:$B$14</c:f>
              <c:numCache>
                <c:formatCode>"£"#,##0.00</c:formatCode>
                <c:ptCount val="13"/>
                <c:pt idx="0">
                  <c:v>13.78</c:v>
                </c:pt>
                <c:pt idx="1">
                  <c:v>13.76</c:v>
                </c:pt>
                <c:pt idx="2">
                  <c:v>13.11</c:v>
                </c:pt>
                <c:pt idx="3">
                  <c:v>12.51</c:v>
                </c:pt>
                <c:pt idx="4">
                  <c:v>12.2</c:v>
                </c:pt>
                <c:pt idx="5">
                  <c:v>12.47</c:v>
                </c:pt>
                <c:pt idx="6">
                  <c:v>12.82</c:v>
                </c:pt>
                <c:pt idx="7">
                  <c:v>13.89</c:v>
                </c:pt>
                <c:pt idx="8">
                  <c:v>14.5</c:v>
                </c:pt>
                <c:pt idx="9">
                  <c:v>14.77</c:v>
                </c:pt>
                <c:pt idx="10">
                  <c:v>14.81</c:v>
                </c:pt>
                <c:pt idx="11">
                  <c:v>14.98</c:v>
                </c:pt>
                <c:pt idx="12">
                  <c:v>15.21</c:v>
                </c:pt>
              </c:numCache>
            </c:numRef>
          </c:val>
          <c:smooth val="0"/>
          <c:extLst>
            <c:ext xmlns:c16="http://schemas.microsoft.com/office/drawing/2014/chart" uri="{C3380CC4-5D6E-409C-BE32-E72D297353CC}">
              <c16:uniqueId val="{00000000-9DDD-424B-A019-7EAF3A9147A9}"/>
            </c:ext>
          </c:extLst>
        </c:ser>
        <c:ser>
          <c:idx val="1"/>
          <c:order val="1"/>
          <c:tx>
            <c:strRef>
              <c:f>'Office Rents'!$C$1</c:f>
              <c:strCache>
                <c:ptCount val="1"/>
                <c:pt idx="0">
                  <c:v>South Coast</c:v>
                </c:pt>
              </c:strCache>
            </c:strRef>
          </c:tx>
          <c:spPr>
            <a:ln w="28575" cap="rnd">
              <a:solidFill>
                <a:schemeClr val="accent2"/>
              </a:solidFill>
              <a:round/>
            </a:ln>
            <a:effectLst/>
          </c:spPr>
          <c:marker>
            <c:symbol val="none"/>
          </c:marker>
          <c:cat>
            <c:numRef>
              <c:f>'Office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Rents'!$C$2:$C$14</c:f>
              <c:numCache>
                <c:formatCode>"£"#,##0.00</c:formatCode>
                <c:ptCount val="13"/>
                <c:pt idx="0">
                  <c:v>13.89</c:v>
                </c:pt>
                <c:pt idx="1">
                  <c:v>13.73</c:v>
                </c:pt>
                <c:pt idx="2">
                  <c:v>13.3</c:v>
                </c:pt>
                <c:pt idx="3">
                  <c:v>12.65</c:v>
                </c:pt>
                <c:pt idx="4">
                  <c:v>12.33</c:v>
                </c:pt>
                <c:pt idx="5">
                  <c:v>12.41</c:v>
                </c:pt>
                <c:pt idx="6">
                  <c:v>13.13</c:v>
                </c:pt>
                <c:pt idx="7">
                  <c:v>14.02</c:v>
                </c:pt>
                <c:pt idx="8">
                  <c:v>14.96</c:v>
                </c:pt>
                <c:pt idx="9">
                  <c:v>15.36</c:v>
                </c:pt>
                <c:pt idx="10">
                  <c:v>15.62</c:v>
                </c:pt>
                <c:pt idx="11">
                  <c:v>15.71</c:v>
                </c:pt>
                <c:pt idx="12">
                  <c:v>15.86</c:v>
                </c:pt>
              </c:numCache>
            </c:numRef>
          </c:val>
          <c:smooth val="0"/>
          <c:extLst>
            <c:ext xmlns:c16="http://schemas.microsoft.com/office/drawing/2014/chart" uri="{C3380CC4-5D6E-409C-BE32-E72D297353CC}">
              <c16:uniqueId val="{00000001-9DDD-424B-A019-7EAF3A9147A9}"/>
            </c:ext>
          </c:extLst>
        </c:ser>
        <c:ser>
          <c:idx val="2"/>
          <c:order val="2"/>
          <c:tx>
            <c:strRef>
              <c:f>'Office Rents'!$D$1</c:f>
              <c:strCache>
                <c:ptCount val="1"/>
                <c:pt idx="0">
                  <c:v>UK</c:v>
                </c:pt>
              </c:strCache>
            </c:strRef>
          </c:tx>
          <c:spPr>
            <a:ln w="28575" cap="rnd">
              <a:solidFill>
                <a:schemeClr val="accent3"/>
              </a:solidFill>
              <a:round/>
            </a:ln>
            <a:effectLst/>
          </c:spPr>
          <c:marker>
            <c:symbol val="none"/>
          </c:marker>
          <c:cat>
            <c:numRef>
              <c:f>'Office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Rents'!$D$2:$D$14</c:f>
              <c:numCache>
                <c:formatCode>"£"#,##0.00</c:formatCode>
                <c:ptCount val="13"/>
                <c:pt idx="0">
                  <c:v>19.850000000000001</c:v>
                </c:pt>
                <c:pt idx="1">
                  <c:v>19.79</c:v>
                </c:pt>
                <c:pt idx="2">
                  <c:v>20</c:v>
                </c:pt>
                <c:pt idx="3">
                  <c:v>20</c:v>
                </c:pt>
                <c:pt idx="4">
                  <c:v>20.8</c:v>
                </c:pt>
                <c:pt idx="5">
                  <c:v>22.37</c:v>
                </c:pt>
                <c:pt idx="6">
                  <c:v>24.65</c:v>
                </c:pt>
                <c:pt idx="7">
                  <c:v>26.32</c:v>
                </c:pt>
                <c:pt idx="8">
                  <c:v>26.6</c:v>
                </c:pt>
                <c:pt idx="9">
                  <c:v>26.82</c:v>
                </c:pt>
                <c:pt idx="10">
                  <c:v>27.31</c:v>
                </c:pt>
                <c:pt idx="11">
                  <c:v>27.26</c:v>
                </c:pt>
                <c:pt idx="12">
                  <c:v>27.21</c:v>
                </c:pt>
              </c:numCache>
            </c:numRef>
          </c:val>
          <c:smooth val="0"/>
          <c:extLst>
            <c:ext xmlns:c16="http://schemas.microsoft.com/office/drawing/2014/chart" uri="{C3380CC4-5D6E-409C-BE32-E72D297353CC}">
              <c16:uniqueId val="{00000002-9DDD-424B-A019-7EAF3A9147A9}"/>
            </c:ext>
          </c:extLst>
        </c:ser>
        <c:dLbls>
          <c:showLegendKey val="0"/>
          <c:showVal val="0"/>
          <c:showCatName val="0"/>
          <c:showSerName val="0"/>
          <c:showPercent val="0"/>
          <c:showBubbleSize val="0"/>
        </c:dLbls>
        <c:smooth val="0"/>
        <c:axId val="297542016"/>
        <c:axId val="297543552"/>
      </c:lineChart>
      <c:catAx>
        <c:axId val="29754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543552"/>
        <c:crosses val="autoZero"/>
        <c:auto val="1"/>
        <c:lblAlgn val="ctr"/>
        <c:lblOffset val="100"/>
        <c:noMultiLvlLbl val="0"/>
      </c:catAx>
      <c:valAx>
        <c:axId val="297543552"/>
        <c:scaling>
          <c:orientation val="minMax"/>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 per Sq ft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542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[Off Comps.xlsx]By Size Band!PivotTable1</c:name>
    <c:fmtId val="-1"/>
  </c:pivotSource>
  <c:chart>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'By Size Band'!$B$3:$B$4</c:f>
              <c:strCache>
                <c:ptCount val="1"/>
                <c:pt idx="0">
                  <c:v>0-100 sqm</c:v>
                </c:pt>
              </c:strCache>
            </c:strRef>
          </c:tx>
          <c:spPr>
            <a:solidFill>
              <a:schemeClr val="accent1"/>
            </a:solidFill>
            <a:ln>
              <a:noFill/>
            </a:ln>
            <a:effectLst/>
          </c:spPr>
          <c:invertIfNegative val="0"/>
          <c:cat>
            <c:strRef>
              <c:f>'By Size Band'!$A$5:$A$11</c:f>
              <c:strCache>
                <c:ptCount val="6"/>
                <c:pt idx="0">
                  <c:v>2015</c:v>
                </c:pt>
                <c:pt idx="1">
                  <c:v>2016</c:v>
                </c:pt>
                <c:pt idx="2">
                  <c:v>2017</c:v>
                </c:pt>
                <c:pt idx="3">
                  <c:v>2018</c:v>
                </c:pt>
                <c:pt idx="4">
                  <c:v>2019</c:v>
                </c:pt>
                <c:pt idx="5">
                  <c:v>2020</c:v>
                </c:pt>
              </c:strCache>
            </c:strRef>
          </c:cat>
          <c:val>
            <c:numRef>
              <c:f>'By Size Band'!$B$5:$B$11</c:f>
              <c:numCache>
                <c:formatCode>_-* #,##0_-;\-* #,##0_-;_-* "-"??_-;_-@_-</c:formatCode>
                <c:ptCount val="6"/>
                <c:pt idx="0">
                  <c:v>825.90115198810861</c:v>
                </c:pt>
                <c:pt idx="1">
                  <c:v>878.66963953920481</c:v>
                </c:pt>
                <c:pt idx="2">
                  <c:v>900.68747677443343</c:v>
                </c:pt>
                <c:pt idx="3">
                  <c:v>957.82237086584928</c:v>
                </c:pt>
                <c:pt idx="4">
                  <c:v>653.66034931252318</c:v>
                </c:pt>
                <c:pt idx="5">
                  <c:v>869.193608324043</c:v>
                </c:pt>
              </c:numCache>
            </c:numRef>
          </c:val>
          <c:extLst>
            <c:ext xmlns:c16="http://schemas.microsoft.com/office/drawing/2014/chart" uri="{C3380CC4-5D6E-409C-BE32-E72D297353CC}">
              <c16:uniqueId val="{00000000-8382-46F7-B379-23DC902181D2}"/>
            </c:ext>
          </c:extLst>
        </c:ser>
        <c:ser>
          <c:idx val="1"/>
          <c:order val="1"/>
          <c:tx>
            <c:strRef>
              <c:f>'By Size Band'!$C$3:$C$4</c:f>
              <c:strCache>
                <c:ptCount val="1"/>
                <c:pt idx="0">
                  <c:v>100 - 500 sqm</c:v>
                </c:pt>
              </c:strCache>
            </c:strRef>
          </c:tx>
          <c:spPr>
            <a:solidFill>
              <a:schemeClr val="accent2"/>
            </a:solidFill>
            <a:ln>
              <a:noFill/>
            </a:ln>
            <a:effectLst/>
          </c:spPr>
          <c:invertIfNegative val="0"/>
          <c:cat>
            <c:strRef>
              <c:f>'By Size Band'!$A$5:$A$11</c:f>
              <c:strCache>
                <c:ptCount val="6"/>
                <c:pt idx="0">
                  <c:v>2015</c:v>
                </c:pt>
                <c:pt idx="1">
                  <c:v>2016</c:v>
                </c:pt>
                <c:pt idx="2">
                  <c:v>2017</c:v>
                </c:pt>
                <c:pt idx="3">
                  <c:v>2018</c:v>
                </c:pt>
                <c:pt idx="4">
                  <c:v>2019</c:v>
                </c:pt>
                <c:pt idx="5">
                  <c:v>2020</c:v>
                </c:pt>
              </c:strCache>
            </c:strRef>
          </c:cat>
          <c:val>
            <c:numRef>
              <c:f>'By Size Band'!$C$5:$C$11</c:f>
              <c:numCache>
                <c:formatCode>_-* #,##0_-;\-* #,##0_-;_-* "-"??_-;_-@_-</c:formatCode>
                <c:ptCount val="6"/>
                <c:pt idx="0">
                  <c:v>2717.1125975473801</c:v>
                </c:pt>
                <c:pt idx="1">
                  <c:v>2554.9052396878487</c:v>
                </c:pt>
                <c:pt idx="2">
                  <c:v>1700.2972872538089</c:v>
                </c:pt>
                <c:pt idx="3">
                  <c:v>1248.2348569305093</c:v>
                </c:pt>
                <c:pt idx="4">
                  <c:v>3265.0501672240807</c:v>
                </c:pt>
                <c:pt idx="5">
                  <c:v>681.06651802303986</c:v>
                </c:pt>
              </c:numCache>
            </c:numRef>
          </c:val>
          <c:extLst>
            <c:ext xmlns:c16="http://schemas.microsoft.com/office/drawing/2014/chart" uri="{C3380CC4-5D6E-409C-BE32-E72D297353CC}">
              <c16:uniqueId val="{00000001-8382-46F7-B379-23DC902181D2}"/>
            </c:ext>
          </c:extLst>
        </c:ser>
        <c:ser>
          <c:idx val="2"/>
          <c:order val="2"/>
          <c:tx>
            <c:strRef>
              <c:f>'By Size Band'!$D$3:$D$4</c:f>
              <c:strCache>
                <c:ptCount val="1"/>
                <c:pt idx="0">
                  <c:v>500 - 2,000 sqm</c:v>
                </c:pt>
              </c:strCache>
            </c:strRef>
          </c:tx>
          <c:spPr>
            <a:solidFill>
              <a:schemeClr val="accent3"/>
            </a:solidFill>
            <a:ln>
              <a:noFill/>
            </a:ln>
            <a:effectLst/>
          </c:spPr>
          <c:invertIfNegative val="0"/>
          <c:cat>
            <c:strRef>
              <c:f>'By Size Band'!$A$5:$A$11</c:f>
              <c:strCache>
                <c:ptCount val="6"/>
                <c:pt idx="0">
                  <c:v>2015</c:v>
                </c:pt>
                <c:pt idx="1">
                  <c:v>2016</c:v>
                </c:pt>
                <c:pt idx="2">
                  <c:v>2017</c:v>
                </c:pt>
                <c:pt idx="3">
                  <c:v>2018</c:v>
                </c:pt>
                <c:pt idx="4">
                  <c:v>2019</c:v>
                </c:pt>
                <c:pt idx="5">
                  <c:v>2020</c:v>
                </c:pt>
              </c:strCache>
            </c:strRef>
          </c:cat>
          <c:val>
            <c:numRef>
              <c:f>'By Size Band'!$D$5:$D$11</c:f>
              <c:numCache>
                <c:formatCode>_-* #,##0_-;\-* #,##0_-;_-* "-"??_-;_-@_-</c:formatCode>
                <c:ptCount val="6"/>
                <c:pt idx="0">
                  <c:v>1843.4596804162022</c:v>
                </c:pt>
                <c:pt idx="1">
                  <c:v>632.19992567818656</c:v>
                </c:pt>
                <c:pt idx="5">
                  <c:v>808.52842809364552</c:v>
                </c:pt>
              </c:numCache>
            </c:numRef>
          </c:val>
          <c:extLst>
            <c:ext xmlns:c16="http://schemas.microsoft.com/office/drawing/2014/chart" uri="{C3380CC4-5D6E-409C-BE32-E72D297353CC}">
              <c16:uniqueId val="{00000002-8382-46F7-B379-23DC902181D2}"/>
            </c:ext>
          </c:extLst>
        </c:ser>
        <c:dLbls>
          <c:showLegendKey val="0"/>
          <c:showVal val="0"/>
          <c:showCatName val="0"/>
          <c:showSerName val="0"/>
          <c:showPercent val="0"/>
          <c:showBubbleSize val="0"/>
        </c:dLbls>
        <c:gapWidth val="150"/>
        <c:overlap val="100"/>
        <c:axId val="297648128"/>
        <c:axId val="297649664"/>
      </c:barChart>
      <c:catAx>
        <c:axId val="29764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97649664"/>
        <c:crosses val="autoZero"/>
        <c:auto val="1"/>
        <c:lblAlgn val="ctr"/>
        <c:lblOffset val="100"/>
        <c:noMultiLvlLbl val="0"/>
      </c:catAx>
      <c:valAx>
        <c:axId val="297649664"/>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976481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latin typeface="Arial Narrow" panose="020B0606020202030204" pitchFamily="34" charset="0"/>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Industrial!$B$20</c:f>
              <c:strCache>
                <c:ptCount val="1"/>
                <c:pt idx="0">
                  <c:v>Chichester</c:v>
                </c:pt>
              </c:strCache>
            </c:strRef>
          </c:tx>
          <c:spPr>
            <a:solidFill>
              <a:schemeClr val="accent1"/>
            </a:solidFill>
            <a:ln>
              <a:noFill/>
            </a:ln>
            <a:effectLst/>
          </c:spPr>
          <c:invertIfNegative val="0"/>
          <c:cat>
            <c:strRef>
              <c:f>Industrial!$C$19:$V$19</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Industrial!$C$20:$V$20</c:f>
              <c:numCache>
                <c:formatCode>_-* #,##0_-;\-* #,##0_-;_-* "-"??_-;_-@_-</c:formatCode>
                <c:ptCount val="20"/>
                <c:pt idx="0">
                  <c:v>388000</c:v>
                </c:pt>
                <c:pt idx="1">
                  <c:v>378000</c:v>
                </c:pt>
                <c:pt idx="2">
                  <c:v>436000</c:v>
                </c:pt>
                <c:pt idx="3">
                  <c:v>438000</c:v>
                </c:pt>
                <c:pt idx="4">
                  <c:v>441000</c:v>
                </c:pt>
                <c:pt idx="5">
                  <c:v>446000</c:v>
                </c:pt>
                <c:pt idx="6">
                  <c:v>455000</c:v>
                </c:pt>
                <c:pt idx="7">
                  <c:v>461000</c:v>
                </c:pt>
                <c:pt idx="8">
                  <c:v>460000</c:v>
                </c:pt>
                <c:pt idx="9">
                  <c:v>455000</c:v>
                </c:pt>
                <c:pt idx="10">
                  <c:v>474000</c:v>
                </c:pt>
                <c:pt idx="11">
                  <c:v>473000</c:v>
                </c:pt>
                <c:pt idx="12">
                  <c:v>483000</c:v>
                </c:pt>
                <c:pt idx="13">
                  <c:v>494000</c:v>
                </c:pt>
                <c:pt idx="14">
                  <c:v>499000</c:v>
                </c:pt>
                <c:pt idx="15">
                  <c:v>496000</c:v>
                </c:pt>
                <c:pt idx="16">
                  <c:v>497000</c:v>
                </c:pt>
                <c:pt idx="17">
                  <c:v>507000</c:v>
                </c:pt>
                <c:pt idx="18">
                  <c:v>509000</c:v>
                </c:pt>
                <c:pt idx="19">
                  <c:v>504000</c:v>
                </c:pt>
              </c:numCache>
            </c:numRef>
          </c:val>
          <c:extLst>
            <c:ext xmlns:c16="http://schemas.microsoft.com/office/drawing/2014/chart" uri="{C3380CC4-5D6E-409C-BE32-E72D297353CC}">
              <c16:uniqueId val="{00000000-2D3F-4A2E-BC9D-EF8180085EF0}"/>
            </c:ext>
          </c:extLst>
        </c:ser>
        <c:dLbls>
          <c:showLegendKey val="0"/>
          <c:showVal val="0"/>
          <c:showCatName val="0"/>
          <c:showSerName val="0"/>
          <c:showPercent val="0"/>
          <c:showBubbleSize val="0"/>
        </c:dLbls>
        <c:gapWidth val="219"/>
        <c:overlap val="-27"/>
        <c:axId val="297663104"/>
        <c:axId val="289485184"/>
      </c:barChart>
      <c:catAx>
        <c:axId val="29766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485184"/>
        <c:crosses val="autoZero"/>
        <c:auto val="1"/>
        <c:lblAlgn val="ctr"/>
        <c:lblOffset val="100"/>
        <c:noMultiLvlLbl val="0"/>
      </c:catAx>
      <c:valAx>
        <c:axId val="289485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Floorspace (Sqm)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7663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Industrial!$B$36</c:f>
              <c:strCache>
                <c:ptCount val="1"/>
                <c:pt idx="0">
                  <c:v>Chichester</c:v>
                </c:pt>
              </c:strCache>
            </c:strRef>
          </c:tx>
          <c:spPr>
            <a:ln w="28575" cap="rnd">
              <a:solidFill>
                <a:schemeClr val="accent1"/>
              </a:solidFill>
              <a:round/>
            </a:ln>
            <a:effectLst/>
          </c:spPr>
          <c:marker>
            <c:symbol val="none"/>
          </c:marker>
          <c:cat>
            <c:strRef>
              <c:f>Industrial!$C$35:$V$35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Industrial!$C$36:$V$36</c:f>
              <c:numCache>
                <c:formatCode>_(* #,##0.00_);_(* \(#,##0.00\);_(* "-"??_);_(@_)</c:formatCode>
                <c:ptCount val="20"/>
                <c:pt idx="0">
                  <c:v>1</c:v>
                </c:pt>
                <c:pt idx="1">
                  <c:v>0.97</c:v>
                </c:pt>
                <c:pt idx="2">
                  <c:v>1.1200000000000001</c:v>
                </c:pt>
                <c:pt idx="3">
                  <c:v>1.1299999999999999</c:v>
                </c:pt>
                <c:pt idx="4">
                  <c:v>1.1399999999999999</c:v>
                </c:pt>
                <c:pt idx="5">
                  <c:v>1.1499999999999999</c:v>
                </c:pt>
                <c:pt idx="6">
                  <c:v>1.17</c:v>
                </c:pt>
                <c:pt idx="7">
                  <c:v>1.19</c:v>
                </c:pt>
                <c:pt idx="8">
                  <c:v>1.19</c:v>
                </c:pt>
                <c:pt idx="9">
                  <c:v>1.17</c:v>
                </c:pt>
                <c:pt idx="10">
                  <c:v>1.22</c:v>
                </c:pt>
                <c:pt idx="11">
                  <c:v>1.22</c:v>
                </c:pt>
                <c:pt idx="12">
                  <c:v>1.24</c:v>
                </c:pt>
                <c:pt idx="13">
                  <c:v>1.27</c:v>
                </c:pt>
                <c:pt idx="14">
                  <c:v>1.29</c:v>
                </c:pt>
                <c:pt idx="15">
                  <c:v>1.28</c:v>
                </c:pt>
                <c:pt idx="16">
                  <c:v>1.28</c:v>
                </c:pt>
                <c:pt idx="17">
                  <c:v>1.31</c:v>
                </c:pt>
                <c:pt idx="18">
                  <c:v>1.31</c:v>
                </c:pt>
                <c:pt idx="19">
                  <c:v>1.3</c:v>
                </c:pt>
              </c:numCache>
            </c:numRef>
          </c:val>
          <c:smooth val="0"/>
          <c:extLst>
            <c:ext xmlns:c16="http://schemas.microsoft.com/office/drawing/2014/chart" uri="{C3380CC4-5D6E-409C-BE32-E72D297353CC}">
              <c16:uniqueId val="{00000000-9447-4CEA-88F4-1BDFB15F43C1}"/>
            </c:ext>
          </c:extLst>
        </c:ser>
        <c:ser>
          <c:idx val="5"/>
          <c:order val="1"/>
          <c:tx>
            <c:strRef>
              <c:f>Industrial!$B$42</c:f>
              <c:strCache>
                <c:ptCount val="1"/>
                <c:pt idx="0">
                  <c:v>West Sussex</c:v>
                </c:pt>
              </c:strCache>
            </c:strRef>
          </c:tx>
          <c:spPr>
            <a:ln w="28575" cap="rnd">
              <a:solidFill>
                <a:schemeClr val="accent6"/>
              </a:solidFill>
              <a:round/>
            </a:ln>
            <a:effectLst/>
          </c:spPr>
          <c:marker>
            <c:symbol val="none"/>
          </c:marker>
          <c:cat>
            <c:strRef>
              <c:f>Industrial!$C$35:$V$35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Industrial!$C$42:$V$42</c:f>
              <c:numCache>
                <c:formatCode>_(* #,##0.00_);_(* \(#,##0.00\);_(* "-"??_);_(@_)</c:formatCode>
                <c:ptCount val="20"/>
                <c:pt idx="0">
                  <c:v>1</c:v>
                </c:pt>
                <c:pt idx="1">
                  <c:v>1</c:v>
                </c:pt>
                <c:pt idx="2">
                  <c:v>1.02</c:v>
                </c:pt>
                <c:pt idx="3">
                  <c:v>1.02</c:v>
                </c:pt>
                <c:pt idx="4">
                  <c:v>1.02</c:v>
                </c:pt>
                <c:pt idx="5">
                  <c:v>1.03</c:v>
                </c:pt>
                <c:pt idx="6">
                  <c:v>1.04</c:v>
                </c:pt>
                <c:pt idx="7">
                  <c:v>1.05</c:v>
                </c:pt>
                <c:pt idx="8">
                  <c:v>1.04</c:v>
                </c:pt>
                <c:pt idx="9">
                  <c:v>1.04</c:v>
                </c:pt>
                <c:pt idx="10">
                  <c:v>1.08</c:v>
                </c:pt>
                <c:pt idx="11">
                  <c:v>1.05</c:v>
                </c:pt>
                <c:pt idx="12">
                  <c:v>1.04</c:v>
                </c:pt>
                <c:pt idx="13">
                  <c:v>1.05</c:v>
                </c:pt>
                <c:pt idx="14">
                  <c:v>1.06</c:v>
                </c:pt>
                <c:pt idx="15">
                  <c:v>1.08</c:v>
                </c:pt>
                <c:pt idx="16">
                  <c:v>1.08</c:v>
                </c:pt>
                <c:pt idx="17">
                  <c:v>1.0900000000000001</c:v>
                </c:pt>
                <c:pt idx="18">
                  <c:v>1.0900000000000001</c:v>
                </c:pt>
                <c:pt idx="19">
                  <c:v>1.1000000000000001</c:v>
                </c:pt>
              </c:numCache>
            </c:numRef>
          </c:val>
          <c:smooth val="0"/>
          <c:extLst>
            <c:ext xmlns:c16="http://schemas.microsoft.com/office/drawing/2014/chart" uri="{C3380CC4-5D6E-409C-BE32-E72D297353CC}">
              <c16:uniqueId val="{00000001-9447-4CEA-88F4-1BDFB15F43C1}"/>
            </c:ext>
          </c:extLst>
        </c:ser>
        <c:ser>
          <c:idx val="6"/>
          <c:order val="2"/>
          <c:tx>
            <c:strRef>
              <c:f>Industrial!$B$43</c:f>
              <c:strCache>
                <c:ptCount val="1"/>
                <c:pt idx="0">
                  <c:v>SOUTH EAST</c:v>
                </c:pt>
              </c:strCache>
            </c:strRef>
          </c:tx>
          <c:spPr>
            <a:ln w="28575" cap="rnd">
              <a:solidFill>
                <a:schemeClr val="accent1">
                  <a:lumMod val="60000"/>
                </a:schemeClr>
              </a:solidFill>
              <a:round/>
            </a:ln>
            <a:effectLst/>
          </c:spPr>
          <c:marker>
            <c:symbol val="none"/>
          </c:marker>
          <c:cat>
            <c:strRef>
              <c:f>Industrial!$C$35:$V$35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Industrial!$C$43:$V$43</c:f>
              <c:numCache>
                <c:formatCode>_(* #,##0.00_);_(* \(#,##0.00\);_(* "-"??_);_(@_)</c:formatCode>
                <c:ptCount val="20"/>
                <c:pt idx="0">
                  <c:v>1</c:v>
                </c:pt>
                <c:pt idx="1">
                  <c:v>1.01</c:v>
                </c:pt>
                <c:pt idx="2">
                  <c:v>1.02</c:v>
                </c:pt>
                <c:pt idx="3">
                  <c:v>1.02</c:v>
                </c:pt>
                <c:pt idx="4">
                  <c:v>1.01</c:v>
                </c:pt>
                <c:pt idx="5">
                  <c:v>1.02</c:v>
                </c:pt>
                <c:pt idx="6">
                  <c:v>1.02</c:v>
                </c:pt>
                <c:pt idx="7">
                  <c:v>1.02</c:v>
                </c:pt>
                <c:pt idx="8">
                  <c:v>1.01</c:v>
                </c:pt>
                <c:pt idx="9">
                  <c:v>1</c:v>
                </c:pt>
                <c:pt idx="10">
                  <c:v>1.01</c:v>
                </c:pt>
                <c:pt idx="11">
                  <c:v>1.02</c:v>
                </c:pt>
                <c:pt idx="12">
                  <c:v>1</c:v>
                </c:pt>
                <c:pt idx="13">
                  <c:v>1</c:v>
                </c:pt>
                <c:pt idx="14">
                  <c:v>1</c:v>
                </c:pt>
                <c:pt idx="15">
                  <c:v>1.02</c:v>
                </c:pt>
                <c:pt idx="16">
                  <c:v>1.02</c:v>
                </c:pt>
                <c:pt idx="17">
                  <c:v>1.03</c:v>
                </c:pt>
                <c:pt idx="18">
                  <c:v>1.03</c:v>
                </c:pt>
                <c:pt idx="19">
                  <c:v>1.03</c:v>
                </c:pt>
              </c:numCache>
            </c:numRef>
          </c:val>
          <c:smooth val="0"/>
          <c:extLst>
            <c:ext xmlns:c16="http://schemas.microsoft.com/office/drawing/2014/chart" uri="{C3380CC4-5D6E-409C-BE32-E72D297353CC}">
              <c16:uniqueId val="{00000002-9447-4CEA-88F4-1BDFB15F43C1}"/>
            </c:ext>
          </c:extLst>
        </c:ser>
        <c:ser>
          <c:idx val="7"/>
          <c:order val="3"/>
          <c:tx>
            <c:strRef>
              <c:f>Industrial!$B$44</c:f>
              <c:strCache>
                <c:ptCount val="1"/>
                <c:pt idx="0">
                  <c:v>ENGLAND</c:v>
                </c:pt>
              </c:strCache>
            </c:strRef>
          </c:tx>
          <c:spPr>
            <a:ln w="28575" cap="rnd">
              <a:solidFill>
                <a:schemeClr val="accent2">
                  <a:lumMod val="60000"/>
                </a:schemeClr>
              </a:solidFill>
              <a:round/>
            </a:ln>
            <a:effectLst/>
          </c:spPr>
          <c:marker>
            <c:symbol val="none"/>
          </c:marker>
          <c:cat>
            <c:strRef>
              <c:f>Industrial!$C$35:$V$35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Industrial!$C$44:$V$44</c:f>
              <c:numCache>
                <c:formatCode>_(* #,##0.00_);_(* \(#,##0.00\);_(* "-"??_);_(@_)</c:formatCode>
                <c:ptCount val="20"/>
                <c:pt idx="0">
                  <c:v>1</c:v>
                </c:pt>
                <c:pt idx="1">
                  <c:v>1.01</c:v>
                </c:pt>
                <c:pt idx="2">
                  <c:v>1.01</c:v>
                </c:pt>
                <c:pt idx="3">
                  <c:v>1.01</c:v>
                </c:pt>
                <c:pt idx="4">
                  <c:v>1</c:v>
                </c:pt>
                <c:pt idx="5">
                  <c:v>1</c:v>
                </c:pt>
                <c:pt idx="6">
                  <c:v>1</c:v>
                </c:pt>
                <c:pt idx="7">
                  <c:v>1</c:v>
                </c:pt>
                <c:pt idx="8">
                  <c:v>0.98</c:v>
                </c:pt>
                <c:pt idx="9">
                  <c:v>0.97</c:v>
                </c:pt>
                <c:pt idx="10">
                  <c:v>0.96</c:v>
                </c:pt>
                <c:pt idx="11">
                  <c:v>0.95</c:v>
                </c:pt>
                <c:pt idx="12">
                  <c:v>0.95</c:v>
                </c:pt>
                <c:pt idx="13">
                  <c:v>0.95</c:v>
                </c:pt>
                <c:pt idx="14">
                  <c:v>0.95</c:v>
                </c:pt>
                <c:pt idx="15">
                  <c:v>0.95</c:v>
                </c:pt>
                <c:pt idx="16">
                  <c:v>0.96</c:v>
                </c:pt>
                <c:pt idx="17">
                  <c:v>0.96</c:v>
                </c:pt>
                <c:pt idx="18">
                  <c:v>0.96</c:v>
                </c:pt>
                <c:pt idx="19">
                  <c:v>0.97</c:v>
                </c:pt>
              </c:numCache>
            </c:numRef>
          </c:val>
          <c:smooth val="0"/>
          <c:extLst>
            <c:ext xmlns:c16="http://schemas.microsoft.com/office/drawing/2014/chart" uri="{C3380CC4-5D6E-409C-BE32-E72D297353CC}">
              <c16:uniqueId val="{00000003-9447-4CEA-88F4-1BDFB15F43C1}"/>
            </c:ext>
          </c:extLst>
        </c:ser>
        <c:dLbls>
          <c:showLegendKey val="0"/>
          <c:showVal val="0"/>
          <c:showCatName val="0"/>
          <c:showSerName val="0"/>
          <c:showPercent val="0"/>
          <c:showBubbleSize val="0"/>
        </c:dLbls>
        <c:smooth val="0"/>
        <c:axId val="289518720"/>
        <c:axId val="289520256"/>
      </c:lineChart>
      <c:catAx>
        <c:axId val="28951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520256"/>
        <c:crosses val="autoZero"/>
        <c:auto val="1"/>
        <c:lblAlgn val="ctr"/>
        <c:lblOffset val="100"/>
        <c:noMultiLvlLbl val="0"/>
      </c:catAx>
      <c:valAx>
        <c:axId val="289520256"/>
        <c:scaling>
          <c:orientation val="minMax"/>
          <c:min val="0.9"/>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Index (1 = 2000/01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51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'Industrial Vacancy Rate'!$B$1</c:f>
              <c:strCache>
                <c:ptCount val="1"/>
                <c:pt idx="0">
                  <c:v>Chichester</c:v>
                </c:pt>
              </c:strCache>
            </c:strRef>
          </c:tx>
          <c:spPr>
            <a:ln w="28575" cap="rnd">
              <a:solidFill>
                <a:schemeClr val="accent1"/>
              </a:solidFill>
              <a:round/>
            </a:ln>
            <a:effectLst/>
          </c:spPr>
          <c:marker>
            <c:symbol val="none"/>
          </c:marker>
          <c:cat>
            <c:numRef>
              <c:f>'Industrial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Vacancy Rate'!$B$2:$B$14</c:f>
              <c:numCache>
                <c:formatCode>0.0%</c:formatCode>
                <c:ptCount val="13"/>
                <c:pt idx="0">
                  <c:v>1E-3</c:v>
                </c:pt>
                <c:pt idx="1">
                  <c:v>1E-3</c:v>
                </c:pt>
                <c:pt idx="2">
                  <c:v>2E-3</c:v>
                </c:pt>
                <c:pt idx="3">
                  <c:v>1E-3</c:v>
                </c:pt>
                <c:pt idx="4">
                  <c:v>1E-3</c:v>
                </c:pt>
                <c:pt idx="5">
                  <c:v>0</c:v>
                </c:pt>
                <c:pt idx="6">
                  <c:v>1E-3</c:v>
                </c:pt>
                <c:pt idx="7">
                  <c:v>3.7999999999999999E-2</c:v>
                </c:pt>
                <c:pt idx="8">
                  <c:v>0.03</c:v>
                </c:pt>
                <c:pt idx="9">
                  <c:v>7.0999999999999994E-2</c:v>
                </c:pt>
                <c:pt idx="10">
                  <c:v>3.5999999999999997E-2</c:v>
                </c:pt>
                <c:pt idx="11">
                  <c:v>1.7999999999999999E-2</c:v>
                </c:pt>
                <c:pt idx="12">
                  <c:v>4.0000000000000001E-3</c:v>
                </c:pt>
              </c:numCache>
            </c:numRef>
          </c:val>
          <c:smooth val="0"/>
          <c:extLst>
            <c:ext xmlns:c16="http://schemas.microsoft.com/office/drawing/2014/chart" uri="{C3380CC4-5D6E-409C-BE32-E72D297353CC}">
              <c16:uniqueId val="{00000000-8F18-4B2F-96A0-A1F34F931543}"/>
            </c:ext>
          </c:extLst>
        </c:ser>
        <c:ser>
          <c:idx val="1"/>
          <c:order val="1"/>
          <c:tx>
            <c:strRef>
              <c:f>'Industrial Vacancy Rate'!$C$1</c:f>
              <c:strCache>
                <c:ptCount val="1"/>
                <c:pt idx="0">
                  <c:v>South Coast</c:v>
                </c:pt>
              </c:strCache>
            </c:strRef>
          </c:tx>
          <c:spPr>
            <a:ln w="28575" cap="rnd">
              <a:solidFill>
                <a:schemeClr val="accent2"/>
              </a:solidFill>
              <a:round/>
            </a:ln>
            <a:effectLst/>
          </c:spPr>
          <c:marker>
            <c:symbol val="none"/>
          </c:marker>
          <c:cat>
            <c:numRef>
              <c:f>'Industrial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Vacancy Rate'!$C$2:$C$14</c:f>
              <c:numCache>
                <c:formatCode>0.0%</c:formatCode>
                <c:ptCount val="13"/>
                <c:pt idx="0">
                  <c:v>7.0000000000000007E-2</c:v>
                </c:pt>
                <c:pt idx="1">
                  <c:v>7.9000000000000001E-2</c:v>
                </c:pt>
                <c:pt idx="2">
                  <c:v>0.08</c:v>
                </c:pt>
                <c:pt idx="3">
                  <c:v>7.8E-2</c:v>
                </c:pt>
                <c:pt idx="4">
                  <c:v>7.0999999999999994E-2</c:v>
                </c:pt>
                <c:pt idx="5">
                  <c:v>4.1000000000000002E-2</c:v>
                </c:pt>
                <c:pt idx="6">
                  <c:v>3.5000000000000003E-2</c:v>
                </c:pt>
                <c:pt idx="7">
                  <c:v>0.04</c:v>
                </c:pt>
                <c:pt idx="8">
                  <c:v>3.9E-2</c:v>
                </c:pt>
                <c:pt idx="9">
                  <c:v>4.1000000000000002E-2</c:v>
                </c:pt>
                <c:pt idx="10">
                  <c:v>3.5000000000000003E-2</c:v>
                </c:pt>
                <c:pt idx="11">
                  <c:v>0.03</c:v>
                </c:pt>
                <c:pt idx="12">
                  <c:v>2.7E-2</c:v>
                </c:pt>
              </c:numCache>
            </c:numRef>
          </c:val>
          <c:smooth val="0"/>
          <c:extLst>
            <c:ext xmlns:c16="http://schemas.microsoft.com/office/drawing/2014/chart" uri="{C3380CC4-5D6E-409C-BE32-E72D297353CC}">
              <c16:uniqueId val="{00000001-8F18-4B2F-96A0-A1F34F931543}"/>
            </c:ext>
          </c:extLst>
        </c:ser>
        <c:ser>
          <c:idx val="2"/>
          <c:order val="2"/>
          <c:tx>
            <c:strRef>
              <c:f>'Industrial Vacancy Rate'!$D$1</c:f>
              <c:strCache>
                <c:ptCount val="1"/>
                <c:pt idx="0">
                  <c:v>UK</c:v>
                </c:pt>
              </c:strCache>
            </c:strRef>
          </c:tx>
          <c:spPr>
            <a:ln w="28575" cap="rnd">
              <a:solidFill>
                <a:schemeClr val="accent3"/>
              </a:solidFill>
              <a:round/>
            </a:ln>
            <a:effectLst/>
          </c:spPr>
          <c:marker>
            <c:symbol val="none"/>
          </c:marker>
          <c:cat>
            <c:numRef>
              <c:f>'Industrial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Vacancy Rate'!$D$2:$D$14</c:f>
              <c:numCache>
                <c:formatCode>0.0%</c:formatCode>
                <c:ptCount val="13"/>
                <c:pt idx="0">
                  <c:v>9.0999999999999998E-2</c:v>
                </c:pt>
                <c:pt idx="1">
                  <c:v>9.2999999999999999E-2</c:v>
                </c:pt>
                <c:pt idx="2">
                  <c:v>9.8000000000000004E-2</c:v>
                </c:pt>
                <c:pt idx="3">
                  <c:v>9.5000000000000001E-2</c:v>
                </c:pt>
                <c:pt idx="4">
                  <c:v>7.3999999999999996E-2</c:v>
                </c:pt>
                <c:pt idx="5">
                  <c:v>5.1999999999999998E-2</c:v>
                </c:pt>
                <c:pt idx="6">
                  <c:v>4.3999999999999997E-2</c:v>
                </c:pt>
                <c:pt idx="7">
                  <c:v>4.1000000000000002E-2</c:v>
                </c:pt>
                <c:pt idx="8">
                  <c:v>3.7999999999999999E-2</c:v>
                </c:pt>
                <c:pt idx="9">
                  <c:v>3.3000000000000002E-2</c:v>
                </c:pt>
                <c:pt idx="10">
                  <c:v>3.1E-2</c:v>
                </c:pt>
                <c:pt idx="11">
                  <c:v>3.2000000000000001E-2</c:v>
                </c:pt>
                <c:pt idx="12">
                  <c:v>3.1E-2</c:v>
                </c:pt>
              </c:numCache>
            </c:numRef>
          </c:val>
          <c:smooth val="0"/>
          <c:extLst>
            <c:ext xmlns:c16="http://schemas.microsoft.com/office/drawing/2014/chart" uri="{C3380CC4-5D6E-409C-BE32-E72D297353CC}">
              <c16:uniqueId val="{00000002-8F18-4B2F-96A0-A1F34F931543}"/>
            </c:ext>
          </c:extLst>
        </c:ser>
        <c:dLbls>
          <c:showLegendKey val="0"/>
          <c:showVal val="0"/>
          <c:showCatName val="0"/>
          <c:showSerName val="0"/>
          <c:showPercent val="0"/>
          <c:showBubbleSize val="0"/>
        </c:dLbls>
        <c:smooth val="0"/>
        <c:axId val="289573504"/>
        <c:axId val="289575296"/>
      </c:lineChart>
      <c:catAx>
        <c:axId val="289573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575296"/>
        <c:crosses val="autoZero"/>
        <c:auto val="1"/>
        <c:lblAlgn val="ctr"/>
        <c:lblOffset val="100"/>
        <c:noMultiLvlLbl val="0"/>
      </c:catAx>
      <c:valAx>
        <c:axId val="289575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573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'Net abs, Net dels and Vac Rates'!$B$1</c:f>
              <c:strCache>
                <c:ptCount val="1"/>
                <c:pt idx="0">
                  <c:v>Net Absorption</c:v>
                </c:pt>
              </c:strCache>
            </c:strRef>
          </c:tx>
          <c:spPr>
            <a:solidFill>
              <a:schemeClr val="accent1"/>
            </a:solidFill>
            <a:ln>
              <a:noFill/>
            </a:ln>
            <a:effectLst/>
          </c:spPr>
          <c:invertIfNegative val="0"/>
          <c:cat>
            <c:numRef>
              <c:f>'Net abs, Net dels and Vac Rates'!$A$2:$A$14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and Vac Rates'!$B$2:$B$14</c:f>
              <c:numCache>
                <c:formatCode>_-* #,##0_-;\-* #,##0_-;_-* "-"??_-;_-@_-</c:formatCode>
                <c:ptCount val="13"/>
                <c:pt idx="0">
                  <c:v>-139.35340022296546</c:v>
                </c:pt>
                <c:pt idx="1">
                  <c:v>7716.8338907469351</c:v>
                </c:pt>
                <c:pt idx="2">
                  <c:v>10964.232627276106</c:v>
                </c:pt>
                <c:pt idx="3">
                  <c:v>655.2396878483836</c:v>
                </c:pt>
                <c:pt idx="4">
                  <c:v>0</c:v>
                </c:pt>
                <c:pt idx="5">
                  <c:v>640.28242289111859</c:v>
                </c:pt>
                <c:pt idx="6">
                  <c:v>-399.47974730583428</c:v>
                </c:pt>
                <c:pt idx="7">
                  <c:v>-5472.5938312894841</c:v>
                </c:pt>
                <c:pt idx="8">
                  <c:v>4898.3649201040507</c:v>
                </c:pt>
                <c:pt idx="9">
                  <c:v>984.20661464139732</c:v>
                </c:pt>
                <c:pt idx="10">
                  <c:v>18814.56707543664</c:v>
                </c:pt>
                <c:pt idx="11">
                  <c:v>7084.3552582683024</c:v>
                </c:pt>
                <c:pt idx="12">
                  <c:v>6786.7701113211533</c:v>
                </c:pt>
              </c:numCache>
            </c:numRef>
          </c:val>
          <c:extLst>
            <c:ext xmlns:c16="http://schemas.microsoft.com/office/drawing/2014/chart" uri="{C3380CC4-5D6E-409C-BE32-E72D297353CC}">
              <c16:uniqueId val="{00000000-BB33-49A2-A4D5-CF9F9AC28886}"/>
            </c:ext>
          </c:extLst>
        </c:ser>
        <c:ser>
          <c:idx val="1"/>
          <c:order val="1"/>
          <c:tx>
            <c:strRef>
              <c:f>'Net abs, Net dels and Vac Rates'!$C$1</c:f>
              <c:strCache>
                <c:ptCount val="1"/>
                <c:pt idx="0">
                  <c:v>Net Deliveries</c:v>
                </c:pt>
              </c:strCache>
            </c:strRef>
          </c:tx>
          <c:spPr>
            <a:solidFill>
              <a:schemeClr val="accent2"/>
            </a:solidFill>
            <a:ln>
              <a:noFill/>
            </a:ln>
            <a:effectLst/>
          </c:spPr>
          <c:invertIfNegative val="0"/>
          <c:cat>
            <c:numRef>
              <c:f>'Net abs, Net dels and Vac Rates'!$A$2:$A$14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and Vac Rates'!$C$2:$C$14</c:f>
              <c:numCache>
                <c:formatCode>_-* #,##0_-;\-* #,##0_-;_-* "-"??_-;_-@_-</c:formatCode>
                <c:ptCount val="13"/>
                <c:pt idx="1">
                  <c:v>7716.8338907469297</c:v>
                </c:pt>
                <c:pt idx="2">
                  <c:v>11605.258268301783</c:v>
                </c:pt>
                <c:pt idx="3">
                  <c:v>292.92084726865869</c:v>
                </c:pt>
                <c:pt idx="4">
                  <c:v>0</c:v>
                </c:pt>
                <c:pt idx="5">
                  <c:v>175.77108881453751</c:v>
                </c:pt>
                <c:pt idx="6">
                  <c:v>0</c:v>
                </c:pt>
                <c:pt idx="7">
                  <c:v>7475.1950947603327</c:v>
                </c:pt>
                <c:pt idx="8">
                  <c:v>2320.4199182459852</c:v>
                </c:pt>
                <c:pt idx="9">
                  <c:v>16499.535488665919</c:v>
                </c:pt>
                <c:pt idx="10">
                  <c:v>4825.9011519881315</c:v>
                </c:pt>
                <c:pt idx="11">
                  <c:v>356.74470457079588</c:v>
                </c:pt>
                <c:pt idx="12">
                  <c:v>0</c:v>
                </c:pt>
              </c:numCache>
            </c:numRef>
          </c:val>
          <c:extLst>
            <c:ext xmlns:c16="http://schemas.microsoft.com/office/drawing/2014/chart" uri="{C3380CC4-5D6E-409C-BE32-E72D297353CC}">
              <c16:uniqueId val="{00000001-BB33-49A2-A4D5-CF9F9AC28886}"/>
            </c:ext>
          </c:extLst>
        </c:ser>
        <c:dLbls>
          <c:showLegendKey val="0"/>
          <c:showVal val="0"/>
          <c:showCatName val="0"/>
          <c:showSerName val="0"/>
          <c:showPercent val="0"/>
          <c:showBubbleSize val="0"/>
        </c:dLbls>
        <c:gapWidth val="150"/>
        <c:axId val="289625216"/>
        <c:axId val="289626752"/>
      </c:barChart>
      <c:lineChart>
        <c:grouping val="standard"/>
        <c:varyColors val="0"/>
        <c:ser>
          <c:idx val="2"/>
          <c:order val="2"/>
          <c:tx>
            <c:strRef>
              <c:f>'Net abs, Net dels and Vac Rates'!$D$1</c:f>
              <c:strCache>
                <c:ptCount val="1"/>
                <c:pt idx="0">
                  <c:v>Vacancy Rate</c:v>
                </c:pt>
              </c:strCache>
            </c:strRef>
          </c:tx>
          <c:spPr>
            <a:ln w="28575" cap="rnd">
              <a:solidFill>
                <a:schemeClr val="accent3"/>
              </a:solidFill>
              <a:round/>
            </a:ln>
            <a:effectLst/>
          </c:spPr>
          <c:marker>
            <c:symbol val="none"/>
          </c:marker>
          <c:cat>
            <c:numRef>
              <c:f>'Net abs, Net dels and Vac Rates'!$A$2:$A$14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and Vac Rates'!$D$2:$D$14</c:f>
              <c:numCache>
                <c:formatCode>0.0%</c:formatCode>
                <c:ptCount val="13"/>
                <c:pt idx="0">
                  <c:v>5.7390884146743895E-4</c:v>
                </c:pt>
                <c:pt idx="1">
                  <c:v>5.6054785705357004E-4</c:v>
                </c:pt>
                <c:pt idx="2">
                  <c:v>2.4100581203117298E-3</c:v>
                </c:pt>
                <c:pt idx="3">
                  <c:v>1.35281019261312E-3</c:v>
                </c:pt>
                <c:pt idx="4">
                  <c:v>1.35281019261312E-3</c:v>
                </c:pt>
                <c:pt idx="5">
                  <c:v>0</c:v>
                </c:pt>
                <c:pt idx="6">
                  <c:v>1.1628215133878601E-3</c:v>
                </c:pt>
                <c:pt idx="7">
                  <c:v>3.8024383562731502E-2</c:v>
                </c:pt>
                <c:pt idx="8">
                  <c:v>3.04787210826689E-2</c:v>
                </c:pt>
                <c:pt idx="9">
                  <c:v>7.10705980969836E-2</c:v>
                </c:pt>
                <c:pt idx="10">
                  <c:v>3.6443849557972002E-2</c:v>
                </c:pt>
                <c:pt idx="11">
                  <c:v>1.84699047174086E-2</c:v>
                </c:pt>
                <c:pt idx="12">
                  <c:v>4.0664111957973903E-3</c:v>
                </c:pt>
              </c:numCache>
            </c:numRef>
          </c:val>
          <c:smooth val="0"/>
          <c:extLst>
            <c:ext xmlns:c16="http://schemas.microsoft.com/office/drawing/2014/chart" uri="{C3380CC4-5D6E-409C-BE32-E72D297353CC}">
              <c16:uniqueId val="{00000002-BB33-49A2-A4D5-CF9F9AC28886}"/>
            </c:ext>
          </c:extLst>
        </c:ser>
        <c:dLbls>
          <c:showLegendKey val="0"/>
          <c:showVal val="0"/>
          <c:showCatName val="0"/>
          <c:showSerName val="0"/>
          <c:showPercent val="0"/>
          <c:showBubbleSize val="0"/>
        </c:dLbls>
        <c:marker val="1"/>
        <c:smooth val="0"/>
        <c:axId val="289634944"/>
        <c:axId val="289633024"/>
      </c:lineChart>
      <c:catAx>
        <c:axId val="28962521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626752"/>
        <c:crosses val="autoZero"/>
        <c:auto val="1"/>
        <c:lblAlgn val="ctr"/>
        <c:lblOffset val="100"/>
        <c:noMultiLvlLbl val="0"/>
      </c:catAx>
      <c:valAx>
        <c:axId val="289626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Floorspace (Sqm)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625216"/>
        <c:crosses val="autoZero"/>
        <c:crossBetween val="between"/>
      </c:valAx>
      <c:valAx>
        <c:axId val="289633024"/>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Vacancy Rate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634944"/>
        <c:crosses val="max"/>
        <c:crossBetween val="between"/>
      </c:valAx>
      <c:catAx>
        <c:axId val="289634944"/>
        <c:scaling>
          <c:orientation val="minMax"/>
        </c:scaling>
        <c:delete val="1"/>
        <c:axPos val="b"/>
        <c:numFmt formatCode="General" sourceLinked="1"/>
        <c:majorTickMark val="out"/>
        <c:minorTickMark val="none"/>
        <c:tickLblPos val="nextTo"/>
        <c:crossAx val="2896330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06036745406825"/>
          <c:y val="2.5428331875182269E-2"/>
          <c:w val="0.76838407699037625"/>
          <c:h val="0.6902941819772529"/>
        </c:manualLayout>
      </c:layout>
      <c:barChart>
        <c:barDir val="col"/>
        <c:grouping val="clustered"/>
        <c:varyColors val="0"/>
        <c:ser>
          <c:idx val="0"/>
          <c:order val="0"/>
          <c:tx>
            <c:strRef>
              <c:f>Analysis!$A$2</c:f>
              <c:strCache>
                <c:ptCount val="1"/>
                <c:pt idx="0">
                  <c:v>Chichester</c:v>
                </c:pt>
              </c:strCache>
            </c:strRef>
          </c:tx>
          <c:spPr>
            <a:solidFill>
              <a:srgbClr val="5B9BD5"/>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Analysis!$B$2:$H$2</c:f>
              <c:numCache>
                <c:formatCode>_-"£"* #,##0_-;\-"£"* #,##0_-;_-"£"* "-"??_-;_-@_-</c:formatCode>
                <c:ptCount val="7"/>
                <c:pt idx="0">
                  <c:v>410</c:v>
                </c:pt>
                <c:pt idx="1">
                  <c:v>625</c:v>
                </c:pt>
                <c:pt idx="2">
                  <c:v>710</c:v>
                </c:pt>
                <c:pt idx="3">
                  <c:v>895</c:v>
                </c:pt>
                <c:pt idx="4">
                  <c:v>1100</c:v>
                </c:pt>
                <c:pt idx="5">
                  <c:v>1595</c:v>
                </c:pt>
                <c:pt idx="6">
                  <c:v>900</c:v>
                </c:pt>
              </c:numCache>
            </c:numRef>
          </c:val>
          <c:extLst>
            <c:ext xmlns:c16="http://schemas.microsoft.com/office/drawing/2014/chart" uri="{C3380CC4-5D6E-409C-BE32-E72D297353CC}">
              <c16:uniqueId val="{00000000-7411-4EAE-BC1E-32F5C03A7ADA}"/>
            </c:ext>
          </c:extLst>
        </c:ser>
        <c:ser>
          <c:idx val="1"/>
          <c:order val="1"/>
          <c:tx>
            <c:strRef>
              <c:f>Analysis!$A$3</c:f>
              <c:strCache>
                <c:ptCount val="1"/>
                <c:pt idx="0">
                  <c:v>South East</c:v>
                </c:pt>
              </c:strCache>
            </c:strRef>
          </c:tx>
          <c:spPr>
            <a:solidFill>
              <a:srgbClr val="ED7D31"/>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Analysis!$B$3:$H$3</c:f>
              <c:numCache>
                <c:formatCode>_-"£"* #,##0_-;\-"£"* #,##0_-;_-"£"* "-"??_-;_-@_-</c:formatCode>
                <c:ptCount val="7"/>
                <c:pt idx="0">
                  <c:v>450</c:v>
                </c:pt>
                <c:pt idx="1">
                  <c:v>600</c:v>
                </c:pt>
                <c:pt idx="2">
                  <c:v>725</c:v>
                </c:pt>
                <c:pt idx="3">
                  <c:v>900</c:v>
                </c:pt>
                <c:pt idx="4">
                  <c:v>1100</c:v>
                </c:pt>
                <c:pt idx="5">
                  <c:v>1625</c:v>
                </c:pt>
                <c:pt idx="6">
                  <c:v>900</c:v>
                </c:pt>
              </c:numCache>
            </c:numRef>
          </c:val>
          <c:extLst>
            <c:ext xmlns:c16="http://schemas.microsoft.com/office/drawing/2014/chart" uri="{C3380CC4-5D6E-409C-BE32-E72D297353CC}">
              <c16:uniqueId val="{00000001-7411-4EAE-BC1E-32F5C03A7ADA}"/>
            </c:ext>
          </c:extLst>
        </c:ser>
        <c:ser>
          <c:idx val="2"/>
          <c:order val="2"/>
          <c:tx>
            <c:strRef>
              <c:f>Analysis!$A$4</c:f>
              <c:strCache>
                <c:ptCount val="1"/>
                <c:pt idx="0">
                  <c:v>England</c:v>
                </c:pt>
              </c:strCache>
            </c:strRef>
          </c:tx>
          <c:spPr>
            <a:solidFill>
              <a:srgbClr val="A5A5A5"/>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Analysis!$B$4:$H$4</c:f>
              <c:numCache>
                <c:formatCode>_-"£"* #,##0_-;\-"£"* #,##0_-;_-"£"* "-"??_-;_-@_-</c:formatCode>
                <c:ptCount val="7"/>
                <c:pt idx="0">
                  <c:v>412</c:v>
                </c:pt>
                <c:pt idx="1">
                  <c:v>575</c:v>
                </c:pt>
                <c:pt idx="2">
                  <c:v>650</c:v>
                </c:pt>
                <c:pt idx="3">
                  <c:v>700</c:v>
                </c:pt>
                <c:pt idx="4">
                  <c:v>800</c:v>
                </c:pt>
                <c:pt idx="5">
                  <c:v>1350</c:v>
                </c:pt>
                <c:pt idx="6">
                  <c:v>730</c:v>
                </c:pt>
              </c:numCache>
            </c:numRef>
          </c:val>
          <c:extLst>
            <c:ext xmlns:c16="http://schemas.microsoft.com/office/drawing/2014/chart" uri="{C3380CC4-5D6E-409C-BE32-E72D297353CC}">
              <c16:uniqueId val="{00000002-7411-4EAE-BC1E-32F5C03A7ADA}"/>
            </c:ext>
          </c:extLst>
        </c:ser>
        <c:dLbls>
          <c:showLegendKey val="0"/>
          <c:showVal val="0"/>
          <c:showCatName val="0"/>
          <c:showSerName val="0"/>
          <c:showPercent val="0"/>
          <c:showBubbleSize val="0"/>
        </c:dLbls>
        <c:gapWidth val="99"/>
        <c:overlap val="-17"/>
        <c:axId val="154657536"/>
        <c:axId val="154659072"/>
      </c:barChart>
      <c:catAx>
        <c:axId val="154657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54659072"/>
        <c:crosses val="autoZero"/>
        <c:auto val="1"/>
        <c:lblAlgn val="ctr"/>
        <c:lblOffset val="100"/>
        <c:noMultiLvlLbl val="0"/>
      </c:catAx>
      <c:valAx>
        <c:axId val="154659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Arial Narrow" panose="020B0606020202030204" pitchFamily="34" charset="0"/>
                    <a:ea typeface="Calibri"/>
                    <a:cs typeface="Calibri"/>
                  </a:defRPr>
                </a:pPr>
                <a:r>
                  <a:rPr lang="en-GB">
                    <a:latin typeface="Arial Narrow" panose="020B0606020202030204" pitchFamily="34" charset="0"/>
                  </a:rPr>
                  <a:t>£ per Calender Month</a:t>
                </a:r>
              </a:p>
            </c:rich>
          </c:tx>
          <c:overlay val="0"/>
          <c:spPr>
            <a:noFill/>
            <a:ln w="25400">
              <a:noFill/>
            </a:ln>
          </c:spPr>
        </c:title>
        <c:numFmt formatCode="_-&quot;£&quot;* #,##0_-;\-&quot;£&quot;* #,##0_-;_-&quot;£&quot;* &quot;-&quot;??_-;_-@_-" sourceLinked="1"/>
        <c:majorTickMark val="none"/>
        <c:minorTickMark val="none"/>
        <c:tickLblPos val="nextTo"/>
        <c:spPr>
          <a:ln w="6350">
            <a:noFill/>
          </a:ln>
        </c:spPr>
        <c:txPr>
          <a:bodyPr rot="0" vert="horz"/>
          <a:lstStyle/>
          <a:p>
            <a:pPr>
              <a:defRPr sz="1000" b="0" i="0" u="none" strike="noStrike" baseline="0">
                <a:solidFill>
                  <a:srgbClr val="333333"/>
                </a:solidFill>
                <a:latin typeface="Arial Narrow" panose="020B0606020202030204" pitchFamily="34" charset="0"/>
                <a:ea typeface="Calibri"/>
                <a:cs typeface="Calibri"/>
              </a:defRPr>
            </a:pPr>
            <a:endParaRPr lang="en-US"/>
          </a:p>
        </c:txPr>
        <c:crossAx val="1546575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a:lstStyle/>
          <a:p>
            <a:pPr rtl="0">
              <a:defRPr sz="1000" b="0" i="0" u="none" strike="noStrike" baseline="0">
                <a:solidFill>
                  <a:sysClr val="windowText" lastClr="000000"/>
                </a:solidFill>
                <a:latin typeface="Arial Narrow" panose="020B0606020202030204" pitchFamily="34" charset="0"/>
                <a:ea typeface="Calibri"/>
                <a:cs typeface="Calibri"/>
              </a:defRPr>
            </a:pPr>
            <a:endParaRPr lang="en-US"/>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'Industrial Rents'!$B$1</c:f>
              <c:strCache>
                <c:ptCount val="1"/>
                <c:pt idx="0">
                  <c:v>Chichester</c:v>
                </c:pt>
              </c:strCache>
            </c:strRef>
          </c:tx>
          <c:spPr>
            <a:ln w="28575" cap="rnd">
              <a:solidFill>
                <a:schemeClr val="accent1"/>
              </a:solidFill>
              <a:round/>
            </a:ln>
            <a:effectLst/>
          </c:spPr>
          <c:marker>
            <c:symbol val="none"/>
          </c:marker>
          <c:cat>
            <c:numRef>
              <c:f>'Industrial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Rents'!$B$2:$B$14</c:f>
              <c:numCache>
                <c:formatCode>"£"#,##0.00</c:formatCode>
                <c:ptCount val="13"/>
                <c:pt idx="0">
                  <c:v>6.61</c:v>
                </c:pt>
                <c:pt idx="1">
                  <c:v>6.57</c:v>
                </c:pt>
                <c:pt idx="2">
                  <c:v>6.57</c:v>
                </c:pt>
                <c:pt idx="3">
                  <c:v>6.6</c:v>
                </c:pt>
                <c:pt idx="4">
                  <c:v>6.66</c:v>
                </c:pt>
                <c:pt idx="5">
                  <c:v>6.88</c:v>
                </c:pt>
                <c:pt idx="6">
                  <c:v>7.16</c:v>
                </c:pt>
                <c:pt idx="7">
                  <c:v>7.47</c:v>
                </c:pt>
                <c:pt idx="8">
                  <c:v>7.85</c:v>
                </c:pt>
                <c:pt idx="9">
                  <c:v>8.19</c:v>
                </c:pt>
                <c:pt idx="10">
                  <c:v>8.48</c:v>
                </c:pt>
                <c:pt idx="11">
                  <c:v>8.7799999999999994</c:v>
                </c:pt>
                <c:pt idx="12">
                  <c:v>9.2799999999999994</c:v>
                </c:pt>
              </c:numCache>
            </c:numRef>
          </c:val>
          <c:smooth val="0"/>
          <c:extLst>
            <c:ext xmlns:c16="http://schemas.microsoft.com/office/drawing/2014/chart" uri="{C3380CC4-5D6E-409C-BE32-E72D297353CC}">
              <c16:uniqueId val="{00000000-3EDE-4894-8692-EFF5191D2DE3}"/>
            </c:ext>
          </c:extLst>
        </c:ser>
        <c:ser>
          <c:idx val="1"/>
          <c:order val="1"/>
          <c:tx>
            <c:strRef>
              <c:f>'Industrial Rents'!$C$1</c:f>
              <c:strCache>
                <c:ptCount val="1"/>
                <c:pt idx="0">
                  <c:v>South Coast</c:v>
                </c:pt>
              </c:strCache>
            </c:strRef>
          </c:tx>
          <c:spPr>
            <a:ln w="28575" cap="rnd">
              <a:solidFill>
                <a:schemeClr val="accent2"/>
              </a:solidFill>
              <a:round/>
            </a:ln>
            <a:effectLst/>
          </c:spPr>
          <c:marker>
            <c:symbol val="none"/>
          </c:marker>
          <c:cat>
            <c:numRef>
              <c:f>'Industrial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Rents'!$C$2:$C$14</c:f>
              <c:numCache>
                <c:formatCode>"£"#,##0.00</c:formatCode>
                <c:ptCount val="13"/>
                <c:pt idx="0">
                  <c:v>6.06</c:v>
                </c:pt>
                <c:pt idx="1">
                  <c:v>6.03</c:v>
                </c:pt>
                <c:pt idx="2">
                  <c:v>6.03</c:v>
                </c:pt>
                <c:pt idx="3">
                  <c:v>6.08</c:v>
                </c:pt>
                <c:pt idx="4">
                  <c:v>6.15</c:v>
                </c:pt>
                <c:pt idx="5">
                  <c:v>6.36</c:v>
                </c:pt>
                <c:pt idx="6">
                  <c:v>6.6</c:v>
                </c:pt>
                <c:pt idx="7">
                  <c:v>6.92</c:v>
                </c:pt>
                <c:pt idx="8">
                  <c:v>7.28</c:v>
                </c:pt>
                <c:pt idx="9">
                  <c:v>7.64</c:v>
                </c:pt>
                <c:pt idx="10">
                  <c:v>7.97</c:v>
                </c:pt>
                <c:pt idx="11">
                  <c:v>8.2899999999999991</c:v>
                </c:pt>
                <c:pt idx="12">
                  <c:v>8.69</c:v>
                </c:pt>
              </c:numCache>
            </c:numRef>
          </c:val>
          <c:smooth val="0"/>
          <c:extLst>
            <c:ext xmlns:c16="http://schemas.microsoft.com/office/drawing/2014/chart" uri="{C3380CC4-5D6E-409C-BE32-E72D297353CC}">
              <c16:uniqueId val="{00000001-3EDE-4894-8692-EFF5191D2DE3}"/>
            </c:ext>
          </c:extLst>
        </c:ser>
        <c:ser>
          <c:idx val="2"/>
          <c:order val="2"/>
          <c:tx>
            <c:strRef>
              <c:f>'Industrial Rents'!$D$1</c:f>
              <c:strCache>
                <c:ptCount val="1"/>
                <c:pt idx="0">
                  <c:v>UK</c:v>
                </c:pt>
              </c:strCache>
            </c:strRef>
          </c:tx>
          <c:spPr>
            <a:ln w="28575" cap="rnd">
              <a:solidFill>
                <a:schemeClr val="accent3"/>
              </a:solidFill>
              <a:round/>
            </a:ln>
            <a:effectLst/>
          </c:spPr>
          <c:marker>
            <c:symbol val="none"/>
          </c:marker>
          <c:cat>
            <c:numRef>
              <c:f>'Industrial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Rents'!$D$2:$D$14</c:f>
              <c:numCache>
                <c:formatCode>"£"#,##0.00</c:formatCode>
                <c:ptCount val="13"/>
                <c:pt idx="0">
                  <c:v>4.82</c:v>
                </c:pt>
                <c:pt idx="1">
                  <c:v>4.78</c:v>
                </c:pt>
                <c:pt idx="2">
                  <c:v>4.78</c:v>
                </c:pt>
                <c:pt idx="3">
                  <c:v>4.82</c:v>
                </c:pt>
                <c:pt idx="4">
                  <c:v>4.9000000000000004</c:v>
                </c:pt>
                <c:pt idx="5">
                  <c:v>5.05</c:v>
                </c:pt>
                <c:pt idx="6">
                  <c:v>5.29</c:v>
                </c:pt>
                <c:pt idx="7">
                  <c:v>5.6</c:v>
                </c:pt>
                <c:pt idx="8">
                  <c:v>5.96</c:v>
                </c:pt>
                <c:pt idx="9">
                  <c:v>6.32</c:v>
                </c:pt>
                <c:pt idx="10">
                  <c:v>6.67</c:v>
                </c:pt>
                <c:pt idx="11">
                  <c:v>7.04</c:v>
                </c:pt>
                <c:pt idx="12">
                  <c:v>7.45</c:v>
                </c:pt>
              </c:numCache>
            </c:numRef>
          </c:val>
          <c:smooth val="0"/>
          <c:extLst>
            <c:ext xmlns:c16="http://schemas.microsoft.com/office/drawing/2014/chart" uri="{C3380CC4-5D6E-409C-BE32-E72D297353CC}">
              <c16:uniqueId val="{00000002-3EDE-4894-8692-EFF5191D2DE3}"/>
            </c:ext>
          </c:extLst>
        </c:ser>
        <c:dLbls>
          <c:showLegendKey val="0"/>
          <c:showVal val="0"/>
          <c:showCatName val="0"/>
          <c:showSerName val="0"/>
          <c:showPercent val="0"/>
          <c:showBubbleSize val="0"/>
        </c:dLbls>
        <c:smooth val="0"/>
        <c:axId val="289667328"/>
        <c:axId val="298258432"/>
      </c:lineChart>
      <c:catAx>
        <c:axId val="28966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8258432"/>
        <c:crosses val="autoZero"/>
        <c:auto val="1"/>
        <c:lblAlgn val="ctr"/>
        <c:lblOffset val="100"/>
        <c:noMultiLvlLbl val="0"/>
      </c:catAx>
      <c:valAx>
        <c:axId val="298258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 per Sq ft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66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[Ind Comps.xlsx]Demand by Size!PivotTable1</c:name>
    <c:fmtId val="-1"/>
  </c:pivotSource>
  <c:chart>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'Demand by Size'!$B$3:$B$4</c:f>
              <c:strCache>
                <c:ptCount val="1"/>
                <c:pt idx="0">
                  <c:v>0-100 sqm</c:v>
                </c:pt>
              </c:strCache>
            </c:strRef>
          </c:tx>
          <c:spPr>
            <a:solidFill>
              <a:schemeClr val="accent1"/>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Size'!$B$5:$B$11</c:f>
              <c:numCache>
                <c:formatCode>_-* #,##0_-;\-* #,##0_-;_-* "-"??_-;_-@_-</c:formatCode>
                <c:ptCount val="6"/>
                <c:pt idx="0">
                  <c:v>925.77108881456741</c:v>
                </c:pt>
                <c:pt idx="1">
                  <c:v>357.20921590486813</c:v>
                </c:pt>
                <c:pt idx="2">
                  <c:v>1579.8030471943514</c:v>
                </c:pt>
                <c:pt idx="3">
                  <c:v>478.26086956521743</c:v>
                </c:pt>
                <c:pt idx="4">
                  <c:v>432.46005202526936</c:v>
                </c:pt>
                <c:pt idx="5">
                  <c:v>249.8141954663694</c:v>
                </c:pt>
              </c:numCache>
            </c:numRef>
          </c:val>
          <c:extLst>
            <c:ext xmlns:c16="http://schemas.microsoft.com/office/drawing/2014/chart" uri="{C3380CC4-5D6E-409C-BE32-E72D297353CC}">
              <c16:uniqueId val="{00000000-3062-4CA9-A07C-841FCFF9B63D}"/>
            </c:ext>
          </c:extLst>
        </c:ser>
        <c:ser>
          <c:idx val="1"/>
          <c:order val="1"/>
          <c:tx>
            <c:strRef>
              <c:f>'Demand by Size'!$C$3:$C$4</c:f>
              <c:strCache>
                <c:ptCount val="1"/>
                <c:pt idx="0">
                  <c:v>100 - 500 sqm</c:v>
                </c:pt>
              </c:strCache>
            </c:strRef>
          </c:tx>
          <c:spPr>
            <a:solidFill>
              <a:schemeClr val="accent2"/>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Size'!$C$5:$C$11</c:f>
              <c:numCache>
                <c:formatCode>_-* #,##0_-;\-* #,##0_-;_-* "-"??_-;_-@_-</c:formatCode>
                <c:ptCount val="6"/>
                <c:pt idx="0">
                  <c:v>2452.4340393905613</c:v>
                </c:pt>
                <c:pt idx="1">
                  <c:v>1849.0338164251207</c:v>
                </c:pt>
                <c:pt idx="2">
                  <c:v>3873.5600148643625</c:v>
                </c:pt>
                <c:pt idx="3">
                  <c:v>2808.1568190263847</c:v>
                </c:pt>
                <c:pt idx="4">
                  <c:v>6278.7997027127449</c:v>
                </c:pt>
                <c:pt idx="5">
                  <c:v>3196.6740988480119</c:v>
                </c:pt>
              </c:numCache>
            </c:numRef>
          </c:val>
          <c:extLst>
            <c:ext xmlns:c16="http://schemas.microsoft.com/office/drawing/2014/chart" uri="{C3380CC4-5D6E-409C-BE32-E72D297353CC}">
              <c16:uniqueId val="{00000001-3062-4CA9-A07C-841FCFF9B63D}"/>
            </c:ext>
          </c:extLst>
        </c:ser>
        <c:ser>
          <c:idx val="2"/>
          <c:order val="2"/>
          <c:tx>
            <c:strRef>
              <c:f>'Demand by Size'!$D$3:$D$4</c:f>
              <c:strCache>
                <c:ptCount val="1"/>
                <c:pt idx="0">
                  <c:v>500 - 2,000 sqm</c:v>
                </c:pt>
              </c:strCache>
            </c:strRef>
          </c:tx>
          <c:spPr>
            <a:solidFill>
              <a:schemeClr val="accent3"/>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Size'!$D$5:$D$11</c:f>
              <c:numCache>
                <c:formatCode>_-* #,##0_-;\-* #,##0_-;_-* "-"??_-;_-@_-</c:formatCode>
                <c:ptCount val="6"/>
                <c:pt idx="0">
                  <c:v>6312.98773690078</c:v>
                </c:pt>
                <c:pt idx="1">
                  <c:v>2832.4043106651807</c:v>
                </c:pt>
                <c:pt idx="2">
                  <c:v>5308.1568190263843</c:v>
                </c:pt>
                <c:pt idx="3">
                  <c:v>2651.9881085098477</c:v>
                </c:pt>
                <c:pt idx="4">
                  <c:v>3935.2471200297286</c:v>
                </c:pt>
                <c:pt idx="5">
                  <c:v>2485.7859531772579</c:v>
                </c:pt>
              </c:numCache>
            </c:numRef>
          </c:val>
          <c:extLst>
            <c:ext xmlns:c16="http://schemas.microsoft.com/office/drawing/2014/chart" uri="{C3380CC4-5D6E-409C-BE32-E72D297353CC}">
              <c16:uniqueId val="{00000002-3062-4CA9-A07C-841FCFF9B63D}"/>
            </c:ext>
          </c:extLst>
        </c:ser>
        <c:ser>
          <c:idx val="3"/>
          <c:order val="3"/>
          <c:tx>
            <c:strRef>
              <c:f>'Demand by Size'!$E$3:$E$4</c:f>
              <c:strCache>
                <c:ptCount val="1"/>
                <c:pt idx="0">
                  <c:v>2,000 - 5,000 sqm</c:v>
                </c:pt>
              </c:strCache>
            </c:strRef>
          </c:tx>
          <c:spPr>
            <a:solidFill>
              <a:schemeClr val="accent4"/>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Size'!$E$5:$E$11</c:f>
              <c:numCache>
                <c:formatCode>_-* #,##0_-;\-* #,##0_-;_-* "-"??_-;_-@_-</c:formatCode>
                <c:ptCount val="6"/>
                <c:pt idx="0">
                  <c:v>4677.536231884058</c:v>
                </c:pt>
                <c:pt idx="1">
                  <c:v>2096.060943887031</c:v>
                </c:pt>
                <c:pt idx="4">
                  <c:v>5632.1999256781874</c:v>
                </c:pt>
              </c:numCache>
            </c:numRef>
          </c:val>
          <c:extLst>
            <c:ext xmlns:c16="http://schemas.microsoft.com/office/drawing/2014/chart" uri="{C3380CC4-5D6E-409C-BE32-E72D297353CC}">
              <c16:uniqueId val="{00000003-3062-4CA9-A07C-841FCFF9B63D}"/>
            </c:ext>
          </c:extLst>
        </c:ser>
        <c:ser>
          <c:idx val="4"/>
          <c:order val="4"/>
          <c:tx>
            <c:strRef>
              <c:f>'Demand by Size'!$F$3:$F$4</c:f>
              <c:strCache>
                <c:ptCount val="1"/>
                <c:pt idx="0">
                  <c:v>5,000 - 10,000 sqm</c:v>
                </c:pt>
              </c:strCache>
            </c:strRef>
          </c:tx>
          <c:spPr>
            <a:solidFill>
              <a:schemeClr val="accent5"/>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Size'!$F$5:$F$11</c:f>
              <c:numCache>
                <c:formatCode>General</c:formatCode>
                <c:ptCount val="6"/>
                <c:pt idx="2" formatCode="_-* #,##0_-;\-* #,##0_-;_-* &quot;-&quot;??_-;_-@_-">
                  <c:v>7617.9858788554448</c:v>
                </c:pt>
              </c:numCache>
            </c:numRef>
          </c:val>
          <c:extLst>
            <c:ext xmlns:c16="http://schemas.microsoft.com/office/drawing/2014/chart" uri="{C3380CC4-5D6E-409C-BE32-E72D297353CC}">
              <c16:uniqueId val="{00000004-3062-4CA9-A07C-841FCFF9B63D}"/>
            </c:ext>
          </c:extLst>
        </c:ser>
        <c:ser>
          <c:idx val="5"/>
          <c:order val="5"/>
          <c:tx>
            <c:strRef>
              <c:f>'Demand by Size'!$G$3:$G$4</c:f>
              <c:strCache>
                <c:ptCount val="1"/>
                <c:pt idx="0">
                  <c:v>10,000+ sqm</c:v>
                </c:pt>
              </c:strCache>
            </c:strRef>
          </c:tx>
          <c:spPr>
            <a:solidFill>
              <a:schemeClr val="accent6"/>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Size'!$G$5:$G$11</c:f>
              <c:numCache>
                <c:formatCode>General</c:formatCode>
                <c:ptCount val="6"/>
                <c:pt idx="2" formatCode="_-* #,##0_-;\-* #,##0_-;_-* &quot;-&quot;??_-;_-@_-">
                  <c:v>11605.165366034931</c:v>
                </c:pt>
              </c:numCache>
            </c:numRef>
          </c:val>
          <c:extLst>
            <c:ext xmlns:c16="http://schemas.microsoft.com/office/drawing/2014/chart" uri="{C3380CC4-5D6E-409C-BE32-E72D297353CC}">
              <c16:uniqueId val="{00000005-3062-4CA9-A07C-841FCFF9B63D}"/>
            </c:ext>
          </c:extLst>
        </c:ser>
        <c:dLbls>
          <c:showLegendKey val="0"/>
          <c:showVal val="0"/>
          <c:showCatName val="0"/>
          <c:showSerName val="0"/>
          <c:showPercent val="0"/>
          <c:showBubbleSize val="0"/>
        </c:dLbls>
        <c:gapWidth val="150"/>
        <c:overlap val="100"/>
        <c:axId val="298376192"/>
        <c:axId val="298377984"/>
      </c:barChart>
      <c:catAx>
        <c:axId val="298376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8377984"/>
        <c:crosses val="autoZero"/>
        <c:auto val="1"/>
        <c:lblAlgn val="ctr"/>
        <c:lblOffset val="100"/>
        <c:noMultiLvlLbl val="0"/>
      </c:catAx>
      <c:valAx>
        <c:axId val="298377984"/>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83761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'Revised Baseline'!$A$24</c:f>
              <c:strCache>
                <c:ptCount val="1"/>
                <c:pt idx="0">
                  <c:v>Historic</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'Revised Baseline'!$B$23:$AV$23</c:f>
              <c:strCache>
                <c:ptCount val="47"/>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pt idx="29">
                  <c:v>2022</c:v>
                </c:pt>
                <c:pt idx="30">
                  <c:v>2023</c:v>
                </c:pt>
                <c:pt idx="31">
                  <c:v>2024</c:v>
                </c:pt>
                <c:pt idx="32">
                  <c:v>2025</c:v>
                </c:pt>
                <c:pt idx="33">
                  <c:v>2026</c:v>
                </c:pt>
                <c:pt idx="34">
                  <c:v>2027</c:v>
                </c:pt>
                <c:pt idx="35">
                  <c:v>2028</c:v>
                </c:pt>
                <c:pt idx="36">
                  <c:v>2029</c:v>
                </c:pt>
                <c:pt idx="37">
                  <c:v>2030</c:v>
                </c:pt>
                <c:pt idx="38">
                  <c:v>2031</c:v>
                </c:pt>
                <c:pt idx="39">
                  <c:v>2032</c:v>
                </c:pt>
                <c:pt idx="40">
                  <c:v>2033</c:v>
                </c:pt>
                <c:pt idx="41">
                  <c:v>2034</c:v>
                </c:pt>
                <c:pt idx="42">
                  <c:v>2035</c:v>
                </c:pt>
                <c:pt idx="43">
                  <c:v>2036</c:v>
                </c:pt>
                <c:pt idx="44">
                  <c:v>2037</c:v>
                </c:pt>
                <c:pt idx="45">
                  <c:v>2038</c:v>
                </c:pt>
                <c:pt idx="46">
                  <c:v>2039</c:v>
                </c:pt>
              </c:strCache>
            </c:strRef>
          </c:cat>
          <c:val>
            <c:numRef>
              <c:f>'Revised Baseline'!$B$24:$AV$24</c:f>
              <c:numCache>
                <c:formatCode>General</c:formatCode>
                <c:ptCount val="47"/>
                <c:pt idx="0" formatCode="0.0">
                  <c:v>53.6419</c:v>
                </c:pt>
                <c:pt idx="1">
                  <c:v>55.363930000000003</c:v>
                </c:pt>
                <c:pt idx="2">
                  <c:v>57.081229999999998</c:v>
                </c:pt>
                <c:pt idx="3">
                  <c:v>56.844380000000001</c:v>
                </c:pt>
                <c:pt idx="4">
                  <c:v>59.512180000000001</c:v>
                </c:pt>
                <c:pt idx="5">
                  <c:v>61.332940000000001</c:v>
                </c:pt>
                <c:pt idx="6">
                  <c:v>59.331490000000002</c:v>
                </c:pt>
                <c:pt idx="7">
                  <c:v>60.948790000000002</c:v>
                </c:pt>
                <c:pt idx="8">
                  <c:v>64.883870000000002</c:v>
                </c:pt>
                <c:pt idx="9">
                  <c:v>67.917019999999994</c:v>
                </c:pt>
                <c:pt idx="10">
                  <c:v>59.1539</c:v>
                </c:pt>
                <c:pt idx="11">
                  <c:v>60.062559999999998</c:v>
                </c:pt>
                <c:pt idx="12">
                  <c:v>61.815939999999998</c:v>
                </c:pt>
                <c:pt idx="13">
                  <c:v>62.334049999999998</c:v>
                </c:pt>
                <c:pt idx="14">
                  <c:v>62.791249999999998</c:v>
                </c:pt>
                <c:pt idx="15">
                  <c:v>60.932980000000001</c:v>
                </c:pt>
                <c:pt idx="16">
                  <c:v>66.633719999999997</c:v>
                </c:pt>
                <c:pt idx="17">
                  <c:v>70.660420000000002</c:v>
                </c:pt>
                <c:pt idx="18">
                  <c:v>69.772090000000006</c:v>
                </c:pt>
                <c:pt idx="19">
                  <c:v>69.817769999999996</c:v>
                </c:pt>
                <c:pt idx="20">
                  <c:v>72.694339999999997</c:v>
                </c:pt>
                <c:pt idx="21">
                  <c:v>72.428759999999997</c:v>
                </c:pt>
                <c:pt idx="22">
                  <c:v>72.888170000000002</c:v>
                </c:pt>
                <c:pt idx="23">
                  <c:v>73.66816</c:v>
                </c:pt>
                <c:pt idx="24">
                  <c:v>73.076229999999995</c:v>
                </c:pt>
                <c:pt idx="25">
                  <c:v>73.209569999999999</c:v>
                </c:pt>
                <c:pt idx="26">
                  <c:v>75.419439999999994</c:v>
                </c:pt>
                <c:pt idx="27">
                  <c:v>73.197860000000006</c:v>
                </c:pt>
                <c:pt idx="28">
                  <c:v>72.359690000000001</c:v>
                </c:pt>
              </c:numCache>
            </c:numRef>
          </c:val>
          <c:smooth val="0"/>
          <c:extLst>
            <c:ext xmlns:c16="http://schemas.microsoft.com/office/drawing/2014/chart" uri="{C3380CC4-5D6E-409C-BE32-E72D297353CC}">
              <c16:uniqueId val="{00000001-054E-4582-9B92-9E98F92333DE}"/>
            </c:ext>
          </c:extLst>
        </c:ser>
        <c:ser>
          <c:idx val="1"/>
          <c:order val="1"/>
          <c:tx>
            <c:strRef>
              <c:f>'Revised Baseline'!$A$25</c:f>
              <c:strCache>
                <c:ptCount val="1"/>
                <c:pt idx="0">
                  <c:v>Projected</c:v>
                </c:pt>
              </c:strCache>
            </c:strRef>
          </c:tx>
          <c:spPr>
            <a:ln w="28575" cap="rnd">
              <a:solidFill>
                <a:schemeClr val="accent2"/>
              </a:solidFill>
              <a:round/>
            </a:ln>
            <a:effectLst/>
          </c:spPr>
          <c:marker>
            <c:symbol val="none"/>
          </c:marker>
          <c:cat>
            <c:strRef>
              <c:f>'Revised Baseline'!$B$23:$AV$23</c:f>
              <c:strCache>
                <c:ptCount val="47"/>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pt idx="29">
                  <c:v>2022</c:v>
                </c:pt>
                <c:pt idx="30">
                  <c:v>2023</c:v>
                </c:pt>
                <c:pt idx="31">
                  <c:v>2024</c:v>
                </c:pt>
                <c:pt idx="32">
                  <c:v>2025</c:v>
                </c:pt>
                <c:pt idx="33">
                  <c:v>2026</c:v>
                </c:pt>
                <c:pt idx="34">
                  <c:v>2027</c:v>
                </c:pt>
                <c:pt idx="35">
                  <c:v>2028</c:v>
                </c:pt>
                <c:pt idx="36">
                  <c:v>2029</c:v>
                </c:pt>
                <c:pt idx="37">
                  <c:v>2030</c:v>
                </c:pt>
                <c:pt idx="38">
                  <c:v>2031</c:v>
                </c:pt>
                <c:pt idx="39">
                  <c:v>2032</c:v>
                </c:pt>
                <c:pt idx="40">
                  <c:v>2033</c:v>
                </c:pt>
                <c:pt idx="41">
                  <c:v>2034</c:v>
                </c:pt>
                <c:pt idx="42">
                  <c:v>2035</c:v>
                </c:pt>
                <c:pt idx="43">
                  <c:v>2036</c:v>
                </c:pt>
                <c:pt idx="44">
                  <c:v>2037</c:v>
                </c:pt>
                <c:pt idx="45">
                  <c:v>2038</c:v>
                </c:pt>
                <c:pt idx="46">
                  <c:v>2039</c:v>
                </c:pt>
              </c:strCache>
            </c:strRef>
          </c:cat>
          <c:val>
            <c:numRef>
              <c:f>'Revised Baseline'!$B$25:$AV$25</c:f>
              <c:numCache>
                <c:formatCode>General</c:formatCode>
                <c:ptCount val="47"/>
                <c:pt idx="28">
                  <c:v>72.359690000000001</c:v>
                </c:pt>
                <c:pt idx="29">
                  <c:v>73.208010000000002</c:v>
                </c:pt>
                <c:pt idx="30">
                  <c:v>74.20138</c:v>
                </c:pt>
                <c:pt idx="31">
                  <c:v>74.760120000000001</c:v>
                </c:pt>
                <c:pt idx="32">
                  <c:v>75.289150000000006</c:v>
                </c:pt>
                <c:pt idx="33">
                  <c:v>75.723190000000002</c:v>
                </c:pt>
                <c:pt idx="34">
                  <c:v>75.957170000000005</c:v>
                </c:pt>
                <c:pt idx="35">
                  <c:v>76.150589999999994</c:v>
                </c:pt>
                <c:pt idx="36">
                  <c:v>76.348389999999995</c:v>
                </c:pt>
                <c:pt idx="37">
                  <c:v>76.549390000000002</c:v>
                </c:pt>
                <c:pt idx="38">
                  <c:v>76.745289999999997</c:v>
                </c:pt>
                <c:pt idx="39">
                  <c:v>76.932580000000002</c:v>
                </c:pt>
                <c:pt idx="40">
                  <c:v>77.114580000000004</c:v>
                </c:pt>
                <c:pt idx="41">
                  <c:v>77.293000000000006</c:v>
                </c:pt>
                <c:pt idx="42">
                  <c:v>77.467020000000005</c:v>
                </c:pt>
                <c:pt idx="43">
                  <c:v>77.636099999999999</c:v>
                </c:pt>
                <c:pt idx="44">
                  <c:v>77.805289999999999</c:v>
                </c:pt>
                <c:pt idx="45">
                  <c:v>77.965209999999999</c:v>
                </c:pt>
                <c:pt idx="46">
                  <c:v>77.965209999999999</c:v>
                </c:pt>
              </c:numCache>
            </c:numRef>
          </c:val>
          <c:smooth val="0"/>
          <c:extLst>
            <c:ext xmlns:c16="http://schemas.microsoft.com/office/drawing/2014/chart" uri="{C3380CC4-5D6E-409C-BE32-E72D297353CC}">
              <c16:uniqueId val="{00000002-054E-4582-9B92-9E98F92333DE}"/>
            </c:ext>
          </c:extLst>
        </c:ser>
        <c:dLbls>
          <c:showLegendKey val="0"/>
          <c:showVal val="0"/>
          <c:showCatName val="0"/>
          <c:showSerName val="0"/>
          <c:showPercent val="0"/>
          <c:showBubbleSize val="0"/>
        </c:dLbls>
        <c:smooth val="0"/>
        <c:axId val="1375777103"/>
        <c:axId val="1375792079"/>
      </c:lineChart>
      <c:catAx>
        <c:axId val="1375777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375792079"/>
        <c:crosses val="autoZero"/>
        <c:auto val="1"/>
        <c:lblAlgn val="ctr"/>
        <c:lblOffset val="100"/>
        <c:noMultiLvlLbl val="0"/>
      </c:catAx>
      <c:valAx>
        <c:axId val="1375792079"/>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Jobs (thousands)</a:t>
                </a:r>
              </a:p>
            </c:rich>
          </c:tx>
          <c:layout>
            <c:manualLayout>
              <c:xMode val="edge"/>
              <c:yMode val="edge"/>
              <c:x val="0"/>
              <c:y val="0.2608860221028049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375777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8"/>
          <c:order val="0"/>
          <c:tx>
            <c:strRef>
              <c:f>Analysis!$I$2</c:f>
              <c:strCache>
                <c:ptCount val="1"/>
                <c:pt idx="0">
                  <c:v>Baseline</c:v>
                </c:pt>
              </c:strCache>
            </c:strRef>
          </c:tx>
          <c:spPr>
            <a:solidFill>
              <a:schemeClr val="accent2"/>
            </a:solidFill>
            <a:ln>
              <a:noFill/>
            </a:ln>
            <a:effectLst/>
          </c:spPr>
          <c:invertIfNegative val="0"/>
          <c:cat>
            <c:strRef>
              <c:f>Analysis!$A$3:$A$20</c:f>
              <c:strCache>
                <c:ptCount val="18"/>
                <c:pt idx="0">
                  <c:v>Agriculture &amp; Mining</c:v>
                </c:pt>
                <c:pt idx="1">
                  <c:v>Manufacturing</c:v>
                </c:pt>
                <c:pt idx="2">
                  <c:v>Utilities</c:v>
                </c:pt>
                <c:pt idx="3">
                  <c:v>Construction</c:v>
                </c:pt>
                <c:pt idx="4">
                  <c:v>Wholesale and Retail</c:v>
                </c:pt>
                <c:pt idx="5">
                  <c:v>Transport &amp; Warehouse </c:v>
                </c:pt>
                <c:pt idx="6">
                  <c:v>Hospitality</c:v>
                </c:pt>
                <c:pt idx="7">
                  <c:v>Media and IT</c:v>
                </c:pt>
                <c:pt idx="8">
                  <c:v>Financial and insurance </c:v>
                </c:pt>
                <c:pt idx="9">
                  <c:v>Real estate activities</c:v>
                </c:pt>
                <c:pt idx="10">
                  <c:v>PST</c:v>
                </c:pt>
                <c:pt idx="11">
                  <c:v>Business Support Services</c:v>
                </c:pt>
                <c:pt idx="12">
                  <c:v>Public Admin &amp; Defence</c:v>
                </c:pt>
                <c:pt idx="13">
                  <c:v>Education</c:v>
                </c:pt>
                <c:pt idx="14">
                  <c:v>Health</c:v>
                </c:pt>
                <c:pt idx="15">
                  <c:v>Creative &amp; Recreation</c:v>
                </c:pt>
                <c:pt idx="16">
                  <c:v>Other</c:v>
                </c:pt>
                <c:pt idx="17">
                  <c:v>Total</c:v>
                </c:pt>
              </c:strCache>
            </c:strRef>
          </c:cat>
          <c:val>
            <c:numRef>
              <c:f>Analysis!$I$3:$I$19</c:f>
              <c:numCache>
                <c:formatCode>0</c:formatCode>
                <c:ptCount val="17"/>
                <c:pt idx="0">
                  <c:v>-494.43307000000038</c:v>
                </c:pt>
                <c:pt idx="1">
                  <c:v>-2108.0900000000006</c:v>
                </c:pt>
                <c:pt idx="2">
                  <c:v>-25.740550000000002</c:v>
                </c:pt>
                <c:pt idx="3">
                  <c:v>555.20999999999981</c:v>
                </c:pt>
                <c:pt idx="4">
                  <c:v>221.31899999999939</c:v>
                </c:pt>
                <c:pt idx="5">
                  <c:v>-50.530000000000186</c:v>
                </c:pt>
                <c:pt idx="6">
                  <c:v>591.79099999999971</c:v>
                </c:pt>
                <c:pt idx="7">
                  <c:v>226.14699999999988</c:v>
                </c:pt>
                <c:pt idx="8">
                  <c:v>4.6579999999998289</c:v>
                </c:pt>
                <c:pt idx="9">
                  <c:v>308.72500000000036</c:v>
                </c:pt>
                <c:pt idx="10">
                  <c:v>1236.1489999999992</c:v>
                </c:pt>
                <c:pt idx="11">
                  <c:v>1468.223</c:v>
                </c:pt>
                <c:pt idx="12">
                  <c:v>-136.03499999999968</c:v>
                </c:pt>
                <c:pt idx="13">
                  <c:v>415.36999999999932</c:v>
                </c:pt>
                <c:pt idx="14">
                  <c:v>2476.3699999999994</c:v>
                </c:pt>
                <c:pt idx="15">
                  <c:v>744.33299999999974</c:v>
                </c:pt>
                <c:pt idx="16">
                  <c:v>327.44700000000029</c:v>
                </c:pt>
              </c:numCache>
            </c:numRef>
          </c:val>
          <c:extLst>
            <c:ext xmlns:c16="http://schemas.microsoft.com/office/drawing/2014/chart" uri="{C3380CC4-5D6E-409C-BE32-E72D297353CC}">
              <c16:uniqueId val="{00000000-C382-4FE1-B578-3A9DD2E2224B}"/>
            </c:ext>
          </c:extLst>
        </c:ser>
        <c:ser>
          <c:idx val="9"/>
          <c:order val="1"/>
          <c:tx>
            <c:strRef>
              <c:f>Analysis!$K$2</c:f>
              <c:strCache>
                <c:ptCount val="1"/>
                <c:pt idx="0">
                  <c:v>Growth</c:v>
                </c:pt>
              </c:strCache>
            </c:strRef>
          </c:tx>
          <c:spPr>
            <a:solidFill>
              <a:srgbClr val="002060"/>
            </a:solidFill>
            <a:ln>
              <a:noFill/>
            </a:ln>
            <a:effectLst/>
          </c:spPr>
          <c:invertIfNegative val="0"/>
          <c:cat>
            <c:strRef>
              <c:f>Analysis!$A$3:$A$20</c:f>
              <c:strCache>
                <c:ptCount val="18"/>
                <c:pt idx="0">
                  <c:v>Agriculture &amp; Mining</c:v>
                </c:pt>
                <c:pt idx="1">
                  <c:v>Manufacturing</c:v>
                </c:pt>
                <c:pt idx="2">
                  <c:v>Utilities</c:v>
                </c:pt>
                <c:pt idx="3">
                  <c:v>Construction</c:v>
                </c:pt>
                <c:pt idx="4">
                  <c:v>Wholesale and Retail</c:v>
                </c:pt>
                <c:pt idx="5">
                  <c:v>Transport &amp; Warehouse </c:v>
                </c:pt>
                <c:pt idx="6">
                  <c:v>Hospitality</c:v>
                </c:pt>
                <c:pt idx="7">
                  <c:v>Media and IT</c:v>
                </c:pt>
                <c:pt idx="8">
                  <c:v>Financial and insurance </c:v>
                </c:pt>
                <c:pt idx="9">
                  <c:v>Real estate activities</c:v>
                </c:pt>
                <c:pt idx="10">
                  <c:v>PST</c:v>
                </c:pt>
                <c:pt idx="11">
                  <c:v>Business Support Services</c:v>
                </c:pt>
                <c:pt idx="12">
                  <c:v>Public Admin &amp; Defence</c:v>
                </c:pt>
                <c:pt idx="13">
                  <c:v>Education</c:v>
                </c:pt>
                <c:pt idx="14">
                  <c:v>Health</c:v>
                </c:pt>
                <c:pt idx="15">
                  <c:v>Creative &amp; Recreation</c:v>
                </c:pt>
                <c:pt idx="16">
                  <c:v>Other</c:v>
                </c:pt>
                <c:pt idx="17">
                  <c:v>Total</c:v>
                </c:pt>
              </c:strCache>
            </c:strRef>
          </c:cat>
          <c:val>
            <c:numRef>
              <c:f>Analysis!$K$3:$K$19</c:f>
              <c:numCache>
                <c:formatCode>0</c:formatCode>
                <c:ptCount val="17"/>
                <c:pt idx="0">
                  <c:v>0</c:v>
                </c:pt>
                <c:pt idx="1">
                  <c:v>0</c:v>
                </c:pt>
                <c:pt idx="2">
                  <c:v>-25.740550000000002</c:v>
                </c:pt>
                <c:pt idx="3">
                  <c:v>555.20999999999981</c:v>
                </c:pt>
                <c:pt idx="4">
                  <c:v>221.31899999999939</c:v>
                </c:pt>
                <c:pt idx="5">
                  <c:v>285.00000000000057</c:v>
                </c:pt>
                <c:pt idx="6">
                  <c:v>1440.0000000000014</c:v>
                </c:pt>
                <c:pt idx="7">
                  <c:v>226.14699999999988</c:v>
                </c:pt>
                <c:pt idx="8">
                  <c:v>4.6579999999998289</c:v>
                </c:pt>
                <c:pt idx="9">
                  <c:v>308.72500000000036</c:v>
                </c:pt>
                <c:pt idx="10">
                  <c:v>1236.1489999999992</c:v>
                </c:pt>
                <c:pt idx="11">
                  <c:v>1468.223</c:v>
                </c:pt>
                <c:pt idx="12">
                  <c:v>-136.03499999999968</c:v>
                </c:pt>
                <c:pt idx="13">
                  <c:v>669.99999999999284</c:v>
                </c:pt>
                <c:pt idx="14">
                  <c:v>2476.3699999999994</c:v>
                </c:pt>
                <c:pt idx="15">
                  <c:v>744.33299999999974</c:v>
                </c:pt>
                <c:pt idx="16">
                  <c:v>327.44700000000029</c:v>
                </c:pt>
              </c:numCache>
            </c:numRef>
          </c:val>
          <c:extLst>
            <c:ext xmlns:c16="http://schemas.microsoft.com/office/drawing/2014/chart" uri="{C3380CC4-5D6E-409C-BE32-E72D297353CC}">
              <c16:uniqueId val="{00000001-C382-4FE1-B578-3A9DD2E2224B}"/>
            </c:ext>
          </c:extLst>
        </c:ser>
        <c:dLbls>
          <c:showLegendKey val="0"/>
          <c:showVal val="0"/>
          <c:showCatName val="0"/>
          <c:showSerName val="0"/>
          <c:showPercent val="0"/>
          <c:showBubbleSize val="0"/>
        </c:dLbls>
        <c:gapWidth val="219"/>
        <c:overlap val="-27"/>
        <c:axId val="501543839"/>
        <c:axId val="501544671"/>
      </c:barChart>
      <c:catAx>
        <c:axId val="501543839"/>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501544671"/>
        <c:crosses val="autoZero"/>
        <c:auto val="1"/>
        <c:lblAlgn val="ctr"/>
        <c:lblOffset val="100"/>
        <c:noMultiLvlLbl val="0"/>
      </c:catAx>
      <c:valAx>
        <c:axId val="5015446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5015438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06036745406825"/>
          <c:y val="2.5428331875182269E-2"/>
          <c:w val="0.76838407699037625"/>
          <c:h val="0.6902941819772529"/>
        </c:manualLayout>
      </c:layout>
      <c:barChart>
        <c:barDir val="col"/>
        <c:grouping val="clustered"/>
        <c:varyColors val="0"/>
        <c:ser>
          <c:idx val="0"/>
          <c:order val="0"/>
          <c:tx>
            <c:strRef>
              <c:f>Analysis!$A$28</c:f>
              <c:strCache>
                <c:ptCount val="1"/>
                <c:pt idx="0">
                  <c:v>Chichester</c:v>
                </c:pt>
              </c:strCache>
            </c:strRef>
          </c:tx>
          <c:spPr>
            <a:solidFill>
              <a:srgbClr val="5B9BD5"/>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Analysis!$B$28:$H$28</c:f>
              <c:numCache>
                <c:formatCode>_-"£"* #,##0_-;\-"£"* #,##0_-;_-"£"* "-"??_-;_-@_-</c:formatCode>
                <c:ptCount val="7"/>
                <c:pt idx="0">
                  <c:v>390</c:v>
                </c:pt>
                <c:pt idx="1">
                  <c:v>550</c:v>
                </c:pt>
                <c:pt idx="2">
                  <c:v>650</c:v>
                </c:pt>
                <c:pt idx="3">
                  <c:v>825</c:v>
                </c:pt>
                <c:pt idx="4">
                  <c:v>975</c:v>
                </c:pt>
                <c:pt idx="5">
                  <c:v>1360</c:v>
                </c:pt>
                <c:pt idx="6">
                  <c:v>775</c:v>
                </c:pt>
              </c:numCache>
            </c:numRef>
          </c:val>
          <c:extLst>
            <c:ext xmlns:c16="http://schemas.microsoft.com/office/drawing/2014/chart" uri="{C3380CC4-5D6E-409C-BE32-E72D297353CC}">
              <c16:uniqueId val="{00000000-0AA8-46B4-B858-4F010ED99783}"/>
            </c:ext>
          </c:extLst>
        </c:ser>
        <c:ser>
          <c:idx val="1"/>
          <c:order val="1"/>
          <c:tx>
            <c:strRef>
              <c:f>Analysis!$A$29</c:f>
              <c:strCache>
                <c:ptCount val="1"/>
                <c:pt idx="0">
                  <c:v>South East</c:v>
                </c:pt>
              </c:strCache>
            </c:strRef>
          </c:tx>
          <c:spPr>
            <a:solidFill>
              <a:srgbClr val="ED7D31"/>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Analysis!$B$29:$H$29</c:f>
              <c:numCache>
                <c:formatCode>_-"£"* #,##0_-;\-"£"* #,##0_-;_-"£"* "-"??_-;_-@_-</c:formatCode>
                <c:ptCount val="7"/>
                <c:pt idx="0">
                  <c:v>400</c:v>
                </c:pt>
                <c:pt idx="1">
                  <c:v>520</c:v>
                </c:pt>
                <c:pt idx="2">
                  <c:v>650</c:v>
                </c:pt>
                <c:pt idx="3">
                  <c:v>795</c:v>
                </c:pt>
                <c:pt idx="4">
                  <c:v>950</c:v>
                </c:pt>
                <c:pt idx="5">
                  <c:v>1350</c:v>
                </c:pt>
                <c:pt idx="6">
                  <c:v>750</c:v>
                </c:pt>
              </c:numCache>
            </c:numRef>
          </c:val>
          <c:extLst>
            <c:ext xmlns:c16="http://schemas.microsoft.com/office/drawing/2014/chart" uri="{C3380CC4-5D6E-409C-BE32-E72D297353CC}">
              <c16:uniqueId val="{00000001-0AA8-46B4-B858-4F010ED99783}"/>
            </c:ext>
          </c:extLst>
        </c:ser>
        <c:ser>
          <c:idx val="2"/>
          <c:order val="2"/>
          <c:tx>
            <c:strRef>
              <c:f>Analysis!$A$30</c:f>
              <c:strCache>
                <c:ptCount val="1"/>
                <c:pt idx="0">
                  <c:v>England</c:v>
                </c:pt>
              </c:strCache>
            </c:strRef>
          </c:tx>
          <c:spPr>
            <a:solidFill>
              <a:srgbClr val="A5A5A5"/>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Analysis!$B$30:$H$30</c:f>
              <c:numCache>
                <c:formatCode>_-"£"* #,##0_-;\-"£"* #,##0_-;_-"£"* "-"??_-;_-@_-</c:formatCode>
                <c:ptCount val="7"/>
                <c:pt idx="0">
                  <c:v>368</c:v>
                </c:pt>
                <c:pt idx="1">
                  <c:v>450</c:v>
                </c:pt>
                <c:pt idx="2">
                  <c:v>500</c:v>
                </c:pt>
                <c:pt idx="3">
                  <c:v>575</c:v>
                </c:pt>
                <c:pt idx="4">
                  <c:v>650</c:v>
                </c:pt>
                <c:pt idx="5">
                  <c:v>975</c:v>
                </c:pt>
                <c:pt idx="6">
                  <c:v>565</c:v>
                </c:pt>
              </c:numCache>
            </c:numRef>
          </c:val>
          <c:extLst>
            <c:ext xmlns:c16="http://schemas.microsoft.com/office/drawing/2014/chart" uri="{C3380CC4-5D6E-409C-BE32-E72D297353CC}">
              <c16:uniqueId val="{00000002-0AA8-46B4-B858-4F010ED99783}"/>
            </c:ext>
          </c:extLst>
        </c:ser>
        <c:dLbls>
          <c:showLegendKey val="0"/>
          <c:showVal val="0"/>
          <c:showCatName val="0"/>
          <c:showSerName val="0"/>
          <c:showPercent val="0"/>
          <c:showBubbleSize val="0"/>
        </c:dLbls>
        <c:gapWidth val="99"/>
        <c:overlap val="-17"/>
        <c:axId val="154675840"/>
        <c:axId val="154677632"/>
      </c:barChart>
      <c:catAx>
        <c:axId val="154675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a:pPr>
            <a:endParaRPr lang="en-US"/>
          </a:p>
        </c:txPr>
        <c:crossAx val="154677632"/>
        <c:crosses val="autoZero"/>
        <c:auto val="1"/>
        <c:lblAlgn val="ctr"/>
        <c:lblOffset val="100"/>
        <c:noMultiLvlLbl val="0"/>
      </c:catAx>
      <c:valAx>
        <c:axId val="154677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a:t>£ per Calender Month</a:t>
                </a:r>
              </a:p>
            </c:rich>
          </c:tx>
          <c:overlay val="0"/>
          <c:spPr>
            <a:noFill/>
            <a:ln w="25400">
              <a:noFill/>
            </a:ln>
          </c:spPr>
        </c:title>
        <c:numFmt formatCode="_-&quot;£&quot;* #,##0_-;\-&quot;£&quot;* #,##0_-;_-&quot;£&quot;* &quot;-&quot;??_-;_-@_-" sourceLinked="1"/>
        <c:majorTickMark val="none"/>
        <c:minorTickMark val="none"/>
        <c:tickLblPos val="nextTo"/>
        <c:spPr>
          <a:ln w="6350">
            <a:noFill/>
          </a:ln>
        </c:spPr>
        <c:txPr>
          <a:bodyPr rot="0" vert="horz"/>
          <a:lstStyle/>
          <a:p>
            <a:pPr>
              <a:defRPr/>
            </a:pPr>
            <a:endParaRPr lang="en-US"/>
          </a:p>
        </c:txPr>
        <c:crossAx val="1546758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Arial Narrow" panose="020B0606020202030204" pitchFamily="34" charset="0"/>
          <a:ea typeface="Calibri"/>
          <a:cs typeface="Calibri"/>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88326669235125"/>
          <c:y val="4.0993910891549676E-2"/>
          <c:w val="0.87881854101291257"/>
          <c:h val="0.70110062918312099"/>
        </c:manualLayout>
      </c:layout>
      <c:lineChart>
        <c:grouping val="standard"/>
        <c:varyColors val="0"/>
        <c:ser>
          <c:idx val="4"/>
          <c:order val="0"/>
          <c:tx>
            <c:strRef>
              <c:f>Dashboard!$A$14</c:f>
              <c:strCache>
                <c:ptCount val="1"/>
                <c:pt idx="0">
                  <c:v>Chichester</c:v>
                </c:pt>
              </c:strCache>
            </c:strRef>
          </c:tx>
          <c:spPr>
            <a:ln w="38100">
              <a:solidFill>
                <a:schemeClr val="accent1"/>
              </a:solidFill>
            </a:ln>
          </c:spPr>
          <c:marker>
            <c:symbol val="none"/>
          </c:marker>
          <c:cat>
            <c:numRef>
              <c:f>Dashboard!$B$13:$U$13</c:f>
              <c:numCache>
                <c:formatCode>mmm\-yy</c:formatCode>
                <c:ptCount val="20"/>
                <c:pt idx="0">
                  <c:v>40787</c:v>
                </c:pt>
                <c:pt idx="1">
                  <c:v>40969</c:v>
                </c:pt>
                <c:pt idx="2">
                  <c:v>41153</c:v>
                </c:pt>
                <c:pt idx="3">
                  <c:v>41334</c:v>
                </c:pt>
                <c:pt idx="4">
                  <c:v>41518</c:v>
                </c:pt>
                <c:pt idx="5">
                  <c:v>41699</c:v>
                </c:pt>
                <c:pt idx="6">
                  <c:v>41883</c:v>
                </c:pt>
                <c:pt idx="7">
                  <c:v>42064</c:v>
                </c:pt>
                <c:pt idx="8">
                  <c:v>42248</c:v>
                </c:pt>
                <c:pt idx="9">
                  <c:v>42430</c:v>
                </c:pt>
                <c:pt idx="10">
                  <c:v>42614</c:v>
                </c:pt>
                <c:pt idx="11">
                  <c:v>42795</c:v>
                </c:pt>
                <c:pt idx="12">
                  <c:v>42979</c:v>
                </c:pt>
                <c:pt idx="13">
                  <c:v>43160</c:v>
                </c:pt>
                <c:pt idx="14">
                  <c:v>43344</c:v>
                </c:pt>
                <c:pt idx="15">
                  <c:v>43525</c:v>
                </c:pt>
                <c:pt idx="16">
                  <c:v>43709</c:v>
                </c:pt>
                <c:pt idx="17">
                  <c:v>43891</c:v>
                </c:pt>
                <c:pt idx="18">
                  <c:v>44075</c:v>
                </c:pt>
                <c:pt idx="19">
                  <c:v>44256</c:v>
                </c:pt>
              </c:numCache>
            </c:numRef>
          </c:cat>
          <c:val>
            <c:numRef>
              <c:f>Dashboard!$B$14:$U$14</c:f>
              <c:numCache>
                <c:formatCode>0.00</c:formatCode>
                <c:ptCount val="20"/>
                <c:pt idx="0">
                  <c:v>0.88235294117647056</c:v>
                </c:pt>
                <c:pt idx="1">
                  <c:v>0.91176470588235292</c:v>
                </c:pt>
                <c:pt idx="2">
                  <c:v>0.8917647058823529</c:v>
                </c:pt>
                <c:pt idx="3">
                  <c:v>0.91176470588235292</c:v>
                </c:pt>
                <c:pt idx="4">
                  <c:v>0.94117647058823528</c:v>
                </c:pt>
                <c:pt idx="5">
                  <c:v>0.94117647058823528</c:v>
                </c:pt>
                <c:pt idx="6">
                  <c:v>0.97058823529411764</c:v>
                </c:pt>
                <c:pt idx="7">
                  <c:v>1</c:v>
                </c:pt>
                <c:pt idx="8">
                  <c:v>1</c:v>
                </c:pt>
                <c:pt idx="9">
                  <c:v>1.0294117647058822</c:v>
                </c:pt>
                <c:pt idx="10">
                  <c:v>1.0529411764705883</c:v>
                </c:pt>
                <c:pt idx="11">
                  <c:v>1.0294117647058822</c:v>
                </c:pt>
                <c:pt idx="12">
                  <c:v>1.0294117647058822</c:v>
                </c:pt>
                <c:pt idx="13">
                  <c:v>1.0294117647058822</c:v>
                </c:pt>
                <c:pt idx="14">
                  <c:v>1.0011764705882353</c:v>
                </c:pt>
                <c:pt idx="15">
                  <c:v>1.0294117647058822</c:v>
                </c:pt>
                <c:pt idx="16">
                  <c:v>1.0529411764705883</c:v>
                </c:pt>
                <c:pt idx="17">
                  <c:v>1.0529411764705883</c:v>
                </c:pt>
                <c:pt idx="18">
                  <c:v>1.0529411764705883</c:v>
                </c:pt>
                <c:pt idx="19">
                  <c:v>1.0588235294117647</c:v>
                </c:pt>
              </c:numCache>
            </c:numRef>
          </c:val>
          <c:smooth val="1"/>
          <c:extLst>
            <c:ext xmlns:c16="http://schemas.microsoft.com/office/drawing/2014/chart" uri="{C3380CC4-5D6E-409C-BE32-E72D297353CC}">
              <c16:uniqueId val="{00000000-F6D0-4E7F-B52C-9C866676BFEE}"/>
            </c:ext>
          </c:extLst>
        </c:ser>
        <c:ser>
          <c:idx val="5"/>
          <c:order val="1"/>
          <c:tx>
            <c:strRef>
              <c:f>Dashboard!$A$15</c:f>
              <c:strCache>
                <c:ptCount val="1"/>
                <c:pt idx="0">
                  <c:v>South East</c:v>
                </c:pt>
              </c:strCache>
            </c:strRef>
          </c:tx>
          <c:spPr>
            <a:ln>
              <a:solidFill>
                <a:schemeClr val="accent5">
                  <a:lumMod val="50000"/>
                </a:schemeClr>
              </a:solidFill>
            </a:ln>
          </c:spPr>
          <c:marker>
            <c:symbol val="none"/>
          </c:marker>
          <c:cat>
            <c:numRef>
              <c:f>Dashboard!$B$13:$U$13</c:f>
              <c:numCache>
                <c:formatCode>mmm\-yy</c:formatCode>
                <c:ptCount val="20"/>
                <c:pt idx="0">
                  <c:v>40787</c:v>
                </c:pt>
                <c:pt idx="1">
                  <c:v>40969</c:v>
                </c:pt>
                <c:pt idx="2">
                  <c:v>41153</c:v>
                </c:pt>
                <c:pt idx="3">
                  <c:v>41334</c:v>
                </c:pt>
                <c:pt idx="4">
                  <c:v>41518</c:v>
                </c:pt>
                <c:pt idx="5">
                  <c:v>41699</c:v>
                </c:pt>
                <c:pt idx="6">
                  <c:v>41883</c:v>
                </c:pt>
                <c:pt idx="7">
                  <c:v>42064</c:v>
                </c:pt>
                <c:pt idx="8">
                  <c:v>42248</c:v>
                </c:pt>
                <c:pt idx="9">
                  <c:v>42430</c:v>
                </c:pt>
                <c:pt idx="10">
                  <c:v>42614</c:v>
                </c:pt>
                <c:pt idx="11">
                  <c:v>42795</c:v>
                </c:pt>
                <c:pt idx="12">
                  <c:v>42979</c:v>
                </c:pt>
                <c:pt idx="13">
                  <c:v>43160</c:v>
                </c:pt>
                <c:pt idx="14">
                  <c:v>43344</c:v>
                </c:pt>
                <c:pt idx="15">
                  <c:v>43525</c:v>
                </c:pt>
                <c:pt idx="16">
                  <c:v>43709</c:v>
                </c:pt>
                <c:pt idx="17">
                  <c:v>43891</c:v>
                </c:pt>
                <c:pt idx="18">
                  <c:v>44075</c:v>
                </c:pt>
                <c:pt idx="19">
                  <c:v>44256</c:v>
                </c:pt>
              </c:numCache>
            </c:numRef>
          </c:cat>
          <c:val>
            <c:numRef>
              <c:f>Dashboard!$B$15:$U$15</c:f>
              <c:numCache>
                <c:formatCode>0.00</c:formatCode>
                <c:ptCount val="20"/>
                <c:pt idx="0">
                  <c:v>0.89858793324775355</c:v>
                </c:pt>
                <c:pt idx="1">
                  <c:v>0.93068035943517335</c:v>
                </c:pt>
                <c:pt idx="2">
                  <c:v>0.93068035943517335</c:v>
                </c:pt>
                <c:pt idx="3">
                  <c:v>0.96277278562259305</c:v>
                </c:pt>
                <c:pt idx="4">
                  <c:v>0.96277278562259305</c:v>
                </c:pt>
                <c:pt idx="5">
                  <c:v>0.96277278562259305</c:v>
                </c:pt>
                <c:pt idx="6">
                  <c:v>0.97560975609756095</c:v>
                </c:pt>
                <c:pt idx="7">
                  <c:v>1</c:v>
                </c:pt>
                <c:pt idx="8">
                  <c:v>1.0269576379974326</c:v>
                </c:pt>
                <c:pt idx="9">
                  <c:v>1.0847240051347882</c:v>
                </c:pt>
                <c:pt idx="10">
                  <c:v>1.0911424903722722</c:v>
                </c:pt>
                <c:pt idx="11">
                  <c:v>1.123234916559692</c:v>
                </c:pt>
                <c:pt idx="12">
                  <c:v>1.123234916559692</c:v>
                </c:pt>
                <c:pt idx="13">
                  <c:v>1.123234916559692</c:v>
                </c:pt>
                <c:pt idx="14">
                  <c:v>1.123234916559692</c:v>
                </c:pt>
                <c:pt idx="15">
                  <c:v>1.123234916559692</c:v>
                </c:pt>
                <c:pt idx="16">
                  <c:v>1.1489088575096278</c:v>
                </c:pt>
                <c:pt idx="17">
                  <c:v>1.1553273427471116</c:v>
                </c:pt>
                <c:pt idx="18">
                  <c:v>1.1489088575096278</c:v>
                </c:pt>
                <c:pt idx="19">
                  <c:v>1.1553273427471116</c:v>
                </c:pt>
              </c:numCache>
            </c:numRef>
          </c:val>
          <c:smooth val="1"/>
          <c:extLst>
            <c:ext xmlns:c16="http://schemas.microsoft.com/office/drawing/2014/chart" uri="{C3380CC4-5D6E-409C-BE32-E72D297353CC}">
              <c16:uniqueId val="{00000001-F6D0-4E7F-B52C-9C866676BFEE}"/>
            </c:ext>
          </c:extLst>
        </c:ser>
        <c:ser>
          <c:idx val="6"/>
          <c:order val="2"/>
          <c:tx>
            <c:strRef>
              <c:f>Dashboard!$A$16</c:f>
              <c:strCache>
                <c:ptCount val="1"/>
                <c:pt idx="0">
                  <c:v>England</c:v>
                </c:pt>
              </c:strCache>
            </c:strRef>
          </c:tx>
          <c:spPr>
            <a:ln>
              <a:solidFill>
                <a:schemeClr val="accent3"/>
              </a:solidFill>
            </a:ln>
          </c:spPr>
          <c:marker>
            <c:symbol val="none"/>
          </c:marker>
          <c:cat>
            <c:numRef>
              <c:f>Dashboard!$B$13:$U$13</c:f>
              <c:numCache>
                <c:formatCode>mmm\-yy</c:formatCode>
                <c:ptCount val="20"/>
                <c:pt idx="0">
                  <c:v>40787</c:v>
                </c:pt>
                <c:pt idx="1">
                  <c:v>40969</c:v>
                </c:pt>
                <c:pt idx="2">
                  <c:v>41153</c:v>
                </c:pt>
                <c:pt idx="3">
                  <c:v>41334</c:v>
                </c:pt>
                <c:pt idx="4">
                  <c:v>41518</c:v>
                </c:pt>
                <c:pt idx="5">
                  <c:v>41699</c:v>
                </c:pt>
                <c:pt idx="6">
                  <c:v>41883</c:v>
                </c:pt>
                <c:pt idx="7">
                  <c:v>42064</c:v>
                </c:pt>
                <c:pt idx="8">
                  <c:v>42248</c:v>
                </c:pt>
                <c:pt idx="9">
                  <c:v>42430</c:v>
                </c:pt>
                <c:pt idx="10">
                  <c:v>42614</c:v>
                </c:pt>
                <c:pt idx="11">
                  <c:v>42795</c:v>
                </c:pt>
                <c:pt idx="12">
                  <c:v>42979</c:v>
                </c:pt>
                <c:pt idx="13">
                  <c:v>43160</c:v>
                </c:pt>
                <c:pt idx="14">
                  <c:v>43344</c:v>
                </c:pt>
                <c:pt idx="15">
                  <c:v>43525</c:v>
                </c:pt>
                <c:pt idx="16">
                  <c:v>43709</c:v>
                </c:pt>
                <c:pt idx="17">
                  <c:v>43891</c:v>
                </c:pt>
                <c:pt idx="18">
                  <c:v>44075</c:v>
                </c:pt>
                <c:pt idx="19">
                  <c:v>44256</c:v>
                </c:pt>
              </c:numCache>
            </c:numRef>
          </c:cat>
          <c:val>
            <c:numRef>
              <c:f>Dashboard!$B$16:$U$16</c:f>
              <c:numCache>
                <c:formatCode>0.00</c:formatCode>
                <c:ptCount val="20"/>
                <c:pt idx="0">
                  <c:v>0.95831666666666671</c:v>
                </c:pt>
                <c:pt idx="1">
                  <c:v>0.95833333333333337</c:v>
                </c:pt>
                <c:pt idx="2">
                  <c:v>0.95833333333333337</c:v>
                </c:pt>
                <c:pt idx="3">
                  <c:v>0.97499999999999998</c:v>
                </c:pt>
                <c:pt idx="4">
                  <c:v>0.9916666666666667</c:v>
                </c:pt>
                <c:pt idx="5">
                  <c:v>0.9916666666666667</c:v>
                </c:pt>
                <c:pt idx="6">
                  <c:v>0.9916666666666667</c:v>
                </c:pt>
                <c:pt idx="7">
                  <c:v>1</c:v>
                </c:pt>
                <c:pt idx="8">
                  <c:v>1.0416666666666667</c:v>
                </c:pt>
                <c:pt idx="9">
                  <c:v>1.0833333333333333</c:v>
                </c:pt>
                <c:pt idx="10">
                  <c:v>1.0833333333333333</c:v>
                </c:pt>
                <c:pt idx="11">
                  <c:v>1.125</c:v>
                </c:pt>
                <c:pt idx="12">
                  <c:v>1.125</c:v>
                </c:pt>
                <c:pt idx="13">
                  <c:v>1.125</c:v>
                </c:pt>
                <c:pt idx="14">
                  <c:v>1.1499999999999999</c:v>
                </c:pt>
                <c:pt idx="15">
                  <c:v>1.1583333333333334</c:v>
                </c:pt>
                <c:pt idx="16">
                  <c:v>1.1666666666666667</c:v>
                </c:pt>
                <c:pt idx="17">
                  <c:v>1.1666666666666667</c:v>
                </c:pt>
                <c:pt idx="18">
                  <c:v>1.2083333333333333</c:v>
                </c:pt>
                <c:pt idx="19">
                  <c:v>1.2166666666666666</c:v>
                </c:pt>
              </c:numCache>
            </c:numRef>
          </c:val>
          <c:smooth val="1"/>
          <c:extLst>
            <c:ext xmlns:c16="http://schemas.microsoft.com/office/drawing/2014/chart" uri="{C3380CC4-5D6E-409C-BE32-E72D297353CC}">
              <c16:uniqueId val="{00000002-F6D0-4E7F-B52C-9C866676BFEE}"/>
            </c:ext>
          </c:extLst>
        </c:ser>
        <c:ser>
          <c:idx val="9"/>
          <c:order val="3"/>
          <c:tx>
            <c:strRef>
              <c:f>Dashboard!$A$18</c:f>
              <c:strCache>
                <c:ptCount val="1"/>
                <c:pt idx="0">
                  <c:v>CPI - Housing &amp; Utilities</c:v>
                </c:pt>
              </c:strCache>
            </c:strRef>
          </c:tx>
          <c:spPr>
            <a:ln>
              <a:solidFill>
                <a:srgbClr val="00B050"/>
              </a:solidFill>
              <a:prstDash val="lgDashDotDot"/>
            </a:ln>
          </c:spPr>
          <c:marker>
            <c:symbol val="none"/>
          </c:marker>
          <c:cat>
            <c:numRef>
              <c:f>Dashboard!$B$13:$U$13</c:f>
              <c:numCache>
                <c:formatCode>mmm\-yy</c:formatCode>
                <c:ptCount val="20"/>
                <c:pt idx="0">
                  <c:v>40787</c:v>
                </c:pt>
                <c:pt idx="1">
                  <c:v>40969</c:v>
                </c:pt>
                <c:pt idx="2">
                  <c:v>41153</c:v>
                </c:pt>
                <c:pt idx="3">
                  <c:v>41334</c:v>
                </c:pt>
                <c:pt idx="4">
                  <c:v>41518</c:v>
                </c:pt>
                <c:pt idx="5">
                  <c:v>41699</c:v>
                </c:pt>
                <c:pt idx="6">
                  <c:v>41883</c:v>
                </c:pt>
                <c:pt idx="7">
                  <c:v>42064</c:v>
                </c:pt>
                <c:pt idx="8">
                  <c:v>42248</c:v>
                </c:pt>
                <c:pt idx="9">
                  <c:v>42430</c:v>
                </c:pt>
                <c:pt idx="10">
                  <c:v>42614</c:v>
                </c:pt>
                <c:pt idx="11">
                  <c:v>42795</c:v>
                </c:pt>
                <c:pt idx="12">
                  <c:v>42979</c:v>
                </c:pt>
                <c:pt idx="13">
                  <c:v>43160</c:v>
                </c:pt>
                <c:pt idx="14">
                  <c:v>43344</c:v>
                </c:pt>
                <c:pt idx="15">
                  <c:v>43525</c:v>
                </c:pt>
                <c:pt idx="16">
                  <c:v>43709</c:v>
                </c:pt>
                <c:pt idx="17">
                  <c:v>43891</c:v>
                </c:pt>
                <c:pt idx="18">
                  <c:v>44075</c:v>
                </c:pt>
                <c:pt idx="19">
                  <c:v>44256</c:v>
                </c:pt>
              </c:numCache>
            </c:numRef>
          </c:cat>
          <c:val>
            <c:numRef>
              <c:f>Dashboard!$B$18:$U$18</c:f>
              <c:numCache>
                <c:formatCode>0.00</c:formatCode>
                <c:ptCount val="20"/>
                <c:pt idx="0">
                  <c:v>0.94499999999999995</c:v>
                </c:pt>
                <c:pt idx="1">
                  <c:v>0.95400000000000007</c:v>
                </c:pt>
                <c:pt idx="2">
                  <c:v>0.96400000000000008</c:v>
                </c:pt>
                <c:pt idx="3">
                  <c:v>0.97799999999999998</c:v>
                </c:pt>
                <c:pt idx="4">
                  <c:v>0.98699999999999999</c:v>
                </c:pt>
                <c:pt idx="5">
                  <c:v>0.99299999999999999</c:v>
                </c:pt>
                <c:pt idx="6">
                  <c:v>1</c:v>
                </c:pt>
                <c:pt idx="7">
                  <c:v>0.996</c:v>
                </c:pt>
                <c:pt idx="8">
                  <c:v>1.002</c:v>
                </c:pt>
                <c:pt idx="9">
                  <c:v>1.004</c:v>
                </c:pt>
                <c:pt idx="10">
                  <c:v>1.0149999999999999</c:v>
                </c:pt>
                <c:pt idx="11">
                  <c:v>1.0270000000000001</c:v>
                </c:pt>
                <c:pt idx="12">
                  <c:v>1.042</c:v>
                </c:pt>
                <c:pt idx="13">
                  <c:v>1.042</c:v>
                </c:pt>
                <c:pt idx="14">
                  <c:v>1.042</c:v>
                </c:pt>
                <c:pt idx="15">
                  <c:v>1.0620000000000001</c:v>
                </c:pt>
                <c:pt idx="16">
                  <c:v>1.081</c:v>
                </c:pt>
                <c:pt idx="17">
                  <c:v>1.08</c:v>
                </c:pt>
                <c:pt idx="18">
                  <c:v>1.0880000000000001</c:v>
                </c:pt>
                <c:pt idx="19">
                  <c:v>1.052</c:v>
                </c:pt>
              </c:numCache>
            </c:numRef>
          </c:val>
          <c:smooth val="1"/>
          <c:extLst>
            <c:ext xmlns:c16="http://schemas.microsoft.com/office/drawing/2014/chart" uri="{C3380CC4-5D6E-409C-BE32-E72D297353CC}">
              <c16:uniqueId val="{00000003-F6D0-4E7F-B52C-9C866676BFEE}"/>
            </c:ext>
          </c:extLst>
        </c:ser>
        <c:dLbls>
          <c:showLegendKey val="0"/>
          <c:showVal val="0"/>
          <c:showCatName val="0"/>
          <c:showSerName val="0"/>
          <c:showPercent val="0"/>
          <c:showBubbleSize val="0"/>
        </c:dLbls>
        <c:smooth val="0"/>
        <c:axId val="154700032"/>
        <c:axId val="154714112"/>
      </c:lineChart>
      <c:dateAx>
        <c:axId val="154700032"/>
        <c:scaling>
          <c:orientation val="minMax"/>
        </c:scaling>
        <c:delete val="0"/>
        <c:axPos val="b"/>
        <c:numFmt formatCode="mmm\-yy" sourceLinked="1"/>
        <c:majorTickMark val="out"/>
        <c:minorTickMark val="none"/>
        <c:tickLblPos val="nextTo"/>
        <c:crossAx val="154714112"/>
        <c:crosses val="autoZero"/>
        <c:auto val="1"/>
        <c:lblOffset val="100"/>
        <c:baseTimeUnit val="months"/>
      </c:dateAx>
      <c:valAx>
        <c:axId val="154714112"/>
        <c:scaling>
          <c:orientation val="minMax"/>
          <c:min val="0.85000000000000009"/>
        </c:scaling>
        <c:delete val="0"/>
        <c:axPos val="l"/>
        <c:majorGridlines/>
        <c:title>
          <c:tx>
            <c:rich>
              <a:bodyPr/>
              <a:lstStyle/>
              <a:p>
                <a:pPr>
                  <a:defRPr/>
                </a:pPr>
                <a:r>
                  <a:rPr lang="en-GB"/>
                  <a:t>Index Median Rent (1=Mar 15)</a:t>
                </a:r>
              </a:p>
            </c:rich>
          </c:tx>
          <c:overlay val="0"/>
        </c:title>
        <c:numFmt formatCode="0.00" sourceLinked="1"/>
        <c:majorTickMark val="out"/>
        <c:minorTickMark val="none"/>
        <c:tickLblPos val="nextTo"/>
        <c:crossAx val="154700032"/>
        <c:crosses val="autoZero"/>
        <c:crossBetween val="between"/>
      </c:valAx>
    </c:plotArea>
    <c:legend>
      <c:legendPos val="b"/>
      <c:layout>
        <c:manualLayout>
          <c:xMode val="edge"/>
          <c:yMode val="edge"/>
          <c:x val="0.10425730049517122"/>
          <c:y val="0.90007461620792406"/>
          <c:w val="0.86967837438103601"/>
          <c:h val="8.5922890166546584E-2"/>
        </c:manualLayout>
      </c:layout>
      <c:overlay val="0"/>
    </c:legend>
    <c:plotVisOnly val="1"/>
    <c:dispBlanksAs val="gap"/>
    <c:showDLblsOverMax val="0"/>
  </c:chart>
  <c:txPr>
    <a:bodyPr/>
    <a:lstStyle/>
    <a:p>
      <a:pPr>
        <a:defRPr sz="1000" b="0">
          <a:latin typeface="Arial Narrow" panose="020B060602020203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125980306082379E-2"/>
          <c:y val="4.4934640522875817E-2"/>
          <c:w val="0.894312005161219"/>
          <c:h val="0.81356981112655036"/>
        </c:manualLayout>
      </c:layout>
      <c:lineChart>
        <c:grouping val="standard"/>
        <c:varyColors val="0"/>
        <c:ser>
          <c:idx val="0"/>
          <c:order val="0"/>
          <c:tx>
            <c:strRef>
              <c:f>Sheet1!$B$1</c:f>
              <c:strCache>
                <c:ptCount val="1"/>
                <c:pt idx="0">
                  <c:v>Chichester</c:v>
                </c:pt>
              </c:strCache>
            </c:strRef>
          </c:tx>
          <c:spPr>
            <a:ln w="28575" cap="rnd">
              <a:solidFill>
                <a:schemeClr val="accent1"/>
              </a:solidFill>
              <a:round/>
            </a:ln>
            <a:effectLst/>
          </c:spPr>
          <c:marker>
            <c:symbol val="none"/>
          </c:marker>
          <c:cat>
            <c:strRef>
              <c:f>Sheet1!$A$2:$A$92</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Sheet1!$B$2:$B$92</c:f>
              <c:numCache>
                <c:formatCode>0.0%</c:formatCode>
                <c:ptCount val="91"/>
                <c:pt idx="0">
                  <c:v>8.1393817691016238E-3</c:v>
                </c:pt>
                <c:pt idx="1">
                  <c:v>8.7072456134575493E-3</c:v>
                </c:pt>
                <c:pt idx="2">
                  <c:v>8.9952924910293979E-3</c:v>
                </c:pt>
                <c:pt idx="3">
                  <c:v>9.5960759785363933E-3</c:v>
                </c:pt>
                <c:pt idx="4">
                  <c:v>9.7935938374428023E-3</c:v>
                </c:pt>
                <c:pt idx="5">
                  <c:v>1.0896401883003589E-2</c:v>
                </c:pt>
                <c:pt idx="6">
                  <c:v>1.0690654113309411E-2</c:v>
                </c:pt>
                <c:pt idx="7">
                  <c:v>1.0501366165190769E-2</c:v>
                </c:pt>
                <c:pt idx="8">
                  <c:v>1.1752312604931363E-2</c:v>
                </c:pt>
                <c:pt idx="9">
                  <c:v>1.1381966619481845E-2</c:v>
                </c:pt>
                <c:pt idx="10">
                  <c:v>1.0814102775125917E-2</c:v>
                </c:pt>
                <c:pt idx="11">
                  <c:v>1.1768772426506896E-2</c:v>
                </c:pt>
                <c:pt idx="12">
                  <c:v>1.1678243407841458E-2</c:v>
                </c:pt>
                <c:pt idx="13">
                  <c:v>1.0822332685913684E-2</c:v>
                </c:pt>
                <c:pt idx="14">
                  <c:v>1.0320308127859895E-2</c:v>
                </c:pt>
                <c:pt idx="15">
                  <c:v>9.7030648187773644E-3</c:v>
                </c:pt>
                <c:pt idx="16">
                  <c:v>9.9499621424103766E-3</c:v>
                </c:pt>
                <c:pt idx="17">
                  <c:v>9.5466965138097902E-3</c:v>
                </c:pt>
                <c:pt idx="18">
                  <c:v>9.7771340158672674E-3</c:v>
                </c:pt>
                <c:pt idx="19">
                  <c:v>1.0929321526154657E-2</c:v>
                </c:pt>
                <c:pt idx="20">
                  <c:v>1.0550745629917372E-2</c:v>
                </c:pt>
                <c:pt idx="21">
                  <c:v>1.086348223985252E-2</c:v>
                </c:pt>
                <c:pt idx="22">
                  <c:v>1.0402607235737564E-2</c:v>
                </c:pt>
                <c:pt idx="23">
                  <c:v>9.2997991901767781E-3</c:v>
                </c:pt>
                <c:pt idx="24">
                  <c:v>9.0693616881193009E-3</c:v>
                </c:pt>
                <c:pt idx="25">
                  <c:v>8.1640715014649236E-3</c:v>
                </c:pt>
                <c:pt idx="26">
                  <c:v>8.8553840076373569E-3</c:v>
                </c:pt>
                <c:pt idx="27">
                  <c:v>8.9459130263027948E-3</c:v>
                </c:pt>
                <c:pt idx="28">
                  <c:v>9.3738683872666827E-3</c:v>
                </c:pt>
                <c:pt idx="29">
                  <c:v>9.8512032129571721E-3</c:v>
                </c:pt>
                <c:pt idx="30">
                  <c:v>9.4067880304177509E-3</c:v>
                </c:pt>
                <c:pt idx="31">
                  <c:v>8.3286697172202662E-3</c:v>
                </c:pt>
                <c:pt idx="32">
                  <c:v>9.1681206175725054E-3</c:v>
                </c:pt>
                <c:pt idx="33">
                  <c:v>8.6331764163676463E-3</c:v>
                </c:pt>
                <c:pt idx="34">
                  <c:v>8.353359449583566E-3</c:v>
                </c:pt>
                <c:pt idx="35">
                  <c:v>9.6125358001119265E-3</c:v>
                </c:pt>
                <c:pt idx="36">
                  <c:v>9.1516607959969722E-3</c:v>
                </c:pt>
                <c:pt idx="37">
                  <c:v>9.3985581196299826E-3</c:v>
                </c:pt>
                <c:pt idx="38">
                  <c:v>1.0089870625802416E-2</c:v>
                </c:pt>
                <c:pt idx="39">
                  <c:v>1.024623893076999E-2</c:v>
                </c:pt>
                <c:pt idx="40">
                  <c:v>1.069888402409718E-2</c:v>
                </c:pt>
                <c:pt idx="41">
                  <c:v>9.4973170490831871E-3</c:v>
                </c:pt>
                <c:pt idx="42">
                  <c:v>9.6783750864140629E-3</c:v>
                </c:pt>
                <c:pt idx="43">
                  <c:v>1.0312078217072126E-2</c:v>
                </c:pt>
                <c:pt idx="44">
                  <c:v>1.0147480001316786E-2</c:v>
                </c:pt>
                <c:pt idx="45">
                  <c:v>1.0608355005431742E-2</c:v>
                </c:pt>
                <c:pt idx="46">
                  <c:v>1.2180267965895249E-2</c:v>
                </c:pt>
                <c:pt idx="47">
                  <c:v>1.1892221088323402E-2</c:v>
                </c:pt>
                <c:pt idx="48">
                  <c:v>1.3217236725153899E-2</c:v>
                </c:pt>
                <c:pt idx="49">
                  <c:v>1.2978569312308655E-2</c:v>
                </c:pt>
                <c:pt idx="50">
                  <c:v>1.2748131810251176E-2</c:v>
                </c:pt>
                <c:pt idx="51">
                  <c:v>1.4089607268657208E-2</c:v>
                </c:pt>
                <c:pt idx="52">
                  <c:v>1.4040227803930605E-2</c:v>
                </c:pt>
                <c:pt idx="53">
                  <c:v>1.475623004246634E-2</c:v>
                </c:pt>
                <c:pt idx="54">
                  <c:v>1.5357013529973335E-2</c:v>
                </c:pt>
                <c:pt idx="55">
                  <c:v>1.4657471113013135E-2</c:v>
                </c:pt>
                <c:pt idx="56">
                  <c:v>1.5908417552753729E-2</c:v>
                </c:pt>
                <c:pt idx="57">
                  <c:v>1.5480462191789841E-2</c:v>
                </c:pt>
                <c:pt idx="58">
                  <c:v>1.5570991210455279E-2</c:v>
                </c:pt>
                <c:pt idx="59">
                  <c:v>1.4303584949139152E-2</c:v>
                </c:pt>
                <c:pt idx="60">
                  <c:v>1.441880370016789E-2</c:v>
                </c:pt>
                <c:pt idx="61">
                  <c:v>1.4608091648286532E-2</c:v>
                </c:pt>
                <c:pt idx="62">
                  <c:v>1.4616321559074299E-2</c:v>
                </c:pt>
                <c:pt idx="63">
                  <c:v>1.3966158606840702E-2</c:v>
                </c:pt>
                <c:pt idx="64">
                  <c:v>1.3933238963689634E-2</c:v>
                </c:pt>
                <c:pt idx="65">
                  <c:v>1.360404253217895E-2</c:v>
                </c:pt>
                <c:pt idx="66">
                  <c:v>1.3620502353754485E-2</c:v>
                </c:pt>
                <c:pt idx="67">
                  <c:v>1.3653421996905554E-2</c:v>
                </c:pt>
                <c:pt idx="68">
                  <c:v>1.232017644928729E-2</c:v>
                </c:pt>
                <c:pt idx="69">
                  <c:v>1.3151397438851763E-2</c:v>
                </c:pt>
                <c:pt idx="70">
                  <c:v>1.3274846100668269E-2</c:v>
                </c:pt>
                <c:pt idx="71">
                  <c:v>1.4542252361984396E-2</c:v>
                </c:pt>
                <c:pt idx="72">
                  <c:v>1.511834611712809E-2</c:v>
                </c:pt>
                <c:pt idx="73">
                  <c:v>1.6772558185469268E-2</c:v>
                </c:pt>
                <c:pt idx="74">
                  <c:v>1.2731671988675643E-2</c:v>
                </c:pt>
                <c:pt idx="75">
                  <c:v>1.2567073772920302E-2</c:v>
                </c:pt>
                <c:pt idx="76">
                  <c:v>1.2550613951344767E-2</c:v>
                </c:pt>
                <c:pt idx="77">
                  <c:v>1.1184448760575436E-2</c:v>
                </c:pt>
                <c:pt idx="78">
                  <c:v>1.0468446522039701E-2</c:v>
                </c:pt>
                <c:pt idx="79">
                  <c:v>8.7895447213352206E-3</c:v>
                </c:pt>
                <c:pt idx="80">
                  <c:v>9.1269710636336706E-3</c:v>
                </c:pt>
                <c:pt idx="81">
                  <c:v>8.493267932975607E-3</c:v>
                </c:pt>
                <c:pt idx="82">
                  <c:v>7.9500938209829813E-3</c:v>
                </c:pt>
                <c:pt idx="83">
                  <c:v>7.6126674786845313E-3</c:v>
                </c:pt>
                <c:pt idx="84">
                  <c:v>6.5839286302136488E-3</c:v>
                </c:pt>
                <c:pt idx="85">
                  <c:v>6.2876518418540344E-3</c:v>
                </c:pt>
                <c:pt idx="86">
                  <c:v>6.1642031800375283E-3</c:v>
                </c:pt>
                <c:pt idx="87">
                  <c:v>5.2424531718076178E-3</c:v>
                </c:pt>
                <c:pt idx="88">
                  <c:v>4.9626362050235375E-3</c:v>
                </c:pt>
                <c:pt idx="89">
                  <c:v>3.7034598544951774E-3</c:v>
                </c:pt>
                <c:pt idx="90">
                  <c:v>1.6328143002929847E-2</c:v>
                </c:pt>
              </c:numCache>
            </c:numRef>
          </c:val>
          <c:smooth val="0"/>
          <c:extLst>
            <c:ext xmlns:c16="http://schemas.microsoft.com/office/drawing/2014/chart" uri="{C3380CC4-5D6E-409C-BE32-E72D297353CC}">
              <c16:uniqueId val="{00000000-FFB3-4E6B-9922-F134ABBDF0B9}"/>
            </c:ext>
          </c:extLst>
        </c:ser>
        <c:ser>
          <c:idx val="1"/>
          <c:order val="1"/>
          <c:tx>
            <c:strRef>
              <c:f>Sheet1!$C$1</c:f>
              <c:strCache>
                <c:ptCount val="1"/>
                <c:pt idx="0">
                  <c:v>West Sussex</c:v>
                </c:pt>
              </c:strCache>
            </c:strRef>
          </c:tx>
          <c:spPr>
            <a:ln w="28575" cap="rnd">
              <a:solidFill>
                <a:schemeClr val="accent2"/>
              </a:solidFill>
              <a:round/>
            </a:ln>
            <a:effectLst/>
          </c:spPr>
          <c:marker>
            <c:symbol val="none"/>
          </c:marker>
          <c:cat>
            <c:strRef>
              <c:f>Sheet1!$A$2:$A$92</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Sheet1!$C$2:$C$92</c:f>
              <c:numCache>
                <c:formatCode>0.0%</c:formatCode>
                <c:ptCount val="91"/>
                <c:pt idx="0">
                  <c:v>9.5397258063586645E-3</c:v>
                </c:pt>
                <c:pt idx="1">
                  <c:v>9.9730877615587191E-3</c:v>
                </c:pt>
                <c:pt idx="2">
                  <c:v>1.0446789260460908E-2</c:v>
                </c:pt>
                <c:pt idx="3">
                  <c:v>1.0898592149924795E-2</c:v>
                </c:pt>
                <c:pt idx="4">
                  <c:v>1.1491007163150404E-2</c:v>
                </c:pt>
                <c:pt idx="5">
                  <c:v>1.1594737418384458E-2</c:v>
                </c:pt>
                <c:pt idx="6">
                  <c:v>1.1665043480265319E-2</c:v>
                </c:pt>
                <c:pt idx="7">
                  <c:v>1.1865588640384494E-2</c:v>
                </c:pt>
                <c:pt idx="8">
                  <c:v>1.2539835299405857E-2</c:v>
                </c:pt>
                <c:pt idx="9">
                  <c:v>1.2358883631942003E-2</c:v>
                </c:pt>
                <c:pt idx="10">
                  <c:v>1.2400375734035626E-2</c:v>
                </c:pt>
                <c:pt idx="11">
                  <c:v>1.2215966391397303E-2</c:v>
                </c:pt>
                <c:pt idx="12">
                  <c:v>1.2342747814461151E-2</c:v>
                </c:pt>
                <c:pt idx="13">
                  <c:v>1.177799420263129E-2</c:v>
                </c:pt>
                <c:pt idx="14">
                  <c:v>1.1258190368069522E-2</c:v>
                </c:pt>
                <c:pt idx="15">
                  <c:v>1.0752217234205629E-2</c:v>
                </c:pt>
                <c:pt idx="16">
                  <c:v>1.0796014453082229E-2</c:v>
                </c:pt>
                <c:pt idx="17">
                  <c:v>1.0504417180035383E-2</c:v>
                </c:pt>
                <c:pt idx="18">
                  <c:v>9.8774254150650904E-3</c:v>
                </c:pt>
                <c:pt idx="19">
                  <c:v>8.3376074040351061E-3</c:v>
                </c:pt>
                <c:pt idx="20">
                  <c:v>7.5849867743924574E-3</c:v>
                </c:pt>
                <c:pt idx="21">
                  <c:v>8.1220789848265688E-3</c:v>
                </c:pt>
                <c:pt idx="22">
                  <c:v>8.7721219176266525E-3</c:v>
                </c:pt>
                <c:pt idx="23">
                  <c:v>9.6434560615927204E-3</c:v>
                </c:pt>
                <c:pt idx="24">
                  <c:v>9.5639295325799442E-3</c:v>
                </c:pt>
                <c:pt idx="25">
                  <c:v>9.4498262518224827E-3</c:v>
                </c:pt>
                <c:pt idx="26">
                  <c:v>9.7932886524863573E-3</c:v>
                </c:pt>
                <c:pt idx="27">
                  <c:v>9.7829156269629517E-3</c:v>
                </c:pt>
                <c:pt idx="28">
                  <c:v>1.0039936148265111E-2</c:v>
                </c:pt>
                <c:pt idx="29">
                  <c:v>1.0612757668835397E-2</c:v>
                </c:pt>
                <c:pt idx="30">
                  <c:v>1.0836353996784362E-2</c:v>
                </c:pt>
                <c:pt idx="31">
                  <c:v>1.0960830303065229E-2</c:v>
                </c:pt>
                <c:pt idx="32">
                  <c:v>1.1396497375048264E-2</c:v>
                </c:pt>
                <c:pt idx="33">
                  <c:v>1.1096832193260991E-2</c:v>
                </c:pt>
                <c:pt idx="34">
                  <c:v>1.1389582024699326E-2</c:v>
                </c:pt>
                <c:pt idx="35">
                  <c:v>1.1673111389005746E-2</c:v>
                </c:pt>
                <c:pt idx="36">
                  <c:v>1.1641992312435529E-2</c:v>
                </c:pt>
                <c:pt idx="37">
                  <c:v>1.182870677185683E-2</c:v>
                </c:pt>
                <c:pt idx="38">
                  <c:v>1.2636650204290974E-2</c:v>
                </c:pt>
                <c:pt idx="39">
                  <c:v>1.279109302875057E-2</c:v>
                </c:pt>
                <c:pt idx="40">
                  <c:v>1.297665492978038E-2</c:v>
                </c:pt>
                <c:pt idx="41">
                  <c:v>1.2894823283984625E-2</c:v>
                </c:pt>
                <c:pt idx="42">
                  <c:v>1.218023708126113E-2</c:v>
                </c:pt>
                <c:pt idx="43">
                  <c:v>1.1882877016256836E-2</c:v>
                </c:pt>
                <c:pt idx="44">
                  <c:v>1.1957793311703654E-2</c:v>
                </c:pt>
                <c:pt idx="45">
                  <c:v>1.2403833409210094E-2</c:v>
                </c:pt>
                <c:pt idx="46">
                  <c:v>1.3098826119278269E-2</c:v>
                </c:pt>
                <c:pt idx="47">
                  <c:v>1.3269404761218715E-2</c:v>
                </c:pt>
                <c:pt idx="48">
                  <c:v>1.4070432843303924E-2</c:v>
                </c:pt>
                <c:pt idx="49">
                  <c:v>1.4538371550248664E-2</c:v>
                </c:pt>
                <c:pt idx="50">
                  <c:v>1.3892938851014539E-2</c:v>
                </c:pt>
                <c:pt idx="51">
                  <c:v>1.4531456199899727E-2</c:v>
                </c:pt>
                <c:pt idx="52">
                  <c:v>1.4568338068427392E-2</c:v>
                </c:pt>
                <c:pt idx="53">
                  <c:v>1.4897969768393391E-2</c:v>
                </c:pt>
                <c:pt idx="54">
                  <c:v>1.4581016210733776E-2</c:v>
                </c:pt>
                <c:pt idx="55">
                  <c:v>1.4975191180623189E-2</c:v>
                </c:pt>
                <c:pt idx="56">
                  <c:v>1.4894512093218923E-2</c:v>
                </c:pt>
                <c:pt idx="57">
                  <c:v>1.4345894298869916E-2</c:v>
                </c:pt>
                <c:pt idx="58">
                  <c:v>1.4004737014989022E-2</c:v>
                </c:pt>
                <c:pt idx="59">
                  <c:v>1.3626697862580464E-2</c:v>
                </c:pt>
                <c:pt idx="60">
                  <c:v>1.2914416776639947E-2</c:v>
                </c:pt>
                <c:pt idx="61">
                  <c:v>1.3021604707048471E-2</c:v>
                </c:pt>
                <c:pt idx="62">
                  <c:v>1.276458418574631E-2</c:v>
                </c:pt>
                <c:pt idx="63">
                  <c:v>1.2005048205754725E-2</c:v>
                </c:pt>
                <c:pt idx="64">
                  <c:v>1.1821791421507893E-2</c:v>
                </c:pt>
                <c:pt idx="65">
                  <c:v>1.1639687195652549E-2</c:v>
                </c:pt>
                <c:pt idx="66">
                  <c:v>1.1582059276078074E-2</c:v>
                </c:pt>
                <c:pt idx="67">
                  <c:v>1.1321581079601446E-2</c:v>
                </c:pt>
                <c:pt idx="68">
                  <c:v>1.1156765229618445E-2</c:v>
                </c:pt>
                <c:pt idx="69">
                  <c:v>1.1228223849890796E-2</c:v>
                </c:pt>
                <c:pt idx="70">
                  <c:v>1.1576296484120627E-2</c:v>
                </c:pt>
                <c:pt idx="71">
                  <c:v>1.217908452286964E-2</c:v>
                </c:pt>
                <c:pt idx="72">
                  <c:v>1.2852178623499513E-2</c:v>
                </c:pt>
                <c:pt idx="73">
                  <c:v>1.4284808704120973E-2</c:v>
                </c:pt>
                <c:pt idx="74">
                  <c:v>1.0953914952716292E-2</c:v>
                </c:pt>
                <c:pt idx="75">
                  <c:v>1.0430653442980055E-2</c:v>
                </c:pt>
                <c:pt idx="76">
                  <c:v>1.0099869184622566E-2</c:v>
                </c:pt>
                <c:pt idx="77">
                  <c:v>9.6434560615927204E-3</c:v>
                </c:pt>
                <c:pt idx="78">
                  <c:v>8.0287217551159185E-3</c:v>
                </c:pt>
                <c:pt idx="79">
                  <c:v>6.9395540751583324E-3</c:v>
                </c:pt>
                <c:pt idx="80">
                  <c:v>7.3441020705711504E-3</c:v>
                </c:pt>
                <c:pt idx="81">
                  <c:v>7.0582675894817525E-3</c:v>
                </c:pt>
                <c:pt idx="82">
                  <c:v>6.7770433419583123E-3</c:v>
                </c:pt>
                <c:pt idx="83">
                  <c:v>6.1581194857284454E-3</c:v>
                </c:pt>
                <c:pt idx="84">
                  <c:v>5.6728924029113628E-3</c:v>
                </c:pt>
                <c:pt idx="85">
                  <c:v>5.2487509148432228E-3</c:v>
                </c:pt>
                <c:pt idx="86">
                  <c:v>4.7082010292346438E-3</c:v>
                </c:pt>
                <c:pt idx="87">
                  <c:v>4.1227013663579729E-3</c:v>
                </c:pt>
                <c:pt idx="88">
                  <c:v>3.8380194436600642E-3</c:v>
                </c:pt>
                <c:pt idx="89">
                  <c:v>3.5141505356515125E-3</c:v>
                </c:pt>
                <c:pt idx="90">
                  <c:v>1.3268252202827225E-2</c:v>
                </c:pt>
              </c:numCache>
            </c:numRef>
          </c:val>
          <c:smooth val="0"/>
          <c:extLst>
            <c:ext xmlns:c16="http://schemas.microsoft.com/office/drawing/2014/chart" uri="{C3380CC4-5D6E-409C-BE32-E72D297353CC}">
              <c16:uniqueId val="{00000001-FFB3-4E6B-9922-F134ABBDF0B9}"/>
            </c:ext>
          </c:extLst>
        </c:ser>
        <c:ser>
          <c:idx val="2"/>
          <c:order val="2"/>
          <c:tx>
            <c:strRef>
              <c:f>Sheet1!$D$1</c:f>
              <c:strCache>
                <c:ptCount val="1"/>
                <c:pt idx="0">
                  <c:v>South East</c:v>
                </c:pt>
              </c:strCache>
            </c:strRef>
          </c:tx>
          <c:spPr>
            <a:ln w="28575" cap="rnd">
              <a:solidFill>
                <a:schemeClr val="accent3"/>
              </a:solidFill>
              <a:round/>
            </a:ln>
            <a:effectLst/>
          </c:spPr>
          <c:marker>
            <c:symbol val="none"/>
          </c:marker>
          <c:cat>
            <c:strRef>
              <c:f>Sheet1!$A$2:$A$92</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Sheet1!$D$2:$D$92</c:f>
              <c:numCache>
                <c:formatCode>0.0%</c:formatCode>
                <c:ptCount val="91"/>
                <c:pt idx="0">
                  <c:v>1.0144223910238016E-2</c:v>
                </c:pt>
                <c:pt idx="1">
                  <c:v>1.0628966401638663E-2</c:v>
                </c:pt>
                <c:pt idx="2">
                  <c:v>1.1147124445266573E-2</c:v>
                </c:pt>
                <c:pt idx="3">
                  <c:v>1.155711591236663E-2</c:v>
                </c:pt>
                <c:pt idx="4">
                  <c:v>1.202591007202245E-2</c:v>
                </c:pt>
                <c:pt idx="5">
                  <c:v>1.2124420855861255E-2</c:v>
                </c:pt>
                <c:pt idx="6">
                  <c:v>1.2189516087472803E-2</c:v>
                </c:pt>
                <c:pt idx="7">
                  <c:v>1.2504685500525373E-2</c:v>
                </c:pt>
                <c:pt idx="8">
                  <c:v>1.2999409260773125E-2</c:v>
                </c:pt>
                <c:pt idx="9">
                  <c:v>1.2991706325032425E-2</c:v>
                </c:pt>
                <c:pt idx="10">
                  <c:v>1.2844808085695703E-2</c:v>
                </c:pt>
                <c:pt idx="11">
                  <c:v>1.2607644458524301E-2</c:v>
                </c:pt>
                <c:pt idx="12">
                  <c:v>1.2725792303899258E-2</c:v>
                </c:pt>
                <c:pt idx="13">
                  <c:v>1.2405523764370451E-2</c:v>
                </c:pt>
                <c:pt idx="14">
                  <c:v>1.2079288161943917E-2</c:v>
                </c:pt>
                <c:pt idx="15">
                  <c:v>1.1533790121039158E-2</c:v>
                </c:pt>
                <c:pt idx="16">
                  <c:v>1.1450685208681751E-2</c:v>
                </c:pt>
                <c:pt idx="17">
                  <c:v>1.1136817700261412E-2</c:v>
                </c:pt>
                <c:pt idx="18">
                  <c:v>1.0886852010873074E-2</c:v>
                </c:pt>
                <c:pt idx="19">
                  <c:v>1.0784435513137574E-2</c:v>
                </c:pt>
                <c:pt idx="20">
                  <c:v>1.0877738678447458E-2</c:v>
                </c:pt>
                <c:pt idx="21">
                  <c:v>1.148757250659496E-2</c:v>
                </c:pt>
                <c:pt idx="22">
                  <c:v>1.1592592813594923E-2</c:v>
                </c:pt>
                <c:pt idx="23">
                  <c:v>1.1842341518877888E-2</c:v>
                </c:pt>
                <c:pt idx="24">
                  <c:v>1.1661051298839731E-2</c:v>
                </c:pt>
                <c:pt idx="25">
                  <c:v>1.1512959646923464E-2</c:v>
                </c:pt>
                <c:pt idx="26">
                  <c:v>1.1656820108784981E-2</c:v>
                </c:pt>
                <c:pt idx="27">
                  <c:v>1.1529341946879035E-2</c:v>
                </c:pt>
                <c:pt idx="28">
                  <c:v>1.1815435489811782E-2</c:v>
                </c:pt>
                <c:pt idx="29">
                  <c:v>1.2014084438279685E-2</c:v>
                </c:pt>
                <c:pt idx="30">
                  <c:v>1.1965588490729083E-2</c:v>
                </c:pt>
                <c:pt idx="31">
                  <c:v>1.1800138110383069E-2</c:v>
                </c:pt>
                <c:pt idx="32">
                  <c:v>1.2004103169432581E-2</c:v>
                </c:pt>
                <c:pt idx="33">
                  <c:v>1.1882158102213618E-2</c:v>
                </c:pt>
                <c:pt idx="34">
                  <c:v>1.215827037629926E-2</c:v>
                </c:pt>
                <c:pt idx="35">
                  <c:v>1.2312980043429369E-2</c:v>
                </c:pt>
                <c:pt idx="36">
                  <c:v>1.2223365607910807E-2</c:v>
                </c:pt>
                <c:pt idx="37">
                  <c:v>1.2576507239403446E-2</c:v>
                </c:pt>
                <c:pt idx="38">
                  <c:v>1.2818769993051085E-2</c:v>
                </c:pt>
                <c:pt idx="39">
                  <c:v>1.3134373374314398E-2</c:v>
                </c:pt>
                <c:pt idx="40">
                  <c:v>1.3271941297120133E-2</c:v>
                </c:pt>
                <c:pt idx="41">
                  <c:v>1.2990187436294823E-2</c:v>
                </c:pt>
                <c:pt idx="42">
                  <c:v>1.2346938055920059E-2</c:v>
                </c:pt>
                <c:pt idx="43">
                  <c:v>1.2247884811817822E-2</c:v>
                </c:pt>
                <c:pt idx="44">
                  <c:v>1.2299201552738259E-2</c:v>
                </c:pt>
                <c:pt idx="45">
                  <c:v>1.2753783253492223E-2</c:v>
                </c:pt>
                <c:pt idx="46">
                  <c:v>1.2963172915176031E-2</c:v>
                </c:pt>
                <c:pt idx="47">
                  <c:v>1.3462127865478533E-2</c:v>
                </c:pt>
                <c:pt idx="48">
                  <c:v>1.3816245925445347E-2</c:v>
                </c:pt>
                <c:pt idx="49">
                  <c:v>1.4243704613027834E-2</c:v>
                </c:pt>
                <c:pt idx="50">
                  <c:v>1.3767532993789373E-2</c:v>
                </c:pt>
                <c:pt idx="51">
                  <c:v>1.4137382401395641E-2</c:v>
                </c:pt>
                <c:pt idx="52">
                  <c:v>1.4138901290133244E-2</c:v>
                </c:pt>
                <c:pt idx="53">
                  <c:v>1.444994800518375E-2</c:v>
                </c:pt>
                <c:pt idx="54">
                  <c:v>1.4359357141191015E-2</c:v>
                </c:pt>
                <c:pt idx="55">
                  <c:v>1.449399577857423E-2</c:v>
                </c:pt>
                <c:pt idx="56">
                  <c:v>1.4236761121655936E-2</c:v>
                </c:pt>
                <c:pt idx="57">
                  <c:v>1.3865175841206692E-2</c:v>
                </c:pt>
                <c:pt idx="58">
                  <c:v>1.3316423038721357E-2</c:v>
                </c:pt>
                <c:pt idx="59">
                  <c:v>1.2860864909493218E-2</c:v>
                </c:pt>
                <c:pt idx="60">
                  <c:v>1.2257432112454182E-2</c:v>
                </c:pt>
                <c:pt idx="61">
                  <c:v>1.1982404758895398E-2</c:v>
                </c:pt>
                <c:pt idx="62">
                  <c:v>1.1652588918730231E-2</c:v>
                </c:pt>
                <c:pt idx="63">
                  <c:v>1.1154827381007273E-2</c:v>
                </c:pt>
                <c:pt idx="64">
                  <c:v>1.0708274092152064E-2</c:v>
                </c:pt>
                <c:pt idx="65">
                  <c:v>1.0344717223601578E-2</c:v>
                </c:pt>
                <c:pt idx="66">
                  <c:v>1.0209644618007619E-2</c:v>
                </c:pt>
                <c:pt idx="67">
                  <c:v>1.0044519713819663E-2</c:v>
                </c:pt>
                <c:pt idx="68">
                  <c:v>9.7309776815573817E-3</c:v>
                </c:pt>
                <c:pt idx="69">
                  <c:v>9.8180967998641681E-3</c:v>
                </c:pt>
                <c:pt idx="70">
                  <c:v>1.0038444158869252E-2</c:v>
                </c:pt>
                <c:pt idx="71">
                  <c:v>1.0419793724060229E-2</c:v>
                </c:pt>
                <c:pt idx="72">
                  <c:v>1.1033533266104425E-2</c:v>
                </c:pt>
                <c:pt idx="73">
                  <c:v>1.2072344670572019E-2</c:v>
                </c:pt>
                <c:pt idx="74">
                  <c:v>9.2157489233519914E-3</c:v>
                </c:pt>
                <c:pt idx="75">
                  <c:v>8.741421669009191E-3</c:v>
                </c:pt>
                <c:pt idx="76">
                  <c:v>8.6001650164121354E-3</c:v>
                </c:pt>
                <c:pt idx="77">
                  <c:v>7.8918204044258252E-3</c:v>
                </c:pt>
                <c:pt idx="78">
                  <c:v>6.8360842397392286E-3</c:v>
                </c:pt>
                <c:pt idx="79">
                  <c:v>5.9035950469038265E-3</c:v>
                </c:pt>
                <c:pt idx="80">
                  <c:v>6.1028949476878442E-3</c:v>
                </c:pt>
                <c:pt idx="81">
                  <c:v>5.9289821872323296E-3</c:v>
                </c:pt>
                <c:pt idx="82">
                  <c:v>5.5513213518326747E-3</c:v>
                </c:pt>
                <c:pt idx="83">
                  <c:v>5.1381836152047276E-3</c:v>
                </c:pt>
                <c:pt idx="84">
                  <c:v>4.7536877804858603E-3</c:v>
                </c:pt>
                <c:pt idx="85">
                  <c:v>4.2660160036626918E-3</c:v>
                </c:pt>
                <c:pt idx="86">
                  <c:v>3.7887594638973707E-3</c:v>
                </c:pt>
                <c:pt idx="87">
                  <c:v>3.4298677536123783E-3</c:v>
                </c:pt>
                <c:pt idx="88">
                  <c:v>3.1122030233480323E-3</c:v>
                </c:pt>
                <c:pt idx="89">
                  <c:v>2.7645944865423745E-3</c:v>
                </c:pt>
                <c:pt idx="90">
                  <c:v>1.0850615665275979E-2</c:v>
                </c:pt>
              </c:numCache>
            </c:numRef>
          </c:val>
          <c:smooth val="0"/>
          <c:extLst>
            <c:ext xmlns:c16="http://schemas.microsoft.com/office/drawing/2014/chart" uri="{C3380CC4-5D6E-409C-BE32-E72D297353CC}">
              <c16:uniqueId val="{00000002-FFB3-4E6B-9922-F134ABBDF0B9}"/>
            </c:ext>
          </c:extLst>
        </c:ser>
        <c:ser>
          <c:idx val="3"/>
          <c:order val="3"/>
          <c:tx>
            <c:strRef>
              <c:f>Sheet1!$E$1</c:f>
              <c:strCache>
                <c:ptCount val="1"/>
                <c:pt idx="0">
                  <c:v>England</c:v>
                </c:pt>
              </c:strCache>
            </c:strRef>
          </c:tx>
          <c:spPr>
            <a:ln w="28575"/>
          </c:spPr>
          <c:marker>
            <c:symbol val="none"/>
          </c:marker>
          <c:cat>
            <c:strRef>
              <c:f>Sheet1!$A$2:$A$92</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Sheet1!$E$2:$E$92</c:f>
              <c:numCache>
                <c:formatCode>General</c:formatCode>
                <c:ptCount val="91"/>
                <c:pt idx="0">
                  <c:v>1.0643882071516784E-2</c:v>
                </c:pt>
                <c:pt idx="1">
                  <c:v>1.1060556563098043E-2</c:v>
                </c:pt>
                <c:pt idx="2">
                  <c:v>1.1498221277550198E-2</c:v>
                </c:pt>
                <c:pt idx="3">
                  <c:v>1.186585963769001E-2</c:v>
                </c:pt>
                <c:pt idx="4">
                  <c:v>1.2215991409251734E-2</c:v>
                </c:pt>
                <c:pt idx="5">
                  <c:v>1.2187238163768937E-2</c:v>
                </c:pt>
                <c:pt idx="6">
                  <c:v>1.2285275059806221E-2</c:v>
                </c:pt>
                <c:pt idx="7">
                  <c:v>1.2554169186996502E-2</c:v>
                </c:pt>
                <c:pt idx="8">
                  <c:v>1.2918589164185593E-2</c:v>
                </c:pt>
                <c:pt idx="9">
                  <c:v>1.2644460743844692E-2</c:v>
                </c:pt>
                <c:pt idx="10">
                  <c:v>1.2432984690505971E-2</c:v>
                </c:pt>
                <c:pt idx="11">
                  <c:v>1.2252366209963979E-2</c:v>
                </c:pt>
                <c:pt idx="12">
                  <c:v>1.2357547208814946E-2</c:v>
                </c:pt>
                <c:pt idx="13">
                  <c:v>1.1967663102785001E-2</c:v>
                </c:pt>
                <c:pt idx="14">
                  <c:v>1.1742234828852231E-2</c:v>
                </c:pt>
                <c:pt idx="15">
                  <c:v>1.1277708995157535E-2</c:v>
                </c:pt>
                <c:pt idx="16">
                  <c:v>1.11055962409853E-2</c:v>
                </c:pt>
                <c:pt idx="17">
                  <c:v>1.0840380265738697E-2</c:v>
                </c:pt>
                <c:pt idx="18">
                  <c:v>1.0726958791860065E-2</c:v>
                </c:pt>
                <c:pt idx="19">
                  <c:v>1.1148620008672658E-2</c:v>
                </c:pt>
                <c:pt idx="20">
                  <c:v>1.1550016022949404E-2</c:v>
                </c:pt>
                <c:pt idx="21">
                  <c:v>1.2015655912280886E-2</c:v>
                </c:pt>
                <c:pt idx="22">
                  <c:v>1.2276115046792636E-2</c:v>
                </c:pt>
                <c:pt idx="23">
                  <c:v>1.2739137789548808E-2</c:v>
                </c:pt>
                <c:pt idx="24">
                  <c:v>1.282514995807791E-2</c:v>
                </c:pt>
                <c:pt idx="25">
                  <c:v>1.2822444394388569E-2</c:v>
                </c:pt>
                <c:pt idx="26">
                  <c:v>1.3190224221910829E-2</c:v>
                </c:pt>
                <c:pt idx="27">
                  <c:v>1.3212876686525505E-2</c:v>
                </c:pt>
                <c:pt idx="28">
                  <c:v>1.3589940311020992E-2</c:v>
                </c:pt>
                <c:pt idx="29">
                  <c:v>1.3877419715580534E-2</c:v>
                </c:pt>
                <c:pt idx="30">
                  <c:v>1.3650965803125007E-2</c:v>
                </c:pt>
                <c:pt idx="31">
                  <c:v>1.3523185389927785E-2</c:v>
                </c:pt>
                <c:pt idx="32">
                  <c:v>1.3672398111566059E-2</c:v>
                </c:pt>
                <c:pt idx="33">
                  <c:v>1.3332469674963481E-2</c:v>
                </c:pt>
                <c:pt idx="34">
                  <c:v>1.3453919422796104E-2</c:v>
                </c:pt>
                <c:pt idx="35">
                  <c:v>1.3420922155839832E-2</c:v>
                </c:pt>
                <c:pt idx="36">
                  <c:v>1.3104017535730858E-2</c:v>
                </c:pt>
                <c:pt idx="37">
                  <c:v>1.3190224221910829E-2</c:v>
                </c:pt>
                <c:pt idx="38">
                  <c:v>1.315317745113195E-2</c:v>
                </c:pt>
                <c:pt idx="39">
                  <c:v>1.3235988920133139E-2</c:v>
                </c:pt>
                <c:pt idx="40">
                  <c:v>1.3260498144142459E-2</c:v>
                </c:pt>
                <c:pt idx="41">
                  <c:v>1.2734681567001659E-2</c:v>
                </c:pt>
                <c:pt idx="42">
                  <c:v>1.1887787081969633E-2</c:v>
                </c:pt>
                <c:pt idx="43">
                  <c:v>1.1692420626807313E-2</c:v>
                </c:pt>
                <c:pt idx="44">
                  <c:v>1.1897548331358625E-2</c:v>
                </c:pt>
                <c:pt idx="45">
                  <c:v>1.2118467332475829E-2</c:v>
                </c:pt>
                <c:pt idx="46">
                  <c:v>1.2311747143747023E-2</c:v>
                </c:pt>
                <c:pt idx="47">
                  <c:v>1.2814734422045089E-2</c:v>
                </c:pt>
                <c:pt idx="48">
                  <c:v>1.3340993084756045E-2</c:v>
                </c:pt>
                <c:pt idx="49">
                  <c:v>1.3757649892914496E-2</c:v>
                </c:pt>
                <c:pt idx="50">
                  <c:v>1.3420037984699524E-2</c:v>
                </c:pt>
                <c:pt idx="51">
                  <c:v>1.3717296322070867E-2</c:v>
                </c:pt>
                <c:pt idx="52">
                  <c:v>1.3688436976051235E-2</c:v>
                </c:pt>
                <c:pt idx="53">
                  <c:v>1.3865854757065314E-2</c:v>
                </c:pt>
                <c:pt idx="54">
                  <c:v>1.3837844215340376E-2</c:v>
                </c:pt>
                <c:pt idx="55">
                  <c:v>1.3869090823438839E-2</c:v>
                </c:pt>
                <c:pt idx="56">
                  <c:v>1.3710311370062438E-2</c:v>
                </c:pt>
                <c:pt idx="57">
                  <c:v>1.3369074360172206E-2</c:v>
                </c:pt>
                <c:pt idx="58">
                  <c:v>1.3031603919339683E-2</c:v>
                </c:pt>
                <c:pt idx="59">
                  <c:v>1.2541101137542759E-2</c:v>
                </c:pt>
                <c:pt idx="60">
                  <c:v>1.198868869250151E-2</c:v>
                </c:pt>
                <c:pt idx="61">
                  <c:v>1.1678468406213262E-2</c:v>
                </c:pt>
                <c:pt idx="62">
                  <c:v>1.1403968633993431E-2</c:v>
                </c:pt>
                <c:pt idx="63">
                  <c:v>1.0944146590765171E-2</c:v>
                </c:pt>
                <c:pt idx="64">
                  <c:v>1.0515323587716089E-2</c:v>
                </c:pt>
                <c:pt idx="65">
                  <c:v>1.0099763151771619E-2</c:v>
                </c:pt>
                <c:pt idx="66">
                  <c:v>1.0077924124606027E-2</c:v>
                </c:pt>
                <c:pt idx="67">
                  <c:v>9.899958157484956E-3</c:v>
                </c:pt>
                <c:pt idx="68">
                  <c:v>9.5719837146993354E-3</c:v>
                </c:pt>
                <c:pt idx="69">
                  <c:v>9.5863249705951201E-3</c:v>
                </c:pt>
                <c:pt idx="70">
                  <c:v>9.7269258653268006E-3</c:v>
                </c:pt>
                <c:pt idx="71">
                  <c:v>9.9161915396210002E-3</c:v>
                </c:pt>
                <c:pt idx="72">
                  <c:v>1.0396225735116685E-2</c:v>
                </c:pt>
                <c:pt idx="73">
                  <c:v>1.1190989489716188E-2</c:v>
                </c:pt>
                <c:pt idx="74">
                  <c:v>8.533082624838156E-3</c:v>
                </c:pt>
                <c:pt idx="75">
                  <c:v>8.1671772401333484E-3</c:v>
                </c:pt>
                <c:pt idx="76">
                  <c:v>8.0184066040652272E-3</c:v>
                </c:pt>
                <c:pt idx="77">
                  <c:v>7.3157381154401423E-3</c:v>
                </c:pt>
                <c:pt idx="78">
                  <c:v>6.4086846260216022E-3</c:v>
                </c:pt>
                <c:pt idx="79">
                  <c:v>5.6335317873141173E-3</c:v>
                </c:pt>
                <c:pt idx="80">
                  <c:v>5.7255032693288915E-3</c:v>
                </c:pt>
                <c:pt idx="81">
                  <c:v>5.5363436955715301E-3</c:v>
                </c:pt>
                <c:pt idx="82">
                  <c:v>5.2137450133189775E-3</c:v>
                </c:pt>
                <c:pt idx="83">
                  <c:v>4.7933216361028159E-3</c:v>
                </c:pt>
                <c:pt idx="84">
                  <c:v>4.3577081986961733E-3</c:v>
                </c:pt>
                <c:pt idx="85">
                  <c:v>3.9444289242936952E-3</c:v>
                </c:pt>
                <c:pt idx="86">
                  <c:v>3.4484442814268642E-3</c:v>
                </c:pt>
                <c:pt idx="87">
                  <c:v>3.0744575724996463E-3</c:v>
                </c:pt>
                <c:pt idx="88">
                  <c:v>2.7674026188936975E-3</c:v>
                </c:pt>
                <c:pt idx="89">
                  <c:v>2.4211612003493255E-3</c:v>
                </c:pt>
                <c:pt idx="90">
                  <c:v>9.2142480713309667E-3</c:v>
                </c:pt>
              </c:numCache>
            </c:numRef>
          </c:val>
          <c:smooth val="0"/>
          <c:extLst>
            <c:ext xmlns:c16="http://schemas.microsoft.com/office/drawing/2014/chart" uri="{C3380CC4-5D6E-409C-BE32-E72D297353CC}">
              <c16:uniqueId val="{00000003-FFB3-4E6B-9922-F134ABBDF0B9}"/>
            </c:ext>
          </c:extLst>
        </c:ser>
        <c:dLbls>
          <c:showLegendKey val="0"/>
          <c:showVal val="0"/>
          <c:showCatName val="0"/>
          <c:showSerName val="0"/>
          <c:showPercent val="0"/>
          <c:showBubbleSize val="0"/>
        </c:dLbls>
        <c:smooth val="0"/>
        <c:axId val="154741760"/>
        <c:axId val="154747648"/>
      </c:lineChart>
      <c:catAx>
        <c:axId val="15474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Arial" panose="020B0604020202020204" pitchFamily="34" charset="0"/>
              </a:defRPr>
            </a:pPr>
            <a:endParaRPr lang="en-US"/>
          </a:p>
        </c:txPr>
        <c:crossAx val="154747648"/>
        <c:crosses val="autoZero"/>
        <c:auto val="1"/>
        <c:lblAlgn val="ctr"/>
        <c:lblOffset val="100"/>
        <c:noMultiLvlLbl val="0"/>
      </c:catAx>
      <c:valAx>
        <c:axId val="1547476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Arial" panose="020B0604020202020204" pitchFamily="34" charset="0"/>
              </a:defRPr>
            </a:pPr>
            <a:endParaRPr lang="en-US"/>
          </a:p>
        </c:txPr>
        <c:crossAx val="154741760"/>
        <c:crosses val="autoZero"/>
        <c:crossBetween val="between"/>
      </c:valAx>
      <c:spPr>
        <a:noFill/>
        <a:ln>
          <a:noFill/>
        </a:ln>
        <a:effectLst/>
      </c:spPr>
    </c:plotArea>
    <c:legend>
      <c:legendPos val="b"/>
      <c:layout>
        <c:manualLayout>
          <c:xMode val="edge"/>
          <c:yMode val="edge"/>
          <c:x val="0.10257530017390891"/>
          <c:y val="0.93219005286963164"/>
          <c:w val="0.72689615763507698"/>
          <c:h val="6.78099471303683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cs typeface="Arial" panose="020B0604020202020204"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Under 16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District Total</c:v>
                </c:pt>
                <c:pt idx="1">
                  <c:v>SDNP</c:v>
                </c:pt>
                <c:pt idx="2">
                  <c:v>Plan Area North</c:v>
                </c:pt>
                <c:pt idx="3">
                  <c:v>Manhood</c:v>
                </c:pt>
                <c:pt idx="4">
                  <c:v>EW Corridor</c:v>
                </c:pt>
                <c:pt idx="5">
                  <c:v>Chichester City</c:v>
                </c:pt>
              </c:strCache>
            </c:strRef>
          </c:cat>
          <c:val>
            <c:numRef>
              <c:f>Sheet1!$B$2:$B$7</c:f>
              <c:numCache>
                <c:formatCode>0.0%</c:formatCode>
                <c:ptCount val="6"/>
                <c:pt idx="0">
                  <c:v>0.16556111531750997</c:v>
                </c:pt>
                <c:pt idx="1">
                  <c:v>0.16760768889170843</c:v>
                </c:pt>
                <c:pt idx="2">
                  <c:v>0.20688423058599334</c:v>
                </c:pt>
                <c:pt idx="3">
                  <c:v>0.14734204403078574</c:v>
                </c:pt>
                <c:pt idx="4">
                  <c:v>0.18820017990023713</c:v>
                </c:pt>
                <c:pt idx="5">
                  <c:v>0.14993320316514233</c:v>
                </c:pt>
              </c:numCache>
            </c:numRef>
          </c:val>
          <c:extLst>
            <c:ext xmlns:c16="http://schemas.microsoft.com/office/drawing/2014/chart" uri="{C3380CC4-5D6E-409C-BE32-E72D297353CC}">
              <c16:uniqueId val="{00000000-5BC1-4B22-99BF-DBA1117B6865}"/>
            </c:ext>
          </c:extLst>
        </c:ser>
        <c:ser>
          <c:idx val="1"/>
          <c:order val="1"/>
          <c:tx>
            <c:strRef>
              <c:f>Sheet1!$C$1</c:f>
              <c:strCache>
                <c:ptCount val="1"/>
                <c:pt idx="0">
                  <c:v>16-64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District Total</c:v>
                </c:pt>
                <c:pt idx="1">
                  <c:v>SDNP</c:v>
                </c:pt>
                <c:pt idx="2">
                  <c:v>Plan Area North</c:v>
                </c:pt>
                <c:pt idx="3">
                  <c:v>Manhood</c:v>
                </c:pt>
                <c:pt idx="4">
                  <c:v>EW Corridor</c:v>
                </c:pt>
                <c:pt idx="5">
                  <c:v>Chichester City</c:v>
                </c:pt>
              </c:strCache>
            </c:strRef>
          </c:cat>
          <c:val>
            <c:numRef>
              <c:f>Sheet1!$C$2:$C$7</c:f>
              <c:numCache>
                <c:formatCode>0.0%</c:formatCode>
                <c:ptCount val="6"/>
                <c:pt idx="0">
                  <c:v>0.55763406524673276</c:v>
                </c:pt>
                <c:pt idx="1">
                  <c:v>0.53917401509864871</c:v>
                </c:pt>
                <c:pt idx="2">
                  <c:v>0.5591948546927108</c:v>
                </c:pt>
                <c:pt idx="3">
                  <c:v>0.51916950062645428</c:v>
                </c:pt>
                <c:pt idx="4">
                  <c:v>0.56460053970071145</c:v>
                </c:pt>
                <c:pt idx="5">
                  <c:v>0.60809098071455481</c:v>
                </c:pt>
              </c:numCache>
            </c:numRef>
          </c:val>
          <c:extLst>
            <c:ext xmlns:c16="http://schemas.microsoft.com/office/drawing/2014/chart" uri="{C3380CC4-5D6E-409C-BE32-E72D297353CC}">
              <c16:uniqueId val="{00000001-5BC1-4B22-99BF-DBA1117B6865}"/>
            </c:ext>
          </c:extLst>
        </c:ser>
        <c:ser>
          <c:idx val="2"/>
          <c:order val="2"/>
          <c:tx>
            <c:strRef>
              <c:f>Sheet1!$D$1</c:f>
              <c:strCache>
                <c:ptCount val="1"/>
                <c:pt idx="0">
                  <c:v>65+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District Total</c:v>
                </c:pt>
                <c:pt idx="1">
                  <c:v>SDNP</c:v>
                </c:pt>
                <c:pt idx="2">
                  <c:v>Plan Area North</c:v>
                </c:pt>
                <c:pt idx="3">
                  <c:v>Manhood</c:v>
                </c:pt>
                <c:pt idx="4">
                  <c:v>EW Corridor</c:v>
                </c:pt>
                <c:pt idx="5">
                  <c:v>Chichester City</c:v>
                </c:pt>
              </c:strCache>
            </c:strRef>
          </c:cat>
          <c:val>
            <c:numRef>
              <c:f>Sheet1!$D$2:$D$7</c:f>
              <c:numCache>
                <c:formatCode>0.0%</c:formatCode>
                <c:ptCount val="6"/>
                <c:pt idx="0">
                  <c:v>0.2768048194357573</c:v>
                </c:pt>
                <c:pt idx="1">
                  <c:v>0.29321829600964283</c:v>
                </c:pt>
                <c:pt idx="2">
                  <c:v>0.23392091472129586</c:v>
                </c:pt>
                <c:pt idx="3">
                  <c:v>0.33348845534276</c:v>
                </c:pt>
                <c:pt idx="4">
                  <c:v>0.24719928039905142</c:v>
                </c:pt>
                <c:pt idx="5">
                  <c:v>0.24197581612030281</c:v>
                </c:pt>
              </c:numCache>
            </c:numRef>
          </c:val>
          <c:extLst>
            <c:ext xmlns:c16="http://schemas.microsoft.com/office/drawing/2014/chart" uri="{C3380CC4-5D6E-409C-BE32-E72D297353CC}">
              <c16:uniqueId val="{00000002-5BC1-4B22-99BF-DBA1117B6865}"/>
            </c:ext>
          </c:extLst>
        </c:ser>
        <c:dLbls>
          <c:dLblPos val="ctr"/>
          <c:showLegendKey val="0"/>
          <c:showVal val="1"/>
          <c:showCatName val="0"/>
          <c:showSerName val="0"/>
          <c:showPercent val="0"/>
          <c:showBubbleSize val="0"/>
        </c:dLbls>
        <c:gapWidth val="150"/>
        <c:overlap val="100"/>
        <c:axId val="157537024"/>
        <c:axId val="157538560"/>
      </c:barChart>
      <c:catAx>
        <c:axId val="157537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157538560"/>
        <c:crosses val="autoZero"/>
        <c:auto val="1"/>
        <c:lblAlgn val="ctr"/>
        <c:lblOffset val="100"/>
        <c:noMultiLvlLbl val="0"/>
      </c:catAx>
      <c:valAx>
        <c:axId val="1575385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157537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CC19048-3F08-43AF-BB59-6F92A794608B}" type="doc">
      <dgm:prSet loTypeId="urn:microsoft.com/office/officeart/2011/layout/CircleProcess" loCatId="process" qsTypeId="urn:microsoft.com/office/officeart/2005/8/quickstyle/simple1" qsCatId="simple" csTypeId="urn:microsoft.com/office/officeart/2005/8/colors/accent0_2" csCatId="mainScheme" phldr="1"/>
      <dgm:spPr/>
      <dgm:t>
        <a:bodyPr/>
        <a:lstStyle/>
        <a:p>
          <a:endParaRPr lang="en-GB"/>
        </a:p>
      </dgm:t>
    </dgm:pt>
    <dgm:pt modelId="{76062A16-49AA-4689-804C-8ADF65F0FA63}">
      <dgm:prSet phldrT="[Text]" custT="1"/>
      <dgm:spPr/>
      <dgm:t>
        <a:bodyPr/>
        <a:lstStyle/>
        <a:p>
          <a:r>
            <a:rPr lang="en-GB" sz="1000"/>
            <a:t>1. Projected Household Growth</a:t>
          </a:r>
        </a:p>
      </dgm:t>
    </dgm:pt>
    <dgm:pt modelId="{B49A335D-9616-43A6-AC65-A125ECA27B18}" type="parTrans" cxnId="{379FAE71-2102-40A7-8E4A-5B43C41A8468}">
      <dgm:prSet/>
      <dgm:spPr/>
      <dgm:t>
        <a:bodyPr/>
        <a:lstStyle/>
        <a:p>
          <a:endParaRPr lang="en-GB"/>
        </a:p>
      </dgm:t>
    </dgm:pt>
    <dgm:pt modelId="{E8E636FF-8827-4FC1-A180-256C00B2A32E}" type="sibTrans" cxnId="{379FAE71-2102-40A7-8E4A-5B43C41A8468}">
      <dgm:prSet/>
      <dgm:spPr/>
      <dgm:t>
        <a:bodyPr/>
        <a:lstStyle/>
        <a:p>
          <a:endParaRPr lang="en-GB"/>
        </a:p>
      </dgm:t>
    </dgm:pt>
    <dgm:pt modelId="{09F430C8-0A03-4462-94B2-AEE1437B002E}">
      <dgm:prSet phldrT="[Text]" custT="1"/>
      <dgm:spPr/>
      <dgm:t>
        <a:bodyPr/>
        <a:lstStyle/>
        <a:p>
          <a:r>
            <a:rPr lang="en-GB" sz="1000"/>
            <a:t>3. Local Housing Need </a:t>
          </a:r>
        </a:p>
      </dgm:t>
    </dgm:pt>
    <dgm:pt modelId="{A71FFF5D-EACF-4C16-A7E0-07846075DF8A}" type="parTrans" cxnId="{907B9702-3936-4590-A102-F2281283CE15}">
      <dgm:prSet/>
      <dgm:spPr/>
      <dgm:t>
        <a:bodyPr/>
        <a:lstStyle/>
        <a:p>
          <a:endParaRPr lang="en-GB"/>
        </a:p>
      </dgm:t>
    </dgm:pt>
    <dgm:pt modelId="{1AB5967E-FB19-4961-BFE9-1F0F0CF32392}" type="sibTrans" cxnId="{907B9702-3936-4590-A102-F2281283CE15}">
      <dgm:prSet/>
      <dgm:spPr/>
      <dgm:t>
        <a:bodyPr/>
        <a:lstStyle/>
        <a:p>
          <a:endParaRPr lang="en-GB"/>
        </a:p>
      </dgm:t>
    </dgm:pt>
    <dgm:pt modelId="{D186C14B-4CEE-435C-B320-8B1434C82648}">
      <dgm:prSet custT="1"/>
      <dgm:spPr/>
      <dgm:t>
        <a:bodyPr/>
        <a:lstStyle/>
        <a:p>
          <a:r>
            <a:rPr lang="en-GB" sz="1000"/>
            <a:t>2. Adjustment based on Affordability </a:t>
          </a:r>
        </a:p>
      </dgm:t>
    </dgm:pt>
    <dgm:pt modelId="{F91E85A5-17ED-4667-A1C5-98735B827FF1}" type="parTrans" cxnId="{9592C377-122D-4134-BD2A-D4BFA8E91FEB}">
      <dgm:prSet/>
      <dgm:spPr/>
      <dgm:t>
        <a:bodyPr/>
        <a:lstStyle/>
        <a:p>
          <a:endParaRPr lang="en-GB"/>
        </a:p>
      </dgm:t>
    </dgm:pt>
    <dgm:pt modelId="{74DAB8B1-A6C3-439A-A512-CA491E1EF7B6}" type="sibTrans" cxnId="{9592C377-122D-4134-BD2A-D4BFA8E91FEB}">
      <dgm:prSet/>
      <dgm:spPr/>
      <dgm:t>
        <a:bodyPr/>
        <a:lstStyle/>
        <a:p>
          <a:endParaRPr lang="en-GB"/>
        </a:p>
      </dgm:t>
    </dgm:pt>
    <dgm:pt modelId="{B80C0928-EDC7-404D-9C18-A706D1F4AD42}">
      <dgm:prSet custT="1"/>
      <dgm:spPr/>
      <dgm:t>
        <a:bodyPr/>
        <a:lstStyle/>
        <a:p>
          <a:r>
            <a:rPr lang="en-GB" sz="1000"/>
            <a:t>4. Cities and Urban Centres Uplift</a:t>
          </a:r>
        </a:p>
      </dgm:t>
    </dgm:pt>
    <dgm:pt modelId="{4F06DF18-44B4-4394-83E0-7C475DA57757}" type="parTrans" cxnId="{02D228C5-E0A1-48A5-8CA7-575B518EB2A9}">
      <dgm:prSet/>
      <dgm:spPr/>
      <dgm:t>
        <a:bodyPr/>
        <a:lstStyle/>
        <a:p>
          <a:endParaRPr lang="en-GB"/>
        </a:p>
      </dgm:t>
    </dgm:pt>
    <dgm:pt modelId="{0E0B3C51-9868-40E0-B546-BDA7A914EDB0}" type="sibTrans" cxnId="{02D228C5-E0A1-48A5-8CA7-575B518EB2A9}">
      <dgm:prSet/>
      <dgm:spPr/>
      <dgm:t>
        <a:bodyPr/>
        <a:lstStyle/>
        <a:p>
          <a:endParaRPr lang="en-GB"/>
        </a:p>
      </dgm:t>
    </dgm:pt>
    <dgm:pt modelId="{8A6ECE9C-0C11-4C31-AFAE-4BE819780AB5}" type="pres">
      <dgm:prSet presAssocID="{1CC19048-3F08-43AF-BB59-6F92A794608B}" presName="Name0" presStyleCnt="0">
        <dgm:presLayoutVars>
          <dgm:chMax val="11"/>
          <dgm:chPref val="11"/>
          <dgm:dir/>
          <dgm:resizeHandles/>
        </dgm:presLayoutVars>
      </dgm:prSet>
      <dgm:spPr/>
    </dgm:pt>
    <dgm:pt modelId="{7993E7A1-7C44-4560-B116-ABD3382FFE55}" type="pres">
      <dgm:prSet presAssocID="{B80C0928-EDC7-404D-9C18-A706D1F4AD42}" presName="Accent4" presStyleCnt="0"/>
      <dgm:spPr/>
    </dgm:pt>
    <dgm:pt modelId="{02CCB18C-6044-4C3E-9CC2-47D338ECB4DA}" type="pres">
      <dgm:prSet presAssocID="{B80C0928-EDC7-404D-9C18-A706D1F4AD42}" presName="Accent" presStyleLbl="node1" presStyleIdx="0" presStyleCnt="4"/>
      <dgm:spPr/>
    </dgm:pt>
    <dgm:pt modelId="{D7E0BDD0-C83E-42C1-989E-ED307516DC6B}" type="pres">
      <dgm:prSet presAssocID="{B80C0928-EDC7-404D-9C18-A706D1F4AD42}" presName="ParentBackground4" presStyleCnt="0"/>
      <dgm:spPr/>
    </dgm:pt>
    <dgm:pt modelId="{CC972EAA-BD05-4F44-A6D2-D5B465A2C4CF}" type="pres">
      <dgm:prSet presAssocID="{B80C0928-EDC7-404D-9C18-A706D1F4AD42}" presName="ParentBackground" presStyleLbl="fgAcc1" presStyleIdx="0" presStyleCnt="4"/>
      <dgm:spPr/>
    </dgm:pt>
    <dgm:pt modelId="{F7F37071-1418-47AD-AF7D-C1188620FBF5}" type="pres">
      <dgm:prSet presAssocID="{B80C0928-EDC7-404D-9C18-A706D1F4AD42}" presName="Parent4" presStyleLbl="revTx" presStyleIdx="0" presStyleCnt="0">
        <dgm:presLayoutVars>
          <dgm:chMax val="1"/>
          <dgm:chPref val="1"/>
          <dgm:bulletEnabled val="1"/>
        </dgm:presLayoutVars>
      </dgm:prSet>
      <dgm:spPr/>
    </dgm:pt>
    <dgm:pt modelId="{64DF1F9A-EDF1-4C99-A6E4-C1A6609498E8}" type="pres">
      <dgm:prSet presAssocID="{09F430C8-0A03-4462-94B2-AEE1437B002E}" presName="Accent3" presStyleCnt="0"/>
      <dgm:spPr/>
    </dgm:pt>
    <dgm:pt modelId="{F93AFDA6-9193-475F-B986-5EEA2EB56ED2}" type="pres">
      <dgm:prSet presAssocID="{09F430C8-0A03-4462-94B2-AEE1437B002E}" presName="Accent" presStyleLbl="node1" presStyleIdx="1" presStyleCnt="4"/>
      <dgm:spPr/>
    </dgm:pt>
    <dgm:pt modelId="{74DEBBA1-4D9F-4697-AC9C-D9A86337D92D}" type="pres">
      <dgm:prSet presAssocID="{09F430C8-0A03-4462-94B2-AEE1437B002E}" presName="ParentBackground3" presStyleCnt="0"/>
      <dgm:spPr/>
    </dgm:pt>
    <dgm:pt modelId="{CBC19DB8-F0D7-4446-98CE-D66E2C30146A}" type="pres">
      <dgm:prSet presAssocID="{09F430C8-0A03-4462-94B2-AEE1437B002E}" presName="ParentBackground" presStyleLbl="fgAcc1" presStyleIdx="1" presStyleCnt="4"/>
      <dgm:spPr/>
    </dgm:pt>
    <dgm:pt modelId="{AB516BE9-ADEB-41E2-91DD-7FDF9B15BF02}" type="pres">
      <dgm:prSet presAssocID="{09F430C8-0A03-4462-94B2-AEE1437B002E}" presName="Parent3" presStyleLbl="revTx" presStyleIdx="0" presStyleCnt="0">
        <dgm:presLayoutVars>
          <dgm:chMax val="1"/>
          <dgm:chPref val="1"/>
          <dgm:bulletEnabled val="1"/>
        </dgm:presLayoutVars>
      </dgm:prSet>
      <dgm:spPr/>
    </dgm:pt>
    <dgm:pt modelId="{C4247602-819E-4FC3-9260-F7DFE61AFC8D}" type="pres">
      <dgm:prSet presAssocID="{D186C14B-4CEE-435C-B320-8B1434C82648}" presName="Accent2" presStyleCnt="0"/>
      <dgm:spPr/>
    </dgm:pt>
    <dgm:pt modelId="{ECDAA0FB-5CC9-4F3D-81D4-F1245A84E821}" type="pres">
      <dgm:prSet presAssocID="{D186C14B-4CEE-435C-B320-8B1434C82648}" presName="Accent" presStyleLbl="node1" presStyleIdx="2" presStyleCnt="4"/>
      <dgm:spPr/>
    </dgm:pt>
    <dgm:pt modelId="{600CF70E-CE36-45B8-9F44-2D258367B4DC}" type="pres">
      <dgm:prSet presAssocID="{D186C14B-4CEE-435C-B320-8B1434C82648}" presName="ParentBackground2" presStyleCnt="0"/>
      <dgm:spPr/>
    </dgm:pt>
    <dgm:pt modelId="{7D7D9816-14D7-4872-B5B7-59E918F468A6}" type="pres">
      <dgm:prSet presAssocID="{D186C14B-4CEE-435C-B320-8B1434C82648}" presName="ParentBackground" presStyleLbl="fgAcc1" presStyleIdx="2" presStyleCnt="4"/>
      <dgm:spPr/>
    </dgm:pt>
    <dgm:pt modelId="{9A53F00A-35A1-4208-95ED-E8267E76F06B}" type="pres">
      <dgm:prSet presAssocID="{D186C14B-4CEE-435C-B320-8B1434C82648}" presName="Parent2" presStyleLbl="revTx" presStyleIdx="0" presStyleCnt="0">
        <dgm:presLayoutVars>
          <dgm:chMax val="1"/>
          <dgm:chPref val="1"/>
          <dgm:bulletEnabled val="1"/>
        </dgm:presLayoutVars>
      </dgm:prSet>
      <dgm:spPr/>
    </dgm:pt>
    <dgm:pt modelId="{343BEEA6-DADF-48E5-852C-744E42E94CCA}" type="pres">
      <dgm:prSet presAssocID="{76062A16-49AA-4689-804C-8ADF65F0FA63}" presName="Accent1" presStyleCnt="0"/>
      <dgm:spPr/>
    </dgm:pt>
    <dgm:pt modelId="{9AA95606-37FB-42E8-9A0C-74A2354FBC0D}" type="pres">
      <dgm:prSet presAssocID="{76062A16-49AA-4689-804C-8ADF65F0FA63}" presName="Accent" presStyleLbl="node1" presStyleIdx="3" presStyleCnt="4"/>
      <dgm:spPr/>
    </dgm:pt>
    <dgm:pt modelId="{556024D8-AE93-4C9A-8A63-AB2C0F4120BE}" type="pres">
      <dgm:prSet presAssocID="{76062A16-49AA-4689-804C-8ADF65F0FA63}" presName="ParentBackground1" presStyleCnt="0"/>
      <dgm:spPr/>
    </dgm:pt>
    <dgm:pt modelId="{D4640F16-19A5-4CD0-9B70-771663D2265A}" type="pres">
      <dgm:prSet presAssocID="{76062A16-49AA-4689-804C-8ADF65F0FA63}" presName="ParentBackground" presStyleLbl="fgAcc1" presStyleIdx="3" presStyleCnt="4"/>
      <dgm:spPr/>
    </dgm:pt>
    <dgm:pt modelId="{18E8CC4B-AB64-465F-AC61-37ED5C3A12D0}" type="pres">
      <dgm:prSet presAssocID="{76062A16-49AA-4689-804C-8ADF65F0FA63}" presName="Parent1" presStyleLbl="revTx" presStyleIdx="0" presStyleCnt="0">
        <dgm:presLayoutVars>
          <dgm:chMax val="1"/>
          <dgm:chPref val="1"/>
          <dgm:bulletEnabled val="1"/>
        </dgm:presLayoutVars>
      </dgm:prSet>
      <dgm:spPr/>
    </dgm:pt>
  </dgm:ptLst>
  <dgm:cxnLst>
    <dgm:cxn modelId="{907B9702-3936-4590-A102-F2281283CE15}" srcId="{1CC19048-3F08-43AF-BB59-6F92A794608B}" destId="{09F430C8-0A03-4462-94B2-AEE1437B002E}" srcOrd="2" destOrd="0" parTransId="{A71FFF5D-EACF-4C16-A7E0-07846075DF8A}" sibTransId="{1AB5967E-FB19-4961-BFE9-1F0F0CF32392}"/>
    <dgm:cxn modelId="{5B8D2719-1B5B-4FA5-9335-186E985BEF62}" type="presOf" srcId="{76062A16-49AA-4689-804C-8ADF65F0FA63}" destId="{D4640F16-19A5-4CD0-9B70-771663D2265A}" srcOrd="0" destOrd="0" presId="urn:microsoft.com/office/officeart/2011/layout/CircleProcess"/>
    <dgm:cxn modelId="{1BE00B27-0A57-4826-B7C1-8001151ED4B7}" type="presOf" srcId="{09F430C8-0A03-4462-94B2-AEE1437B002E}" destId="{CBC19DB8-F0D7-4446-98CE-D66E2C30146A}" srcOrd="0" destOrd="0" presId="urn:microsoft.com/office/officeart/2011/layout/CircleProcess"/>
    <dgm:cxn modelId="{379FAE71-2102-40A7-8E4A-5B43C41A8468}" srcId="{1CC19048-3F08-43AF-BB59-6F92A794608B}" destId="{76062A16-49AA-4689-804C-8ADF65F0FA63}" srcOrd="0" destOrd="0" parTransId="{B49A335D-9616-43A6-AC65-A125ECA27B18}" sibTransId="{E8E636FF-8827-4FC1-A180-256C00B2A32E}"/>
    <dgm:cxn modelId="{27369C72-D634-4580-9C2B-6A7A34A31EA1}" type="presOf" srcId="{D186C14B-4CEE-435C-B320-8B1434C82648}" destId="{7D7D9816-14D7-4872-B5B7-59E918F468A6}" srcOrd="0" destOrd="0" presId="urn:microsoft.com/office/officeart/2011/layout/CircleProcess"/>
    <dgm:cxn modelId="{9592C377-122D-4134-BD2A-D4BFA8E91FEB}" srcId="{1CC19048-3F08-43AF-BB59-6F92A794608B}" destId="{D186C14B-4CEE-435C-B320-8B1434C82648}" srcOrd="1" destOrd="0" parTransId="{F91E85A5-17ED-4667-A1C5-98735B827FF1}" sibTransId="{74DAB8B1-A6C3-439A-A512-CA491E1EF7B6}"/>
    <dgm:cxn modelId="{72846F86-302D-4641-92B4-9F5D38C33AF1}" type="presOf" srcId="{09F430C8-0A03-4462-94B2-AEE1437B002E}" destId="{AB516BE9-ADEB-41E2-91DD-7FDF9B15BF02}" srcOrd="1" destOrd="0" presId="urn:microsoft.com/office/officeart/2011/layout/CircleProcess"/>
    <dgm:cxn modelId="{44FC4B87-D6EB-407B-9400-73ED4A65C925}" type="presOf" srcId="{76062A16-49AA-4689-804C-8ADF65F0FA63}" destId="{18E8CC4B-AB64-465F-AC61-37ED5C3A12D0}" srcOrd="1" destOrd="0" presId="urn:microsoft.com/office/officeart/2011/layout/CircleProcess"/>
    <dgm:cxn modelId="{BAAD7887-A855-4426-8F7A-7DBB61E2B51E}" type="presOf" srcId="{B80C0928-EDC7-404D-9C18-A706D1F4AD42}" destId="{CC972EAA-BD05-4F44-A6D2-D5B465A2C4CF}" srcOrd="0" destOrd="0" presId="urn:microsoft.com/office/officeart/2011/layout/CircleProcess"/>
    <dgm:cxn modelId="{7F859697-615F-4976-B081-01A609E8AA12}" type="presOf" srcId="{D186C14B-4CEE-435C-B320-8B1434C82648}" destId="{9A53F00A-35A1-4208-95ED-E8267E76F06B}" srcOrd="1" destOrd="0" presId="urn:microsoft.com/office/officeart/2011/layout/CircleProcess"/>
    <dgm:cxn modelId="{F0D885B9-2BB2-4449-826F-48CF2A233B88}" type="presOf" srcId="{B80C0928-EDC7-404D-9C18-A706D1F4AD42}" destId="{F7F37071-1418-47AD-AF7D-C1188620FBF5}" srcOrd="1" destOrd="0" presId="urn:microsoft.com/office/officeart/2011/layout/CircleProcess"/>
    <dgm:cxn modelId="{02D228C5-E0A1-48A5-8CA7-575B518EB2A9}" srcId="{1CC19048-3F08-43AF-BB59-6F92A794608B}" destId="{B80C0928-EDC7-404D-9C18-A706D1F4AD42}" srcOrd="3" destOrd="0" parTransId="{4F06DF18-44B4-4394-83E0-7C475DA57757}" sibTransId="{0E0B3C51-9868-40E0-B546-BDA7A914EDB0}"/>
    <dgm:cxn modelId="{025EB7D9-D51B-4952-B0DB-76E588AC4585}" type="presOf" srcId="{1CC19048-3F08-43AF-BB59-6F92A794608B}" destId="{8A6ECE9C-0C11-4C31-AFAE-4BE819780AB5}" srcOrd="0" destOrd="0" presId="urn:microsoft.com/office/officeart/2011/layout/CircleProcess"/>
    <dgm:cxn modelId="{4D1BF9C4-EC75-436C-9BFD-326ED9E4D259}" type="presParOf" srcId="{8A6ECE9C-0C11-4C31-AFAE-4BE819780AB5}" destId="{7993E7A1-7C44-4560-B116-ABD3382FFE55}" srcOrd="0" destOrd="0" presId="urn:microsoft.com/office/officeart/2011/layout/CircleProcess"/>
    <dgm:cxn modelId="{4145CEF6-8F7D-47EB-A9B6-52C69FEF6E75}" type="presParOf" srcId="{7993E7A1-7C44-4560-B116-ABD3382FFE55}" destId="{02CCB18C-6044-4C3E-9CC2-47D338ECB4DA}" srcOrd="0" destOrd="0" presId="urn:microsoft.com/office/officeart/2011/layout/CircleProcess"/>
    <dgm:cxn modelId="{D82514B2-5F72-44E7-B8AC-75C90B72F987}" type="presParOf" srcId="{8A6ECE9C-0C11-4C31-AFAE-4BE819780AB5}" destId="{D7E0BDD0-C83E-42C1-989E-ED307516DC6B}" srcOrd="1" destOrd="0" presId="urn:microsoft.com/office/officeart/2011/layout/CircleProcess"/>
    <dgm:cxn modelId="{CD367024-E6D7-4EAE-A774-676C59A714EB}" type="presParOf" srcId="{D7E0BDD0-C83E-42C1-989E-ED307516DC6B}" destId="{CC972EAA-BD05-4F44-A6D2-D5B465A2C4CF}" srcOrd="0" destOrd="0" presId="urn:microsoft.com/office/officeart/2011/layout/CircleProcess"/>
    <dgm:cxn modelId="{8F3DEC31-C2A8-4155-A8E5-8E1C233F454E}" type="presParOf" srcId="{8A6ECE9C-0C11-4C31-AFAE-4BE819780AB5}" destId="{F7F37071-1418-47AD-AF7D-C1188620FBF5}" srcOrd="2" destOrd="0" presId="urn:microsoft.com/office/officeart/2011/layout/CircleProcess"/>
    <dgm:cxn modelId="{15022C25-7352-4DE6-9606-288380942FF6}" type="presParOf" srcId="{8A6ECE9C-0C11-4C31-AFAE-4BE819780AB5}" destId="{64DF1F9A-EDF1-4C99-A6E4-C1A6609498E8}" srcOrd="3" destOrd="0" presId="urn:microsoft.com/office/officeart/2011/layout/CircleProcess"/>
    <dgm:cxn modelId="{393E1D82-13ED-43F7-96DA-82E59FEC341C}" type="presParOf" srcId="{64DF1F9A-EDF1-4C99-A6E4-C1A6609498E8}" destId="{F93AFDA6-9193-475F-B986-5EEA2EB56ED2}" srcOrd="0" destOrd="0" presId="urn:microsoft.com/office/officeart/2011/layout/CircleProcess"/>
    <dgm:cxn modelId="{135E6275-041F-4A22-90D4-CDD439CF2336}" type="presParOf" srcId="{8A6ECE9C-0C11-4C31-AFAE-4BE819780AB5}" destId="{74DEBBA1-4D9F-4697-AC9C-D9A86337D92D}" srcOrd="4" destOrd="0" presId="urn:microsoft.com/office/officeart/2011/layout/CircleProcess"/>
    <dgm:cxn modelId="{3A67B352-EC16-4571-A9F1-4E97DC59400E}" type="presParOf" srcId="{74DEBBA1-4D9F-4697-AC9C-D9A86337D92D}" destId="{CBC19DB8-F0D7-4446-98CE-D66E2C30146A}" srcOrd="0" destOrd="0" presId="urn:microsoft.com/office/officeart/2011/layout/CircleProcess"/>
    <dgm:cxn modelId="{F6C09CE3-90CB-4B85-B39E-863A7FC262C2}" type="presParOf" srcId="{8A6ECE9C-0C11-4C31-AFAE-4BE819780AB5}" destId="{AB516BE9-ADEB-41E2-91DD-7FDF9B15BF02}" srcOrd="5" destOrd="0" presId="urn:microsoft.com/office/officeart/2011/layout/CircleProcess"/>
    <dgm:cxn modelId="{81100F69-CF74-427B-8BB9-04A69CB09E0B}" type="presParOf" srcId="{8A6ECE9C-0C11-4C31-AFAE-4BE819780AB5}" destId="{C4247602-819E-4FC3-9260-F7DFE61AFC8D}" srcOrd="6" destOrd="0" presId="urn:microsoft.com/office/officeart/2011/layout/CircleProcess"/>
    <dgm:cxn modelId="{A3405F4B-15F4-44CA-852B-EF299D94BA9E}" type="presParOf" srcId="{C4247602-819E-4FC3-9260-F7DFE61AFC8D}" destId="{ECDAA0FB-5CC9-4F3D-81D4-F1245A84E821}" srcOrd="0" destOrd="0" presId="urn:microsoft.com/office/officeart/2011/layout/CircleProcess"/>
    <dgm:cxn modelId="{9184DD98-2648-4D73-89E7-1AA0218D8ACB}" type="presParOf" srcId="{8A6ECE9C-0C11-4C31-AFAE-4BE819780AB5}" destId="{600CF70E-CE36-45B8-9F44-2D258367B4DC}" srcOrd="7" destOrd="0" presId="urn:microsoft.com/office/officeart/2011/layout/CircleProcess"/>
    <dgm:cxn modelId="{D80313A2-D5C1-4A6F-AFB3-B90A9312FD08}" type="presParOf" srcId="{600CF70E-CE36-45B8-9F44-2D258367B4DC}" destId="{7D7D9816-14D7-4872-B5B7-59E918F468A6}" srcOrd="0" destOrd="0" presId="urn:microsoft.com/office/officeart/2011/layout/CircleProcess"/>
    <dgm:cxn modelId="{E334FEFB-EB8C-40A6-A3F1-995BCB36E684}" type="presParOf" srcId="{8A6ECE9C-0C11-4C31-AFAE-4BE819780AB5}" destId="{9A53F00A-35A1-4208-95ED-E8267E76F06B}" srcOrd="8" destOrd="0" presId="urn:microsoft.com/office/officeart/2011/layout/CircleProcess"/>
    <dgm:cxn modelId="{E6408C4A-1C51-4A09-8C53-2AAFCBB8A120}" type="presParOf" srcId="{8A6ECE9C-0C11-4C31-AFAE-4BE819780AB5}" destId="{343BEEA6-DADF-48E5-852C-744E42E94CCA}" srcOrd="9" destOrd="0" presId="urn:microsoft.com/office/officeart/2011/layout/CircleProcess"/>
    <dgm:cxn modelId="{C22D3EC3-81E5-4ED1-9F47-285490E81436}" type="presParOf" srcId="{343BEEA6-DADF-48E5-852C-744E42E94CCA}" destId="{9AA95606-37FB-42E8-9A0C-74A2354FBC0D}" srcOrd="0" destOrd="0" presId="urn:microsoft.com/office/officeart/2011/layout/CircleProcess"/>
    <dgm:cxn modelId="{68769A90-69FB-4967-97EF-BEAD096FE19B}" type="presParOf" srcId="{8A6ECE9C-0C11-4C31-AFAE-4BE819780AB5}" destId="{556024D8-AE93-4C9A-8A63-AB2C0F4120BE}" srcOrd="10" destOrd="0" presId="urn:microsoft.com/office/officeart/2011/layout/CircleProcess"/>
    <dgm:cxn modelId="{1535CB09-2519-48A3-A5B1-2CFDA0EC2AC6}" type="presParOf" srcId="{556024D8-AE93-4C9A-8A63-AB2C0F4120BE}" destId="{D4640F16-19A5-4CD0-9B70-771663D2265A}" srcOrd="0" destOrd="0" presId="urn:microsoft.com/office/officeart/2011/layout/CircleProcess"/>
    <dgm:cxn modelId="{7BD20F59-929C-4B1D-B2A6-14F6AFEB4C64}" type="presParOf" srcId="{8A6ECE9C-0C11-4C31-AFAE-4BE819780AB5}" destId="{18E8CC4B-AB64-465F-AC61-37ED5C3A12D0}" srcOrd="11" destOrd="0" presId="urn:microsoft.com/office/officeart/2011/layout/CircleProcess"/>
  </dgm:cxnLst>
  <dgm:bg>
    <a:solidFill>
      <a:schemeClr val="bg1"/>
    </a:solidFill>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A61C94F-AD17-4D84-8B1B-838CBDA01E47}"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4DF5DCF5-A638-4655-B85F-7492A4C00FCD}">
      <dgm:prSet phldrT="[Text]"/>
      <dgm:spPr/>
      <dgm:t>
        <a:bodyPr/>
        <a:lstStyle/>
        <a:p>
          <a:r>
            <a:rPr lang="en-GB" b="1"/>
            <a:t>Economic Forecast by sector </a:t>
          </a:r>
          <a:r>
            <a:rPr lang="en-GB" b="0"/>
            <a:t>- From OE (with internal adjustments)</a:t>
          </a:r>
        </a:p>
      </dgm:t>
    </dgm:pt>
    <dgm:pt modelId="{90E4B9F5-FD69-4F85-985D-6029E476975F}" type="parTrans" cxnId="{88ADD22F-C8AE-41E4-9D4E-E547F6CD44C7}">
      <dgm:prSet/>
      <dgm:spPr/>
      <dgm:t>
        <a:bodyPr/>
        <a:lstStyle/>
        <a:p>
          <a:endParaRPr lang="en-GB"/>
        </a:p>
      </dgm:t>
    </dgm:pt>
    <dgm:pt modelId="{A0607D0D-2EDE-4519-A416-38D944ED1CFD}" type="sibTrans" cxnId="{88ADD22F-C8AE-41E4-9D4E-E547F6CD44C7}">
      <dgm:prSet/>
      <dgm:spPr/>
      <dgm:t>
        <a:bodyPr/>
        <a:lstStyle/>
        <a:p>
          <a:endParaRPr lang="en-GB"/>
        </a:p>
      </dgm:t>
    </dgm:pt>
    <dgm:pt modelId="{73860D92-B02D-469B-9D03-754C72FFA33B}">
      <dgm:prSet phldrT="[Text]"/>
      <dgm:spPr/>
      <dgm:t>
        <a:bodyPr/>
        <a:lstStyle/>
        <a:p>
          <a:r>
            <a:rPr lang="en-GB"/>
            <a:t> </a:t>
          </a:r>
        </a:p>
      </dgm:t>
    </dgm:pt>
    <dgm:pt modelId="{8EE19ABF-2070-458C-8178-0B928054FDD8}" type="parTrans" cxnId="{1FCA5B76-A934-4FD5-BA44-26F5279F2B55}">
      <dgm:prSet/>
      <dgm:spPr/>
      <dgm:t>
        <a:bodyPr/>
        <a:lstStyle/>
        <a:p>
          <a:endParaRPr lang="en-GB"/>
        </a:p>
      </dgm:t>
    </dgm:pt>
    <dgm:pt modelId="{4F5DE7BF-91A6-4AF9-B2C1-C5ABE543781E}" type="sibTrans" cxnId="{1FCA5B76-A934-4FD5-BA44-26F5279F2B55}">
      <dgm:prSet/>
      <dgm:spPr/>
      <dgm:t>
        <a:bodyPr/>
        <a:lstStyle/>
        <a:p>
          <a:endParaRPr lang="en-GB"/>
        </a:p>
      </dgm:t>
    </dgm:pt>
    <dgm:pt modelId="{9E00FE5D-5B95-422F-90AC-89F624E1AFBB}">
      <dgm:prSet phldrT="[Text]"/>
      <dgm:spPr/>
      <dgm:t>
        <a:bodyPr/>
        <a:lstStyle/>
        <a:p>
          <a:r>
            <a:rPr lang="en-GB" b="1"/>
            <a:t>Full Time Equivalent by sector </a:t>
          </a:r>
          <a:r>
            <a:rPr lang="en-GB"/>
            <a:t>- By Applying assumptions around Self Employment, Full-time and Part-time working </a:t>
          </a:r>
        </a:p>
      </dgm:t>
    </dgm:pt>
    <dgm:pt modelId="{8CC546A6-3B4F-4129-8638-1BA8ABC01243}" type="parTrans" cxnId="{59FC5E2D-015F-453D-B1AC-C549933F074A}">
      <dgm:prSet/>
      <dgm:spPr/>
      <dgm:t>
        <a:bodyPr/>
        <a:lstStyle/>
        <a:p>
          <a:endParaRPr lang="en-GB"/>
        </a:p>
      </dgm:t>
    </dgm:pt>
    <dgm:pt modelId="{29417D8F-D3EF-4501-9432-CEA36AF32A90}" type="sibTrans" cxnId="{59FC5E2D-015F-453D-B1AC-C549933F074A}">
      <dgm:prSet/>
      <dgm:spPr/>
      <dgm:t>
        <a:bodyPr/>
        <a:lstStyle/>
        <a:p>
          <a:endParaRPr lang="en-GB"/>
        </a:p>
      </dgm:t>
    </dgm:pt>
    <dgm:pt modelId="{0D214F9B-1869-4BF5-B9AC-27EBAD64BC19}">
      <dgm:prSet phldrT="[Text]"/>
      <dgm:spPr/>
      <dgm:t>
        <a:bodyPr/>
        <a:lstStyle/>
        <a:p>
          <a:r>
            <a:rPr lang="en-GB"/>
            <a:t> </a:t>
          </a:r>
        </a:p>
      </dgm:t>
    </dgm:pt>
    <dgm:pt modelId="{5D9E8300-F4BD-4191-9EBA-ED0B5B8684B1}" type="parTrans" cxnId="{2C2E5C8A-83CC-455C-AA11-463C78209B38}">
      <dgm:prSet/>
      <dgm:spPr/>
      <dgm:t>
        <a:bodyPr/>
        <a:lstStyle/>
        <a:p>
          <a:endParaRPr lang="en-GB"/>
        </a:p>
      </dgm:t>
    </dgm:pt>
    <dgm:pt modelId="{CEDC83C7-C5B4-47EC-A5C5-1DA23C37AA69}" type="sibTrans" cxnId="{2C2E5C8A-83CC-455C-AA11-463C78209B38}">
      <dgm:prSet/>
      <dgm:spPr/>
      <dgm:t>
        <a:bodyPr/>
        <a:lstStyle/>
        <a:p>
          <a:endParaRPr lang="en-GB"/>
        </a:p>
      </dgm:t>
    </dgm:pt>
    <dgm:pt modelId="{F2DFB851-DD81-48BA-A834-2EBADD5D1165}">
      <dgm:prSet phldrT="[Text]"/>
      <dgm:spPr/>
      <dgm:t>
        <a:bodyPr/>
        <a:lstStyle/>
        <a:p>
          <a:r>
            <a:rPr lang="en-GB" b="1"/>
            <a:t>Sector by Use Class </a:t>
          </a:r>
          <a:r>
            <a:rPr lang="en-GB"/>
            <a:t>- By applying assumtions around the % of jobs in each sector taking place in Offices, Warehouses and Factories</a:t>
          </a:r>
        </a:p>
      </dgm:t>
    </dgm:pt>
    <dgm:pt modelId="{CECE2D1D-CFD6-43D2-8268-E12D1E6C88FE}" type="parTrans" cxnId="{27C83912-492E-497C-B237-03FFF7A7F006}">
      <dgm:prSet/>
      <dgm:spPr/>
      <dgm:t>
        <a:bodyPr/>
        <a:lstStyle/>
        <a:p>
          <a:endParaRPr lang="en-GB"/>
        </a:p>
      </dgm:t>
    </dgm:pt>
    <dgm:pt modelId="{798A9E31-7D00-481C-AEC0-187EDD6407AB}" type="sibTrans" cxnId="{27C83912-492E-497C-B237-03FFF7A7F006}">
      <dgm:prSet/>
      <dgm:spPr/>
      <dgm:t>
        <a:bodyPr/>
        <a:lstStyle/>
        <a:p>
          <a:endParaRPr lang="en-GB"/>
        </a:p>
      </dgm:t>
    </dgm:pt>
    <dgm:pt modelId="{563CE2AE-6C0F-49AB-9CCA-93F7234D0A7B}">
      <dgm:prSet phldrT="[Text]"/>
      <dgm:spPr/>
      <dgm:t>
        <a:bodyPr/>
        <a:lstStyle/>
        <a:p>
          <a:r>
            <a:rPr lang="en-GB"/>
            <a:t> </a:t>
          </a:r>
        </a:p>
      </dgm:t>
    </dgm:pt>
    <dgm:pt modelId="{DE97C167-D624-4F9E-BA67-82F56BAD16BD}" type="sibTrans" cxnId="{D02E31A3-16F8-4DF1-9696-709F8D711764}">
      <dgm:prSet/>
      <dgm:spPr/>
      <dgm:t>
        <a:bodyPr/>
        <a:lstStyle/>
        <a:p>
          <a:endParaRPr lang="en-GB"/>
        </a:p>
      </dgm:t>
    </dgm:pt>
    <dgm:pt modelId="{D1CD5977-1D1A-4C7E-8DD6-AAF7E13A0ACB}" type="parTrans" cxnId="{D02E31A3-16F8-4DF1-9696-709F8D711764}">
      <dgm:prSet/>
      <dgm:spPr/>
      <dgm:t>
        <a:bodyPr/>
        <a:lstStyle/>
        <a:p>
          <a:endParaRPr lang="en-GB"/>
        </a:p>
      </dgm:t>
    </dgm:pt>
    <dgm:pt modelId="{4DE2B376-14B4-44EE-B767-B6EA069E758C}">
      <dgm:prSet phldrT="[Text]"/>
      <dgm:spPr/>
      <dgm:t>
        <a:bodyPr/>
        <a:lstStyle/>
        <a:p>
          <a:r>
            <a:rPr lang="en-GB"/>
            <a:t> </a:t>
          </a:r>
        </a:p>
      </dgm:t>
    </dgm:pt>
    <dgm:pt modelId="{55531E2F-3974-4DE5-8690-D2F70B7C2075}" type="parTrans" cxnId="{DE9BAE39-650D-4679-BE81-8E319928CC20}">
      <dgm:prSet/>
      <dgm:spPr/>
      <dgm:t>
        <a:bodyPr/>
        <a:lstStyle/>
        <a:p>
          <a:endParaRPr lang="en-GB"/>
        </a:p>
      </dgm:t>
    </dgm:pt>
    <dgm:pt modelId="{1A022AA4-9BF0-43EE-9A78-E0ED5AD9A031}" type="sibTrans" cxnId="{DE9BAE39-650D-4679-BE81-8E319928CC20}">
      <dgm:prSet/>
      <dgm:spPr/>
      <dgm:t>
        <a:bodyPr/>
        <a:lstStyle/>
        <a:p>
          <a:endParaRPr lang="en-GB"/>
        </a:p>
      </dgm:t>
    </dgm:pt>
    <dgm:pt modelId="{98BA103A-08FE-4E19-B963-37E339ABDC19}">
      <dgm:prSet phldrT="[Text]"/>
      <dgm:spPr/>
      <dgm:t>
        <a:bodyPr/>
        <a:lstStyle/>
        <a:p>
          <a:r>
            <a:rPr lang="en-GB" b="1"/>
            <a:t>FTE Growth by Use Class </a:t>
          </a:r>
          <a:r>
            <a:rPr lang="en-GB"/>
            <a:t>- Previous outputs are combined i.e. number of FTE jobs in each sector disagregated by use class</a:t>
          </a:r>
        </a:p>
      </dgm:t>
    </dgm:pt>
    <dgm:pt modelId="{C1652D4D-0024-4585-AE5E-47F153AC3347}" type="parTrans" cxnId="{65E967AA-4E86-4215-BDCD-34BF3BF08203}">
      <dgm:prSet/>
      <dgm:spPr/>
      <dgm:t>
        <a:bodyPr/>
        <a:lstStyle/>
        <a:p>
          <a:endParaRPr lang="en-GB"/>
        </a:p>
      </dgm:t>
    </dgm:pt>
    <dgm:pt modelId="{672398DA-45B2-41A5-A10A-E56F4AD8EAE8}" type="sibTrans" cxnId="{65E967AA-4E86-4215-BDCD-34BF3BF08203}">
      <dgm:prSet/>
      <dgm:spPr/>
      <dgm:t>
        <a:bodyPr/>
        <a:lstStyle/>
        <a:p>
          <a:endParaRPr lang="en-GB"/>
        </a:p>
      </dgm:t>
    </dgm:pt>
    <dgm:pt modelId="{572EE56F-13B3-4A30-9FE4-5068B1EE886E}">
      <dgm:prSet phldrT="[Text]"/>
      <dgm:spPr/>
      <dgm:t>
        <a:bodyPr/>
        <a:lstStyle/>
        <a:p>
          <a:r>
            <a:rPr lang="en-GB"/>
            <a:t> </a:t>
          </a:r>
        </a:p>
      </dgm:t>
    </dgm:pt>
    <dgm:pt modelId="{3B20E25C-0CF9-40E8-9501-377A42C6F765}" type="parTrans" cxnId="{E483C098-CE52-449D-897C-EA61F4D0C166}">
      <dgm:prSet/>
      <dgm:spPr/>
      <dgm:t>
        <a:bodyPr/>
        <a:lstStyle/>
        <a:p>
          <a:endParaRPr lang="en-GB"/>
        </a:p>
      </dgm:t>
    </dgm:pt>
    <dgm:pt modelId="{208A200A-5FF5-49CA-BDC2-46DF89EF27FE}" type="sibTrans" cxnId="{E483C098-CE52-449D-897C-EA61F4D0C166}">
      <dgm:prSet/>
      <dgm:spPr/>
      <dgm:t>
        <a:bodyPr/>
        <a:lstStyle/>
        <a:p>
          <a:endParaRPr lang="en-GB"/>
        </a:p>
      </dgm:t>
    </dgm:pt>
    <dgm:pt modelId="{F21C3EE8-1DF1-43AE-B781-9CBC61AF5068}">
      <dgm:prSet phldrT="[Text]"/>
      <dgm:spPr/>
      <dgm:t>
        <a:bodyPr/>
        <a:lstStyle/>
        <a:p>
          <a:r>
            <a:rPr lang="en-GB" b="1"/>
            <a:t>Employment Floorspace </a:t>
          </a:r>
          <a:r>
            <a:rPr lang="en-GB"/>
            <a:t>- By applying Employment Density assumptions (square metres per job) the total floorspace need in each use class is calculated</a:t>
          </a:r>
        </a:p>
      </dgm:t>
    </dgm:pt>
    <dgm:pt modelId="{65B2AAEC-AB17-4F67-B360-011FEC3A884B}" type="parTrans" cxnId="{B4EFDDE5-1DB5-4E26-B1AC-87AE20FA2C8B}">
      <dgm:prSet/>
      <dgm:spPr/>
      <dgm:t>
        <a:bodyPr/>
        <a:lstStyle/>
        <a:p>
          <a:endParaRPr lang="en-GB"/>
        </a:p>
      </dgm:t>
    </dgm:pt>
    <dgm:pt modelId="{BF5F01EF-E31A-49DC-B929-F34E2308D060}" type="sibTrans" cxnId="{B4EFDDE5-1DB5-4E26-B1AC-87AE20FA2C8B}">
      <dgm:prSet/>
      <dgm:spPr/>
      <dgm:t>
        <a:bodyPr/>
        <a:lstStyle/>
        <a:p>
          <a:endParaRPr lang="en-GB"/>
        </a:p>
      </dgm:t>
    </dgm:pt>
    <dgm:pt modelId="{8035BA65-3EC2-4F29-878F-3FEF7F437FF4}">
      <dgm:prSet phldrT="[Text]"/>
      <dgm:spPr/>
      <dgm:t>
        <a:bodyPr/>
        <a:lstStyle/>
        <a:p>
          <a:r>
            <a:rPr lang="en-GB"/>
            <a:t> </a:t>
          </a:r>
        </a:p>
      </dgm:t>
    </dgm:pt>
    <dgm:pt modelId="{2BD2F40C-9DA9-4D70-A93E-A6EAAB974087}" type="parTrans" cxnId="{04D8CEC7-0844-40F2-B9AA-355ACFBEAE02}">
      <dgm:prSet/>
      <dgm:spPr/>
      <dgm:t>
        <a:bodyPr/>
        <a:lstStyle/>
        <a:p>
          <a:endParaRPr lang="en-GB"/>
        </a:p>
      </dgm:t>
    </dgm:pt>
    <dgm:pt modelId="{EFC3E833-B0B5-4A92-9F10-A0EE134E39A5}" type="sibTrans" cxnId="{04D8CEC7-0844-40F2-B9AA-355ACFBEAE02}">
      <dgm:prSet/>
      <dgm:spPr/>
      <dgm:t>
        <a:bodyPr/>
        <a:lstStyle/>
        <a:p>
          <a:endParaRPr lang="en-GB"/>
        </a:p>
      </dgm:t>
    </dgm:pt>
    <dgm:pt modelId="{FAEAEBB3-B48D-45EC-B047-14F1ECF74949}">
      <dgm:prSet phldrT="[Text]"/>
      <dgm:spPr/>
      <dgm:t>
        <a:bodyPr/>
        <a:lstStyle/>
        <a:p>
          <a:r>
            <a:rPr lang="en-GB" b="1"/>
            <a:t>Employment Land </a:t>
          </a:r>
          <a:r>
            <a:rPr lang="en-GB"/>
            <a:t>- By applying Plot Ratio (ratio between plot size and floorspace) assumptions the total land need in each use class is calculated</a:t>
          </a:r>
        </a:p>
      </dgm:t>
    </dgm:pt>
    <dgm:pt modelId="{06E81F14-0369-47AB-AC8E-60BF148137E5}" type="parTrans" cxnId="{6E82F5F4-C4A2-4843-9CAD-D90983ED14A4}">
      <dgm:prSet/>
      <dgm:spPr/>
      <dgm:t>
        <a:bodyPr/>
        <a:lstStyle/>
        <a:p>
          <a:endParaRPr lang="en-GB"/>
        </a:p>
      </dgm:t>
    </dgm:pt>
    <dgm:pt modelId="{C300A4A9-2C29-4BE0-B5C5-9B1DDA0324C9}" type="sibTrans" cxnId="{6E82F5F4-C4A2-4843-9CAD-D90983ED14A4}">
      <dgm:prSet/>
      <dgm:spPr/>
      <dgm:t>
        <a:bodyPr/>
        <a:lstStyle/>
        <a:p>
          <a:endParaRPr lang="en-GB"/>
        </a:p>
      </dgm:t>
    </dgm:pt>
    <dgm:pt modelId="{1059DD7D-5C72-441E-B2E1-15D7A4822DC9}" type="pres">
      <dgm:prSet presAssocID="{3A61C94F-AD17-4D84-8B1B-838CBDA01E47}" presName="linearFlow" presStyleCnt="0">
        <dgm:presLayoutVars>
          <dgm:dir/>
          <dgm:animLvl val="lvl"/>
          <dgm:resizeHandles val="exact"/>
        </dgm:presLayoutVars>
      </dgm:prSet>
      <dgm:spPr/>
    </dgm:pt>
    <dgm:pt modelId="{2E6454C6-15C1-4998-8AE6-E31A3F8D2DD9}" type="pres">
      <dgm:prSet presAssocID="{563CE2AE-6C0F-49AB-9CCA-93F7234D0A7B}" presName="composite" presStyleCnt="0"/>
      <dgm:spPr/>
    </dgm:pt>
    <dgm:pt modelId="{BC0AF9E0-1E36-4947-B2D9-CE6D9D268076}" type="pres">
      <dgm:prSet presAssocID="{563CE2AE-6C0F-49AB-9CCA-93F7234D0A7B}" presName="parentText" presStyleLbl="alignNode1" presStyleIdx="0" presStyleCnt="6">
        <dgm:presLayoutVars>
          <dgm:chMax val="1"/>
          <dgm:bulletEnabled val="1"/>
        </dgm:presLayoutVars>
      </dgm:prSet>
      <dgm:spPr/>
    </dgm:pt>
    <dgm:pt modelId="{ED09B122-91F5-461C-A44A-DB5FC41EEAEE}" type="pres">
      <dgm:prSet presAssocID="{563CE2AE-6C0F-49AB-9CCA-93F7234D0A7B}" presName="descendantText" presStyleLbl="alignAcc1" presStyleIdx="0" presStyleCnt="6" custLinFactNeighborX="-393" custLinFactNeighborY="-230">
        <dgm:presLayoutVars>
          <dgm:bulletEnabled val="1"/>
        </dgm:presLayoutVars>
      </dgm:prSet>
      <dgm:spPr/>
    </dgm:pt>
    <dgm:pt modelId="{5B598A0A-AE90-4508-BAD4-B70DEFF56522}" type="pres">
      <dgm:prSet presAssocID="{DE97C167-D624-4F9E-BA67-82F56BAD16BD}" presName="sp" presStyleCnt="0"/>
      <dgm:spPr/>
    </dgm:pt>
    <dgm:pt modelId="{3D292527-3719-4CBF-BC02-4C23C33E2D88}" type="pres">
      <dgm:prSet presAssocID="{73860D92-B02D-469B-9D03-754C72FFA33B}" presName="composite" presStyleCnt="0"/>
      <dgm:spPr/>
    </dgm:pt>
    <dgm:pt modelId="{A99CC1A2-C971-4658-AC49-952F992C7F4A}" type="pres">
      <dgm:prSet presAssocID="{73860D92-B02D-469B-9D03-754C72FFA33B}" presName="parentText" presStyleLbl="alignNode1" presStyleIdx="1" presStyleCnt="6">
        <dgm:presLayoutVars>
          <dgm:chMax val="1"/>
          <dgm:bulletEnabled val="1"/>
        </dgm:presLayoutVars>
      </dgm:prSet>
      <dgm:spPr/>
    </dgm:pt>
    <dgm:pt modelId="{1268FD93-1DA4-4E8A-8AD0-1AAAF54A56B5}" type="pres">
      <dgm:prSet presAssocID="{73860D92-B02D-469B-9D03-754C72FFA33B}" presName="descendantText" presStyleLbl="alignAcc1" presStyleIdx="1" presStyleCnt="6">
        <dgm:presLayoutVars>
          <dgm:bulletEnabled val="1"/>
        </dgm:presLayoutVars>
      </dgm:prSet>
      <dgm:spPr/>
    </dgm:pt>
    <dgm:pt modelId="{EAA0B113-9EB6-464C-9836-60E004F2988D}" type="pres">
      <dgm:prSet presAssocID="{4F5DE7BF-91A6-4AF9-B2C1-C5ABE543781E}" presName="sp" presStyleCnt="0"/>
      <dgm:spPr/>
    </dgm:pt>
    <dgm:pt modelId="{D9A0DFA0-8B61-4D56-83F3-1482A3F73B94}" type="pres">
      <dgm:prSet presAssocID="{0D214F9B-1869-4BF5-B9AC-27EBAD64BC19}" presName="composite" presStyleCnt="0"/>
      <dgm:spPr/>
    </dgm:pt>
    <dgm:pt modelId="{4D523EB0-E9A7-4A43-9667-E92C1C4AF61D}" type="pres">
      <dgm:prSet presAssocID="{0D214F9B-1869-4BF5-B9AC-27EBAD64BC19}" presName="parentText" presStyleLbl="alignNode1" presStyleIdx="2" presStyleCnt="6">
        <dgm:presLayoutVars>
          <dgm:chMax val="1"/>
          <dgm:bulletEnabled val="1"/>
        </dgm:presLayoutVars>
      </dgm:prSet>
      <dgm:spPr/>
    </dgm:pt>
    <dgm:pt modelId="{C2BB45B4-6F13-4357-9650-4C72E566D403}" type="pres">
      <dgm:prSet presAssocID="{0D214F9B-1869-4BF5-B9AC-27EBAD64BC19}" presName="descendantText" presStyleLbl="alignAcc1" presStyleIdx="2" presStyleCnt="6">
        <dgm:presLayoutVars>
          <dgm:bulletEnabled val="1"/>
        </dgm:presLayoutVars>
      </dgm:prSet>
      <dgm:spPr/>
    </dgm:pt>
    <dgm:pt modelId="{E66BF7F1-C255-4A1B-8C79-A6590AEC3090}" type="pres">
      <dgm:prSet presAssocID="{CEDC83C7-C5B4-47EC-A5C5-1DA23C37AA69}" presName="sp" presStyleCnt="0"/>
      <dgm:spPr/>
    </dgm:pt>
    <dgm:pt modelId="{83947C42-0D19-46BA-8BCD-48458039BFCE}" type="pres">
      <dgm:prSet presAssocID="{4DE2B376-14B4-44EE-B767-B6EA069E758C}" presName="composite" presStyleCnt="0"/>
      <dgm:spPr/>
    </dgm:pt>
    <dgm:pt modelId="{54839DE8-E72D-4CF3-8ED7-7A91FA51226C}" type="pres">
      <dgm:prSet presAssocID="{4DE2B376-14B4-44EE-B767-B6EA069E758C}" presName="parentText" presStyleLbl="alignNode1" presStyleIdx="3" presStyleCnt="6">
        <dgm:presLayoutVars>
          <dgm:chMax val="1"/>
          <dgm:bulletEnabled val="1"/>
        </dgm:presLayoutVars>
      </dgm:prSet>
      <dgm:spPr/>
    </dgm:pt>
    <dgm:pt modelId="{F3611792-0E1C-406F-8370-A4F8B949FE14}" type="pres">
      <dgm:prSet presAssocID="{4DE2B376-14B4-44EE-B767-B6EA069E758C}" presName="descendantText" presStyleLbl="alignAcc1" presStyleIdx="3" presStyleCnt="6">
        <dgm:presLayoutVars>
          <dgm:bulletEnabled val="1"/>
        </dgm:presLayoutVars>
      </dgm:prSet>
      <dgm:spPr/>
    </dgm:pt>
    <dgm:pt modelId="{32690705-5796-49C5-B36A-B9582B2D5546}" type="pres">
      <dgm:prSet presAssocID="{1A022AA4-9BF0-43EE-9A78-E0ED5AD9A031}" presName="sp" presStyleCnt="0"/>
      <dgm:spPr/>
    </dgm:pt>
    <dgm:pt modelId="{3CBB8DD8-3FAA-420E-8365-147CCB338F3A}" type="pres">
      <dgm:prSet presAssocID="{572EE56F-13B3-4A30-9FE4-5068B1EE886E}" presName="composite" presStyleCnt="0"/>
      <dgm:spPr/>
    </dgm:pt>
    <dgm:pt modelId="{D3F1A462-DE74-42F2-8281-3CFC50E9B5F9}" type="pres">
      <dgm:prSet presAssocID="{572EE56F-13B3-4A30-9FE4-5068B1EE886E}" presName="parentText" presStyleLbl="alignNode1" presStyleIdx="4" presStyleCnt="6">
        <dgm:presLayoutVars>
          <dgm:chMax val="1"/>
          <dgm:bulletEnabled val="1"/>
        </dgm:presLayoutVars>
      </dgm:prSet>
      <dgm:spPr/>
    </dgm:pt>
    <dgm:pt modelId="{CBD4CBF4-1977-4B1A-B551-D4E1D086A3AD}" type="pres">
      <dgm:prSet presAssocID="{572EE56F-13B3-4A30-9FE4-5068B1EE886E}" presName="descendantText" presStyleLbl="alignAcc1" presStyleIdx="4" presStyleCnt="6">
        <dgm:presLayoutVars>
          <dgm:bulletEnabled val="1"/>
        </dgm:presLayoutVars>
      </dgm:prSet>
      <dgm:spPr/>
    </dgm:pt>
    <dgm:pt modelId="{56B48331-E517-4537-A968-9AF330FBC7C8}" type="pres">
      <dgm:prSet presAssocID="{208A200A-5FF5-49CA-BDC2-46DF89EF27FE}" presName="sp" presStyleCnt="0"/>
      <dgm:spPr/>
    </dgm:pt>
    <dgm:pt modelId="{1BB9E43A-4930-42D3-9BD3-C6877EFEAF47}" type="pres">
      <dgm:prSet presAssocID="{8035BA65-3EC2-4F29-878F-3FEF7F437FF4}" presName="composite" presStyleCnt="0"/>
      <dgm:spPr/>
    </dgm:pt>
    <dgm:pt modelId="{20CDE0F8-F8A2-4397-8175-15FE20D96013}" type="pres">
      <dgm:prSet presAssocID="{8035BA65-3EC2-4F29-878F-3FEF7F437FF4}" presName="parentText" presStyleLbl="alignNode1" presStyleIdx="5" presStyleCnt="6">
        <dgm:presLayoutVars>
          <dgm:chMax val="1"/>
          <dgm:bulletEnabled val="1"/>
        </dgm:presLayoutVars>
      </dgm:prSet>
      <dgm:spPr/>
    </dgm:pt>
    <dgm:pt modelId="{00290B35-4BB2-4CDD-9CD1-7CBDE523200B}" type="pres">
      <dgm:prSet presAssocID="{8035BA65-3EC2-4F29-878F-3FEF7F437FF4}" presName="descendantText" presStyleLbl="alignAcc1" presStyleIdx="5" presStyleCnt="6">
        <dgm:presLayoutVars>
          <dgm:bulletEnabled val="1"/>
        </dgm:presLayoutVars>
      </dgm:prSet>
      <dgm:spPr/>
    </dgm:pt>
  </dgm:ptLst>
  <dgm:cxnLst>
    <dgm:cxn modelId="{27C83912-492E-497C-B237-03FFF7A7F006}" srcId="{0D214F9B-1869-4BF5-B9AC-27EBAD64BC19}" destId="{F2DFB851-DD81-48BA-A834-2EBADD5D1165}" srcOrd="0" destOrd="0" parTransId="{CECE2D1D-CFD6-43D2-8268-E12D1E6C88FE}" sibTransId="{798A9E31-7D00-481C-AEC0-187EDD6407AB}"/>
    <dgm:cxn modelId="{7DC50316-AF0B-41EE-9666-A2658979EE3B}" type="presOf" srcId="{4DE2B376-14B4-44EE-B767-B6EA069E758C}" destId="{54839DE8-E72D-4CF3-8ED7-7A91FA51226C}" srcOrd="0" destOrd="0" presId="urn:microsoft.com/office/officeart/2005/8/layout/chevron2"/>
    <dgm:cxn modelId="{59FC5E2D-015F-453D-B1AC-C549933F074A}" srcId="{73860D92-B02D-469B-9D03-754C72FFA33B}" destId="{9E00FE5D-5B95-422F-90AC-89F624E1AFBB}" srcOrd="0" destOrd="0" parTransId="{8CC546A6-3B4F-4129-8638-1BA8ABC01243}" sibTransId="{29417D8F-D3EF-4501-9432-CEA36AF32A90}"/>
    <dgm:cxn modelId="{88ADD22F-C8AE-41E4-9D4E-E547F6CD44C7}" srcId="{563CE2AE-6C0F-49AB-9CCA-93F7234D0A7B}" destId="{4DF5DCF5-A638-4655-B85F-7492A4C00FCD}" srcOrd="0" destOrd="0" parTransId="{90E4B9F5-FD69-4F85-985D-6029E476975F}" sibTransId="{A0607D0D-2EDE-4519-A416-38D944ED1CFD}"/>
    <dgm:cxn modelId="{DE9BAE39-650D-4679-BE81-8E319928CC20}" srcId="{3A61C94F-AD17-4D84-8B1B-838CBDA01E47}" destId="{4DE2B376-14B4-44EE-B767-B6EA069E758C}" srcOrd="3" destOrd="0" parTransId="{55531E2F-3974-4DE5-8690-D2F70B7C2075}" sibTransId="{1A022AA4-9BF0-43EE-9A78-E0ED5AD9A031}"/>
    <dgm:cxn modelId="{3DBA5949-8F52-4DF3-BC07-BC80B7EB1F23}" type="presOf" srcId="{F21C3EE8-1DF1-43AE-B781-9CBC61AF5068}" destId="{CBD4CBF4-1977-4B1A-B551-D4E1D086A3AD}" srcOrd="0" destOrd="0" presId="urn:microsoft.com/office/officeart/2005/8/layout/chevron2"/>
    <dgm:cxn modelId="{1FCA5B76-A934-4FD5-BA44-26F5279F2B55}" srcId="{3A61C94F-AD17-4D84-8B1B-838CBDA01E47}" destId="{73860D92-B02D-469B-9D03-754C72FFA33B}" srcOrd="1" destOrd="0" parTransId="{8EE19ABF-2070-458C-8178-0B928054FDD8}" sibTransId="{4F5DE7BF-91A6-4AF9-B2C1-C5ABE543781E}"/>
    <dgm:cxn modelId="{2903007C-F6BD-48D0-90F9-AAFFEB849135}" type="presOf" srcId="{8035BA65-3EC2-4F29-878F-3FEF7F437FF4}" destId="{20CDE0F8-F8A2-4397-8175-15FE20D96013}" srcOrd="0" destOrd="0" presId="urn:microsoft.com/office/officeart/2005/8/layout/chevron2"/>
    <dgm:cxn modelId="{0BA2097E-5852-46BE-B282-F550F27FE5A8}" type="presOf" srcId="{4DF5DCF5-A638-4655-B85F-7492A4C00FCD}" destId="{ED09B122-91F5-461C-A44A-DB5FC41EEAEE}" srcOrd="0" destOrd="0" presId="urn:microsoft.com/office/officeart/2005/8/layout/chevron2"/>
    <dgm:cxn modelId="{2C2E5C8A-83CC-455C-AA11-463C78209B38}" srcId="{3A61C94F-AD17-4D84-8B1B-838CBDA01E47}" destId="{0D214F9B-1869-4BF5-B9AC-27EBAD64BC19}" srcOrd="2" destOrd="0" parTransId="{5D9E8300-F4BD-4191-9EBA-ED0B5B8684B1}" sibTransId="{CEDC83C7-C5B4-47EC-A5C5-1DA23C37AA69}"/>
    <dgm:cxn modelId="{10788E8A-C05E-4CA9-8F1B-91AF4A45968C}" type="presOf" srcId="{9E00FE5D-5B95-422F-90AC-89F624E1AFBB}" destId="{1268FD93-1DA4-4E8A-8AD0-1AAAF54A56B5}" srcOrd="0" destOrd="0" presId="urn:microsoft.com/office/officeart/2005/8/layout/chevron2"/>
    <dgm:cxn modelId="{E483C098-CE52-449D-897C-EA61F4D0C166}" srcId="{3A61C94F-AD17-4D84-8B1B-838CBDA01E47}" destId="{572EE56F-13B3-4A30-9FE4-5068B1EE886E}" srcOrd="4" destOrd="0" parTransId="{3B20E25C-0CF9-40E8-9501-377A42C6F765}" sibTransId="{208A200A-5FF5-49CA-BDC2-46DF89EF27FE}"/>
    <dgm:cxn modelId="{D02E31A3-16F8-4DF1-9696-709F8D711764}" srcId="{3A61C94F-AD17-4D84-8B1B-838CBDA01E47}" destId="{563CE2AE-6C0F-49AB-9CCA-93F7234D0A7B}" srcOrd="0" destOrd="0" parTransId="{D1CD5977-1D1A-4C7E-8DD6-AAF7E13A0ACB}" sibTransId="{DE97C167-D624-4F9E-BA67-82F56BAD16BD}"/>
    <dgm:cxn modelId="{65E967AA-4E86-4215-BDCD-34BF3BF08203}" srcId="{4DE2B376-14B4-44EE-B767-B6EA069E758C}" destId="{98BA103A-08FE-4E19-B963-37E339ABDC19}" srcOrd="0" destOrd="0" parTransId="{C1652D4D-0024-4585-AE5E-47F153AC3347}" sibTransId="{672398DA-45B2-41A5-A10A-E56F4AD8EAE8}"/>
    <dgm:cxn modelId="{3EC4E7B4-7C67-4C99-BB6E-21F2D9D86A37}" type="presOf" srcId="{F2DFB851-DD81-48BA-A834-2EBADD5D1165}" destId="{C2BB45B4-6F13-4357-9650-4C72E566D403}" srcOrd="0" destOrd="0" presId="urn:microsoft.com/office/officeart/2005/8/layout/chevron2"/>
    <dgm:cxn modelId="{04D8CEC7-0844-40F2-B9AA-355ACFBEAE02}" srcId="{3A61C94F-AD17-4D84-8B1B-838CBDA01E47}" destId="{8035BA65-3EC2-4F29-878F-3FEF7F437FF4}" srcOrd="5" destOrd="0" parTransId="{2BD2F40C-9DA9-4D70-A93E-A6EAAB974087}" sibTransId="{EFC3E833-B0B5-4A92-9F10-A0EE134E39A5}"/>
    <dgm:cxn modelId="{AF34E1C9-EAA0-4768-80B2-26D9EBC4D673}" type="presOf" srcId="{0D214F9B-1869-4BF5-B9AC-27EBAD64BC19}" destId="{4D523EB0-E9A7-4A43-9667-E92C1C4AF61D}" srcOrd="0" destOrd="0" presId="urn:microsoft.com/office/officeart/2005/8/layout/chevron2"/>
    <dgm:cxn modelId="{D87444D3-3F6F-4C59-BB34-BFAE24B68717}" type="presOf" srcId="{98BA103A-08FE-4E19-B963-37E339ABDC19}" destId="{F3611792-0E1C-406F-8370-A4F8B949FE14}" srcOrd="0" destOrd="0" presId="urn:microsoft.com/office/officeart/2005/8/layout/chevron2"/>
    <dgm:cxn modelId="{71DD2CD7-AE38-4729-B8C3-F3E1E1939F02}" type="presOf" srcId="{563CE2AE-6C0F-49AB-9CCA-93F7234D0A7B}" destId="{BC0AF9E0-1E36-4947-B2D9-CE6D9D268076}" srcOrd="0" destOrd="0" presId="urn:microsoft.com/office/officeart/2005/8/layout/chevron2"/>
    <dgm:cxn modelId="{274A64E0-6F9D-4F66-9BA3-498A4942A21B}" type="presOf" srcId="{FAEAEBB3-B48D-45EC-B047-14F1ECF74949}" destId="{00290B35-4BB2-4CDD-9CD1-7CBDE523200B}" srcOrd="0" destOrd="0" presId="urn:microsoft.com/office/officeart/2005/8/layout/chevron2"/>
    <dgm:cxn modelId="{B4EFDDE5-1DB5-4E26-B1AC-87AE20FA2C8B}" srcId="{572EE56F-13B3-4A30-9FE4-5068B1EE886E}" destId="{F21C3EE8-1DF1-43AE-B781-9CBC61AF5068}" srcOrd="0" destOrd="0" parTransId="{65B2AAEC-AB17-4F67-B360-011FEC3A884B}" sibTransId="{BF5F01EF-E31A-49DC-B929-F34E2308D060}"/>
    <dgm:cxn modelId="{C42E94EA-E2B9-4FE6-8E2D-98D4F90AE9C4}" type="presOf" srcId="{3A61C94F-AD17-4D84-8B1B-838CBDA01E47}" destId="{1059DD7D-5C72-441E-B2E1-15D7A4822DC9}" srcOrd="0" destOrd="0" presId="urn:microsoft.com/office/officeart/2005/8/layout/chevron2"/>
    <dgm:cxn modelId="{6E82F5F4-C4A2-4843-9CAD-D90983ED14A4}" srcId="{8035BA65-3EC2-4F29-878F-3FEF7F437FF4}" destId="{FAEAEBB3-B48D-45EC-B047-14F1ECF74949}" srcOrd="0" destOrd="0" parTransId="{06E81F14-0369-47AB-AC8E-60BF148137E5}" sibTransId="{C300A4A9-2C29-4BE0-B5C5-9B1DDA0324C9}"/>
    <dgm:cxn modelId="{03A77BFC-9AB8-466D-9CC3-F862A629508A}" type="presOf" srcId="{572EE56F-13B3-4A30-9FE4-5068B1EE886E}" destId="{D3F1A462-DE74-42F2-8281-3CFC50E9B5F9}" srcOrd="0" destOrd="0" presId="urn:microsoft.com/office/officeart/2005/8/layout/chevron2"/>
    <dgm:cxn modelId="{6F6CB1FE-5127-4C74-BA12-906CC55EE08B}" type="presOf" srcId="{73860D92-B02D-469B-9D03-754C72FFA33B}" destId="{A99CC1A2-C971-4658-AC49-952F992C7F4A}" srcOrd="0" destOrd="0" presId="urn:microsoft.com/office/officeart/2005/8/layout/chevron2"/>
    <dgm:cxn modelId="{94EC0D56-EC3C-4859-82D4-31DD3747941A}" type="presParOf" srcId="{1059DD7D-5C72-441E-B2E1-15D7A4822DC9}" destId="{2E6454C6-15C1-4998-8AE6-E31A3F8D2DD9}" srcOrd="0" destOrd="0" presId="urn:microsoft.com/office/officeart/2005/8/layout/chevron2"/>
    <dgm:cxn modelId="{55CB7A1B-53A3-4162-AAC7-595133981A8D}" type="presParOf" srcId="{2E6454C6-15C1-4998-8AE6-E31A3F8D2DD9}" destId="{BC0AF9E0-1E36-4947-B2D9-CE6D9D268076}" srcOrd="0" destOrd="0" presId="urn:microsoft.com/office/officeart/2005/8/layout/chevron2"/>
    <dgm:cxn modelId="{AEA3DBC3-328C-4CA2-80E8-E2BD53D988BA}" type="presParOf" srcId="{2E6454C6-15C1-4998-8AE6-E31A3F8D2DD9}" destId="{ED09B122-91F5-461C-A44A-DB5FC41EEAEE}" srcOrd="1" destOrd="0" presId="urn:microsoft.com/office/officeart/2005/8/layout/chevron2"/>
    <dgm:cxn modelId="{0DEA2F4A-93D4-48FC-9C33-37DE1C30F545}" type="presParOf" srcId="{1059DD7D-5C72-441E-B2E1-15D7A4822DC9}" destId="{5B598A0A-AE90-4508-BAD4-B70DEFF56522}" srcOrd="1" destOrd="0" presId="urn:microsoft.com/office/officeart/2005/8/layout/chevron2"/>
    <dgm:cxn modelId="{FD8F69B3-245C-43C5-B941-0A5ECFB5FA7E}" type="presParOf" srcId="{1059DD7D-5C72-441E-B2E1-15D7A4822DC9}" destId="{3D292527-3719-4CBF-BC02-4C23C33E2D88}" srcOrd="2" destOrd="0" presId="urn:microsoft.com/office/officeart/2005/8/layout/chevron2"/>
    <dgm:cxn modelId="{9C7AE832-5FC6-4AF2-85E3-2E002E11EC0F}" type="presParOf" srcId="{3D292527-3719-4CBF-BC02-4C23C33E2D88}" destId="{A99CC1A2-C971-4658-AC49-952F992C7F4A}" srcOrd="0" destOrd="0" presId="urn:microsoft.com/office/officeart/2005/8/layout/chevron2"/>
    <dgm:cxn modelId="{04C03502-7CE9-4022-972A-81E3AB6E3753}" type="presParOf" srcId="{3D292527-3719-4CBF-BC02-4C23C33E2D88}" destId="{1268FD93-1DA4-4E8A-8AD0-1AAAF54A56B5}" srcOrd="1" destOrd="0" presId="urn:microsoft.com/office/officeart/2005/8/layout/chevron2"/>
    <dgm:cxn modelId="{E47A443B-98E1-4B01-9572-DC3094161105}" type="presParOf" srcId="{1059DD7D-5C72-441E-B2E1-15D7A4822DC9}" destId="{EAA0B113-9EB6-464C-9836-60E004F2988D}" srcOrd="3" destOrd="0" presId="urn:microsoft.com/office/officeart/2005/8/layout/chevron2"/>
    <dgm:cxn modelId="{F0EAEED5-CEDB-4A9C-8B3E-C074F69E018D}" type="presParOf" srcId="{1059DD7D-5C72-441E-B2E1-15D7A4822DC9}" destId="{D9A0DFA0-8B61-4D56-83F3-1482A3F73B94}" srcOrd="4" destOrd="0" presId="urn:microsoft.com/office/officeart/2005/8/layout/chevron2"/>
    <dgm:cxn modelId="{2201E528-1D61-48A8-9CB8-536279A7B9DD}" type="presParOf" srcId="{D9A0DFA0-8B61-4D56-83F3-1482A3F73B94}" destId="{4D523EB0-E9A7-4A43-9667-E92C1C4AF61D}" srcOrd="0" destOrd="0" presId="urn:microsoft.com/office/officeart/2005/8/layout/chevron2"/>
    <dgm:cxn modelId="{DBE4C005-4978-4882-953A-2AB60F9CE094}" type="presParOf" srcId="{D9A0DFA0-8B61-4D56-83F3-1482A3F73B94}" destId="{C2BB45B4-6F13-4357-9650-4C72E566D403}" srcOrd="1" destOrd="0" presId="urn:microsoft.com/office/officeart/2005/8/layout/chevron2"/>
    <dgm:cxn modelId="{77B074A5-F9F5-4594-A68F-70D83B3CA3C4}" type="presParOf" srcId="{1059DD7D-5C72-441E-B2E1-15D7A4822DC9}" destId="{E66BF7F1-C255-4A1B-8C79-A6590AEC3090}" srcOrd="5" destOrd="0" presId="urn:microsoft.com/office/officeart/2005/8/layout/chevron2"/>
    <dgm:cxn modelId="{040B030B-2560-4E13-AB4D-DA90ECCAC70A}" type="presParOf" srcId="{1059DD7D-5C72-441E-B2E1-15D7A4822DC9}" destId="{83947C42-0D19-46BA-8BCD-48458039BFCE}" srcOrd="6" destOrd="0" presId="urn:microsoft.com/office/officeart/2005/8/layout/chevron2"/>
    <dgm:cxn modelId="{75D7D675-7F9E-4D89-B562-035AF3B89937}" type="presParOf" srcId="{83947C42-0D19-46BA-8BCD-48458039BFCE}" destId="{54839DE8-E72D-4CF3-8ED7-7A91FA51226C}" srcOrd="0" destOrd="0" presId="urn:microsoft.com/office/officeart/2005/8/layout/chevron2"/>
    <dgm:cxn modelId="{6A4DD40E-3CA1-4723-93B2-BF685663678E}" type="presParOf" srcId="{83947C42-0D19-46BA-8BCD-48458039BFCE}" destId="{F3611792-0E1C-406F-8370-A4F8B949FE14}" srcOrd="1" destOrd="0" presId="urn:microsoft.com/office/officeart/2005/8/layout/chevron2"/>
    <dgm:cxn modelId="{B2156C4B-57DB-43CC-AD90-43497D4F5B34}" type="presParOf" srcId="{1059DD7D-5C72-441E-B2E1-15D7A4822DC9}" destId="{32690705-5796-49C5-B36A-B9582B2D5546}" srcOrd="7" destOrd="0" presId="urn:microsoft.com/office/officeart/2005/8/layout/chevron2"/>
    <dgm:cxn modelId="{FE7BA7C7-A480-48B1-B613-F8EB81A95745}" type="presParOf" srcId="{1059DD7D-5C72-441E-B2E1-15D7A4822DC9}" destId="{3CBB8DD8-3FAA-420E-8365-147CCB338F3A}" srcOrd="8" destOrd="0" presId="urn:microsoft.com/office/officeart/2005/8/layout/chevron2"/>
    <dgm:cxn modelId="{4384BDE9-3F7C-44F9-A578-943C03117EB1}" type="presParOf" srcId="{3CBB8DD8-3FAA-420E-8365-147CCB338F3A}" destId="{D3F1A462-DE74-42F2-8281-3CFC50E9B5F9}" srcOrd="0" destOrd="0" presId="urn:microsoft.com/office/officeart/2005/8/layout/chevron2"/>
    <dgm:cxn modelId="{7BD5DCBD-778C-427E-B665-A44E44CBC2A4}" type="presParOf" srcId="{3CBB8DD8-3FAA-420E-8365-147CCB338F3A}" destId="{CBD4CBF4-1977-4B1A-B551-D4E1D086A3AD}" srcOrd="1" destOrd="0" presId="urn:microsoft.com/office/officeart/2005/8/layout/chevron2"/>
    <dgm:cxn modelId="{45F08A13-FA52-4385-BED9-3169BAAEC65E}" type="presParOf" srcId="{1059DD7D-5C72-441E-B2E1-15D7A4822DC9}" destId="{56B48331-E517-4537-A968-9AF330FBC7C8}" srcOrd="9" destOrd="0" presId="urn:microsoft.com/office/officeart/2005/8/layout/chevron2"/>
    <dgm:cxn modelId="{746B771F-46CE-4D5C-B1C7-5047BAEC10A2}" type="presParOf" srcId="{1059DD7D-5C72-441E-B2E1-15D7A4822DC9}" destId="{1BB9E43A-4930-42D3-9BD3-C6877EFEAF47}" srcOrd="10" destOrd="0" presId="urn:microsoft.com/office/officeart/2005/8/layout/chevron2"/>
    <dgm:cxn modelId="{67086D87-52FF-40C1-9AA8-90D66E4EB5E7}" type="presParOf" srcId="{1BB9E43A-4930-42D3-9BD3-C6877EFEAF47}" destId="{20CDE0F8-F8A2-4397-8175-15FE20D96013}" srcOrd="0" destOrd="0" presId="urn:microsoft.com/office/officeart/2005/8/layout/chevron2"/>
    <dgm:cxn modelId="{577D1AEA-CE1D-4BD8-A066-C08A3B771B0D}" type="presParOf" srcId="{1BB9E43A-4930-42D3-9BD3-C6877EFEAF47}" destId="{00290B35-4BB2-4CDD-9CD1-7CBDE523200B}" srcOrd="1" destOrd="0" presId="urn:microsoft.com/office/officeart/2005/8/layout/chevron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CCB18C-6044-4C3E-9CC2-47D338ECB4DA}">
      <dsp:nvSpPr>
        <dsp:cNvPr id="0" name=""/>
        <dsp:cNvSpPr/>
      </dsp:nvSpPr>
      <dsp:spPr>
        <a:xfrm>
          <a:off x="4602384" y="491718"/>
          <a:ext cx="1302724" cy="1302791"/>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C972EAA-BD05-4F44-A6D2-D5B465A2C4CF}">
      <dsp:nvSpPr>
        <dsp:cNvPr id="0" name=""/>
        <dsp:cNvSpPr/>
      </dsp:nvSpPr>
      <dsp:spPr>
        <a:xfrm>
          <a:off x="4645957" y="535152"/>
          <a:ext cx="1216137" cy="1215923"/>
        </a:xfrm>
        <a:prstGeom prst="ellipse">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4. Cities and Urban Centres Uplift</a:t>
          </a:r>
        </a:p>
      </dsp:txBody>
      <dsp:txXfrm>
        <a:off x="4819691" y="708888"/>
        <a:ext cx="868669" cy="868451"/>
      </dsp:txXfrm>
    </dsp:sp>
    <dsp:sp modelId="{F93AFDA6-9193-475F-B986-5EEA2EB56ED2}">
      <dsp:nvSpPr>
        <dsp:cNvPr id="0" name=""/>
        <dsp:cNvSpPr/>
      </dsp:nvSpPr>
      <dsp:spPr>
        <a:xfrm rot="2700000">
          <a:off x="3250489" y="491626"/>
          <a:ext cx="1302746" cy="1302746"/>
        </a:xfrm>
        <a:prstGeom prst="teardrop">
          <a:avLst>
            <a:gd name="adj" fmla="val 10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BC19DB8-F0D7-4446-98CE-D66E2C30146A}">
      <dsp:nvSpPr>
        <dsp:cNvPr id="0" name=""/>
        <dsp:cNvSpPr/>
      </dsp:nvSpPr>
      <dsp:spPr>
        <a:xfrm>
          <a:off x="3299659" y="535152"/>
          <a:ext cx="1216137" cy="1215923"/>
        </a:xfrm>
        <a:prstGeom prst="ellipse">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3. Local Housing Need </a:t>
          </a:r>
        </a:p>
      </dsp:txBody>
      <dsp:txXfrm>
        <a:off x="3473393" y="708888"/>
        <a:ext cx="868669" cy="868451"/>
      </dsp:txXfrm>
    </dsp:sp>
    <dsp:sp modelId="{ECDAA0FB-5CC9-4F3D-81D4-F1245A84E821}">
      <dsp:nvSpPr>
        <dsp:cNvPr id="0" name=""/>
        <dsp:cNvSpPr/>
      </dsp:nvSpPr>
      <dsp:spPr>
        <a:xfrm rot="2700000">
          <a:off x="1909778" y="491626"/>
          <a:ext cx="1302746" cy="1302746"/>
        </a:xfrm>
        <a:prstGeom prst="teardrop">
          <a:avLst>
            <a:gd name="adj" fmla="val 10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7D9816-14D7-4872-B5B7-59E918F468A6}">
      <dsp:nvSpPr>
        <dsp:cNvPr id="0" name=""/>
        <dsp:cNvSpPr/>
      </dsp:nvSpPr>
      <dsp:spPr>
        <a:xfrm>
          <a:off x="1953361" y="535152"/>
          <a:ext cx="1216137" cy="1215923"/>
        </a:xfrm>
        <a:prstGeom prst="ellipse">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2. Adjustment based on Affordability </a:t>
          </a:r>
        </a:p>
      </dsp:txBody>
      <dsp:txXfrm>
        <a:off x="2127095" y="708888"/>
        <a:ext cx="868669" cy="868451"/>
      </dsp:txXfrm>
    </dsp:sp>
    <dsp:sp modelId="{9AA95606-37FB-42E8-9A0C-74A2354FBC0D}">
      <dsp:nvSpPr>
        <dsp:cNvPr id="0" name=""/>
        <dsp:cNvSpPr/>
      </dsp:nvSpPr>
      <dsp:spPr>
        <a:xfrm rot="2700000">
          <a:off x="563480" y="491626"/>
          <a:ext cx="1302746" cy="1302746"/>
        </a:xfrm>
        <a:prstGeom prst="teardrop">
          <a:avLst>
            <a:gd name="adj" fmla="val 10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4640F16-19A5-4CD0-9B70-771663D2265A}">
      <dsp:nvSpPr>
        <dsp:cNvPr id="0" name=""/>
        <dsp:cNvSpPr/>
      </dsp:nvSpPr>
      <dsp:spPr>
        <a:xfrm>
          <a:off x="607064" y="535152"/>
          <a:ext cx="1216137" cy="1215923"/>
        </a:xfrm>
        <a:prstGeom prst="ellipse">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1. Projected Household Growth</a:t>
          </a:r>
        </a:p>
      </dsp:txBody>
      <dsp:txXfrm>
        <a:off x="780797" y="708888"/>
        <a:ext cx="868669" cy="8684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0AF9E0-1E36-4947-B2D9-CE6D9D268076}">
      <dsp:nvSpPr>
        <dsp:cNvPr id="0" name=""/>
        <dsp:cNvSpPr/>
      </dsp:nvSpPr>
      <dsp:spPr>
        <a:xfrm rot="5400000">
          <a:off x="-92941" y="93589"/>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217511"/>
        <a:ext cx="433726" cy="185882"/>
      </dsp:txXfrm>
    </dsp:sp>
    <dsp:sp modelId="{ED09B122-91F5-461C-A44A-DB5FC41EEAEE}">
      <dsp:nvSpPr>
        <dsp:cNvPr id="0" name=""/>
        <dsp:cNvSpPr/>
      </dsp:nvSpPr>
      <dsp:spPr>
        <a:xfrm rot="5400000">
          <a:off x="2738833" y="-2324964"/>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Economic Forecast by sector </a:t>
          </a:r>
          <a:r>
            <a:rPr lang="en-GB" sz="1000" b="0" kern="1200"/>
            <a:t>- From OE (with internal adjustments)</a:t>
          </a:r>
        </a:p>
      </dsp:txBody>
      <dsp:txXfrm rot="-5400000">
        <a:off x="413869" y="19660"/>
        <a:ext cx="5033013" cy="363425"/>
      </dsp:txXfrm>
    </dsp:sp>
    <dsp:sp modelId="{A99CC1A2-C971-4658-AC49-952F992C7F4A}">
      <dsp:nvSpPr>
        <dsp:cNvPr id="0" name=""/>
        <dsp:cNvSpPr/>
      </dsp:nvSpPr>
      <dsp:spPr>
        <a:xfrm rot="5400000">
          <a:off x="-92941" y="609488"/>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733410"/>
        <a:ext cx="433726" cy="185882"/>
      </dsp:txXfrm>
    </dsp:sp>
    <dsp:sp modelId="{1268FD93-1DA4-4E8A-8AD0-1AAAF54A56B5}">
      <dsp:nvSpPr>
        <dsp:cNvPr id="0" name=""/>
        <dsp:cNvSpPr/>
      </dsp:nvSpPr>
      <dsp:spPr>
        <a:xfrm rot="5400000">
          <a:off x="2758690" y="-1808417"/>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Full Time Equivalent by sector </a:t>
          </a:r>
          <a:r>
            <a:rPr lang="en-GB" sz="1000" kern="1200"/>
            <a:t>- By Applying assumptions around Self Employment, Full-time and Part-time working </a:t>
          </a:r>
        </a:p>
      </dsp:txBody>
      <dsp:txXfrm rot="-5400000">
        <a:off x="433726" y="536207"/>
        <a:ext cx="5033013" cy="363425"/>
      </dsp:txXfrm>
    </dsp:sp>
    <dsp:sp modelId="{4D523EB0-E9A7-4A43-9667-E92C1C4AF61D}">
      <dsp:nvSpPr>
        <dsp:cNvPr id="0" name=""/>
        <dsp:cNvSpPr/>
      </dsp:nvSpPr>
      <dsp:spPr>
        <a:xfrm rot="5400000">
          <a:off x="-92941" y="1125387"/>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1249309"/>
        <a:ext cx="433726" cy="185882"/>
      </dsp:txXfrm>
    </dsp:sp>
    <dsp:sp modelId="{C2BB45B4-6F13-4357-9650-4C72E566D403}">
      <dsp:nvSpPr>
        <dsp:cNvPr id="0" name=""/>
        <dsp:cNvSpPr/>
      </dsp:nvSpPr>
      <dsp:spPr>
        <a:xfrm rot="5400000">
          <a:off x="2758690" y="-1292518"/>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Sector by Use Class </a:t>
          </a:r>
          <a:r>
            <a:rPr lang="en-GB" sz="1000" kern="1200"/>
            <a:t>- By applying assumtions around the % of jobs in each sector taking place in Offices, Warehouses and Factories</a:t>
          </a:r>
        </a:p>
      </dsp:txBody>
      <dsp:txXfrm rot="-5400000">
        <a:off x="433726" y="1052106"/>
        <a:ext cx="5033013" cy="363425"/>
      </dsp:txXfrm>
    </dsp:sp>
    <dsp:sp modelId="{54839DE8-E72D-4CF3-8ED7-7A91FA51226C}">
      <dsp:nvSpPr>
        <dsp:cNvPr id="0" name=""/>
        <dsp:cNvSpPr/>
      </dsp:nvSpPr>
      <dsp:spPr>
        <a:xfrm rot="5400000">
          <a:off x="-92941" y="1641286"/>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1765208"/>
        <a:ext cx="433726" cy="185882"/>
      </dsp:txXfrm>
    </dsp:sp>
    <dsp:sp modelId="{F3611792-0E1C-406F-8370-A4F8B949FE14}">
      <dsp:nvSpPr>
        <dsp:cNvPr id="0" name=""/>
        <dsp:cNvSpPr/>
      </dsp:nvSpPr>
      <dsp:spPr>
        <a:xfrm rot="5400000">
          <a:off x="2758690" y="-776618"/>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FTE Growth by Use Class </a:t>
          </a:r>
          <a:r>
            <a:rPr lang="en-GB" sz="1000" kern="1200"/>
            <a:t>- Previous outputs are combined i.e. number of FTE jobs in each sector disagregated by use class</a:t>
          </a:r>
        </a:p>
      </dsp:txBody>
      <dsp:txXfrm rot="-5400000">
        <a:off x="433726" y="1568006"/>
        <a:ext cx="5033013" cy="363425"/>
      </dsp:txXfrm>
    </dsp:sp>
    <dsp:sp modelId="{D3F1A462-DE74-42F2-8281-3CFC50E9B5F9}">
      <dsp:nvSpPr>
        <dsp:cNvPr id="0" name=""/>
        <dsp:cNvSpPr/>
      </dsp:nvSpPr>
      <dsp:spPr>
        <a:xfrm rot="5400000">
          <a:off x="-92941" y="2157185"/>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2281107"/>
        <a:ext cx="433726" cy="185882"/>
      </dsp:txXfrm>
    </dsp:sp>
    <dsp:sp modelId="{CBD4CBF4-1977-4B1A-B551-D4E1D086A3AD}">
      <dsp:nvSpPr>
        <dsp:cNvPr id="0" name=""/>
        <dsp:cNvSpPr/>
      </dsp:nvSpPr>
      <dsp:spPr>
        <a:xfrm rot="5400000">
          <a:off x="2758690" y="-260719"/>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Employment Floorspace </a:t>
          </a:r>
          <a:r>
            <a:rPr lang="en-GB" sz="1000" kern="1200"/>
            <a:t>- By applying Employment Density assumptions (square metres per job) the total floorspace need in each use class is calculated</a:t>
          </a:r>
        </a:p>
      </dsp:txBody>
      <dsp:txXfrm rot="-5400000">
        <a:off x="433726" y="2083905"/>
        <a:ext cx="5033013" cy="363425"/>
      </dsp:txXfrm>
    </dsp:sp>
    <dsp:sp modelId="{20CDE0F8-F8A2-4397-8175-15FE20D96013}">
      <dsp:nvSpPr>
        <dsp:cNvPr id="0" name=""/>
        <dsp:cNvSpPr/>
      </dsp:nvSpPr>
      <dsp:spPr>
        <a:xfrm rot="5400000">
          <a:off x="-92941" y="2673084"/>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2797006"/>
        <a:ext cx="433726" cy="185882"/>
      </dsp:txXfrm>
    </dsp:sp>
    <dsp:sp modelId="{00290B35-4BB2-4CDD-9CD1-7CBDE523200B}">
      <dsp:nvSpPr>
        <dsp:cNvPr id="0" name=""/>
        <dsp:cNvSpPr/>
      </dsp:nvSpPr>
      <dsp:spPr>
        <a:xfrm rot="5400000">
          <a:off x="2758690" y="255179"/>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Employment Land </a:t>
          </a:r>
          <a:r>
            <a:rPr lang="en-GB" sz="1000" kern="1200"/>
            <a:t>- By applying Plot Ratio (ratio between plot size and floorspace) assumptions the total land need in each use class is calculated</a:t>
          </a:r>
        </a:p>
      </dsp:txBody>
      <dsp:txXfrm rot="-5400000">
        <a:off x="433726" y="2599803"/>
        <a:ext cx="5033013" cy="363425"/>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Iceni Projects">
      <a:dk1>
        <a:sysClr val="windowText" lastClr="000000"/>
      </a:dk1>
      <a:lt1>
        <a:sysClr val="window" lastClr="FFFFFF"/>
      </a:lt1>
      <a:dk2>
        <a:srgbClr val="2C2A6B"/>
      </a:dk2>
      <a:lt2>
        <a:srgbClr val="646464"/>
      </a:lt2>
      <a:accent1>
        <a:srgbClr val="D40536"/>
      </a:accent1>
      <a:accent2>
        <a:srgbClr val="007866"/>
      </a:accent2>
      <a:accent3>
        <a:srgbClr val="52AD33"/>
      </a:accent3>
      <a:accent4>
        <a:srgbClr val="B1B1B1"/>
      </a:accent4>
      <a:accent5>
        <a:srgbClr val="B9CDE5"/>
      </a:accent5>
      <a:accent6>
        <a:srgbClr val="A7DBA3"/>
      </a:accent6>
      <a:hlink>
        <a:srgbClr val="2C2A6B"/>
      </a:hlink>
      <a:folHlink>
        <a:srgbClr val="646464"/>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Iceni Projects">
    <a:dk1>
      <a:sysClr val="windowText" lastClr="000000"/>
    </a:dk1>
    <a:lt1>
      <a:sysClr val="window" lastClr="FFFFFF"/>
    </a:lt1>
    <a:dk2>
      <a:srgbClr val="2C2A6B"/>
    </a:dk2>
    <a:lt2>
      <a:srgbClr val="646464"/>
    </a:lt2>
    <a:accent1>
      <a:srgbClr val="D40536"/>
    </a:accent1>
    <a:accent2>
      <a:srgbClr val="007866"/>
    </a:accent2>
    <a:accent3>
      <a:srgbClr val="52AD33"/>
    </a:accent3>
    <a:accent4>
      <a:srgbClr val="B1B1B1"/>
    </a:accent4>
    <a:accent5>
      <a:srgbClr val="B9CDE5"/>
    </a:accent5>
    <a:accent6>
      <a:srgbClr val="A7DBA3"/>
    </a:accent6>
    <a:hlink>
      <a:srgbClr val="2C2A6B"/>
    </a:hlink>
    <a:folHlink>
      <a:srgbClr val="646464"/>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8EA7E4-23EF-4497-92CE-C8A9713B27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204</Pages>
  <Words>66024</Words>
  <Characters>337265</Characters>
  <Application>Microsoft Office Word</Application>
  <DocSecurity>0</DocSecurity>
  <Lines>2810</Lines>
  <Paragraphs>804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402485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James Bompas</dc:creator>
  <cp:lastModifiedBy>Barry Knight</cp:lastModifiedBy>
  <cp:revision>2</cp:revision>
  <cp:lastPrinted>2022-05-05T13:36:00Z</cp:lastPrinted>
  <dcterms:created xsi:type="dcterms:W3CDTF">2024-07-31T13:38:00Z</dcterms:created>
  <dcterms:modified xsi:type="dcterms:W3CDTF">2024-07-31T13:38:00Z</dcterms:modified>
</cp:coreProperties>
</file>