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1DE0" w14:textId="3964B2E0" w:rsidR="009003A0" w:rsidRPr="00BC12C4" w:rsidRDefault="00DC47E6" w:rsidP="009003A0">
      <w:pPr>
        <w:jc w:val="right"/>
        <w:rPr>
          <w:rFonts w:ascii="Aptos" w:hAnsi="Aptos" w:cs="Times New Roman"/>
          <w:b/>
          <w:bCs/>
        </w:rPr>
      </w:pPr>
      <w:r w:rsidRPr="00BC12C4">
        <w:rPr>
          <w:rFonts w:ascii="Aptos" w:hAnsi="Aptos" w:cs="Times New Roman"/>
          <w:b/>
          <w:bCs/>
        </w:rPr>
        <w:t>APP/PCU/CPOPF5540/3326950</w:t>
      </w:r>
    </w:p>
    <w:p w14:paraId="126226C5" w14:textId="77777777" w:rsidR="00DC47E6" w:rsidRPr="00BC12C4" w:rsidRDefault="00DC47E6" w:rsidP="009003A0">
      <w:pPr>
        <w:jc w:val="right"/>
        <w:rPr>
          <w:rFonts w:ascii="Aptos" w:hAnsi="Aptos" w:cs="Times New Roman"/>
          <w:b/>
          <w:bCs/>
        </w:rPr>
      </w:pPr>
    </w:p>
    <w:p w14:paraId="39575EB3" w14:textId="40F0DC24" w:rsidR="00D83BBE" w:rsidRPr="00BC12C4" w:rsidRDefault="00BD4308" w:rsidP="001C5327">
      <w:pPr>
        <w:jc w:val="center"/>
        <w:rPr>
          <w:rFonts w:ascii="Aptos" w:hAnsi="Aptos" w:cs="Times New Roman"/>
          <w:b/>
          <w:bCs/>
        </w:rPr>
      </w:pPr>
      <w:r w:rsidRPr="00BC12C4">
        <w:rPr>
          <w:rFonts w:ascii="Aptos" w:hAnsi="Aptos" w:cs="Times New Roman"/>
          <w:b/>
          <w:bCs/>
        </w:rPr>
        <w:t>CHICHESTER DISTRICT COUNCIL</w:t>
      </w:r>
    </w:p>
    <w:p w14:paraId="4D3F5333" w14:textId="39DE5FB8" w:rsidR="001B0C3B" w:rsidRPr="00BC12C4" w:rsidRDefault="001B0C3B" w:rsidP="001C5327">
      <w:pPr>
        <w:jc w:val="center"/>
        <w:rPr>
          <w:rFonts w:ascii="Aptos" w:hAnsi="Aptos" w:cs="Times New Roman"/>
          <w:b/>
          <w:bCs/>
        </w:rPr>
      </w:pPr>
      <w:r w:rsidRPr="00BC12C4">
        <w:rPr>
          <w:rFonts w:ascii="Aptos" w:hAnsi="Aptos" w:cs="Times New Roman"/>
          <w:b/>
          <w:bCs/>
        </w:rPr>
        <w:t xml:space="preserve">THE </w:t>
      </w:r>
      <w:r w:rsidR="00BD4308" w:rsidRPr="00BC12C4">
        <w:rPr>
          <w:rFonts w:ascii="Aptos" w:hAnsi="Aptos" w:cs="Times New Roman"/>
          <w:b/>
          <w:bCs/>
        </w:rPr>
        <w:t>CHICHESTER DISTRICT COUNCIL</w:t>
      </w:r>
      <w:r w:rsidRPr="00BC12C4">
        <w:rPr>
          <w:rFonts w:ascii="Aptos" w:hAnsi="Aptos" w:cs="Times New Roman"/>
          <w:b/>
          <w:bCs/>
        </w:rPr>
        <w:t xml:space="preserve"> (</w:t>
      </w:r>
      <w:r w:rsidR="00BD4308" w:rsidRPr="00BC12C4">
        <w:rPr>
          <w:rFonts w:ascii="Aptos" w:hAnsi="Aptos" w:cs="Times New Roman"/>
          <w:b/>
          <w:bCs/>
        </w:rPr>
        <w:t>ACCESS TRACK OFF CROOKED LANE, BIRDHAM) COMPULSORY PURCHASE ORDER 2023</w:t>
      </w:r>
    </w:p>
    <w:p w14:paraId="365C24C6" w14:textId="77777777" w:rsidR="001B0C3B" w:rsidRPr="00BC12C4" w:rsidRDefault="001B0C3B" w:rsidP="001C5327">
      <w:pPr>
        <w:jc w:val="center"/>
        <w:rPr>
          <w:rFonts w:ascii="Aptos" w:hAnsi="Aptos" w:cs="Times New Roman"/>
          <w:b/>
          <w:bCs/>
        </w:rPr>
      </w:pPr>
    </w:p>
    <w:p w14:paraId="59B732B4" w14:textId="65EEBD41" w:rsidR="001B0C3B" w:rsidRPr="00BC12C4" w:rsidRDefault="001B0C3B" w:rsidP="008A0F77">
      <w:pPr>
        <w:pStyle w:val="Heading1"/>
      </w:pPr>
      <w:r w:rsidRPr="00BC12C4">
        <w:t>OPENING STATEMENT FOR THE ACQUIRING AUTHORITY</w:t>
      </w:r>
    </w:p>
    <w:p w14:paraId="5D0E0868" w14:textId="77777777" w:rsidR="001B0C3B" w:rsidRPr="00BC12C4" w:rsidRDefault="001B0C3B" w:rsidP="001B0C3B">
      <w:pPr>
        <w:rPr>
          <w:rFonts w:ascii="Aptos" w:hAnsi="Aptos" w:cs="Times New Roman"/>
          <w:b/>
          <w:bCs/>
          <w:u w:val="single"/>
        </w:rPr>
      </w:pPr>
    </w:p>
    <w:p w14:paraId="09BE2C15" w14:textId="604580B3" w:rsidR="00410D69" w:rsidRPr="00BC12C4" w:rsidRDefault="00C73DD9" w:rsidP="001B0C3B">
      <w:pPr>
        <w:rPr>
          <w:rFonts w:ascii="Aptos" w:hAnsi="Aptos" w:cs="Times New Roman"/>
          <w:i/>
          <w:iCs/>
        </w:rPr>
      </w:pPr>
      <w:r w:rsidRPr="00BC12C4">
        <w:rPr>
          <w:rFonts w:ascii="Aptos" w:hAnsi="Aptos" w:cs="Times New Roman"/>
          <w:i/>
          <w:iCs/>
        </w:rPr>
        <w:t>Unless otherwise stated, defin</w:t>
      </w:r>
      <w:r w:rsidR="00D04DA1" w:rsidRPr="00BC12C4">
        <w:rPr>
          <w:rFonts w:ascii="Aptos" w:hAnsi="Aptos" w:cs="Times New Roman"/>
          <w:i/>
          <w:iCs/>
        </w:rPr>
        <w:t>ed terms are as used in the Council’s Statement of Case.</w:t>
      </w:r>
      <w:r w:rsidR="00D04DA1" w:rsidRPr="00F863D5">
        <w:rPr>
          <w:rStyle w:val="FootnoteReference"/>
          <w:rFonts w:ascii="Aptos" w:hAnsi="Aptos" w:cs="Times New Roman"/>
        </w:rPr>
        <w:footnoteReference w:id="1"/>
      </w:r>
    </w:p>
    <w:p w14:paraId="012F0109" w14:textId="77777777" w:rsidR="00D04DA1" w:rsidRPr="00BC12C4" w:rsidRDefault="00D04DA1" w:rsidP="001B0C3B">
      <w:pPr>
        <w:rPr>
          <w:rFonts w:ascii="Aptos" w:hAnsi="Aptos" w:cs="Times New Roman"/>
          <w:i/>
          <w:iCs/>
        </w:rPr>
      </w:pPr>
    </w:p>
    <w:p w14:paraId="10C84FDC" w14:textId="790C11A8" w:rsidR="001B0C3B" w:rsidRPr="00BC12C4" w:rsidRDefault="00CD6458" w:rsidP="00D21EC6">
      <w:pPr>
        <w:spacing w:after="0" w:line="360" w:lineRule="auto"/>
        <w:ind w:left="426" w:hanging="426"/>
        <w:jc w:val="both"/>
        <w:rPr>
          <w:rFonts w:ascii="Aptos" w:hAnsi="Aptos" w:cs="Times New Roman"/>
          <w:b/>
          <w:bCs/>
          <w:u w:val="single"/>
        </w:rPr>
      </w:pPr>
      <w:r w:rsidRPr="00BC12C4">
        <w:rPr>
          <w:rFonts w:ascii="Aptos" w:hAnsi="Aptos" w:cs="Times New Roman"/>
          <w:b/>
          <w:bCs/>
          <w:u w:val="single"/>
        </w:rPr>
        <w:t>Introduction</w:t>
      </w:r>
    </w:p>
    <w:p w14:paraId="5BBBDCEF" w14:textId="680FF3A4" w:rsidR="00D51988" w:rsidRPr="00BC12C4" w:rsidRDefault="00CD6458" w:rsidP="00D21EC6">
      <w:pPr>
        <w:pStyle w:val="ListParagraph"/>
        <w:numPr>
          <w:ilvl w:val="0"/>
          <w:numId w:val="1"/>
        </w:numPr>
        <w:spacing w:after="0" w:line="360" w:lineRule="auto"/>
        <w:ind w:left="426" w:hanging="426"/>
        <w:contextualSpacing w:val="0"/>
        <w:jc w:val="both"/>
        <w:rPr>
          <w:rFonts w:ascii="Aptos" w:hAnsi="Aptos" w:cs="Times New Roman"/>
        </w:rPr>
      </w:pPr>
      <w:r w:rsidRPr="00BC12C4">
        <w:rPr>
          <w:rFonts w:ascii="Aptos" w:hAnsi="Aptos" w:cs="Times New Roman"/>
        </w:rPr>
        <w:t xml:space="preserve">The </w:t>
      </w:r>
      <w:r w:rsidR="00806B23" w:rsidRPr="00BC12C4">
        <w:rPr>
          <w:rFonts w:ascii="Aptos" w:hAnsi="Aptos" w:cs="Times New Roman"/>
        </w:rPr>
        <w:t>evidence of the acquiring authority (“</w:t>
      </w:r>
      <w:r w:rsidR="00806B23" w:rsidRPr="00BC12C4">
        <w:rPr>
          <w:rFonts w:ascii="Aptos" w:hAnsi="Aptos" w:cs="Times New Roman"/>
          <w:b/>
          <w:bCs/>
        </w:rPr>
        <w:t>the Council</w:t>
      </w:r>
      <w:r w:rsidR="00806B23" w:rsidRPr="00BC12C4">
        <w:rPr>
          <w:rFonts w:ascii="Aptos" w:hAnsi="Aptos" w:cs="Times New Roman"/>
        </w:rPr>
        <w:t xml:space="preserve">”) </w:t>
      </w:r>
      <w:r w:rsidR="00B3777C" w:rsidRPr="00BC12C4">
        <w:rPr>
          <w:rFonts w:ascii="Aptos" w:hAnsi="Aptos" w:cs="Times New Roman"/>
        </w:rPr>
        <w:t>shows that the requisite</w:t>
      </w:r>
      <w:r w:rsidR="00B3777C" w:rsidRPr="00BC12C4">
        <w:rPr>
          <w:rStyle w:val="FootnoteReference"/>
          <w:rFonts w:ascii="Aptos" w:hAnsi="Aptos" w:cs="Times New Roman"/>
        </w:rPr>
        <w:footnoteReference w:id="2"/>
      </w:r>
      <w:r w:rsidR="00B3777C" w:rsidRPr="00BC12C4">
        <w:rPr>
          <w:rFonts w:ascii="Aptos" w:hAnsi="Aptos" w:cs="Times New Roman"/>
        </w:rPr>
        <w:t xml:space="preserve"> compelling case in the public interest for confirmation of the Order is clearly established.</w:t>
      </w:r>
      <w:r w:rsidR="00675FEB" w:rsidRPr="00BC12C4">
        <w:rPr>
          <w:rFonts w:ascii="Aptos" w:hAnsi="Aptos" w:cs="Times New Roman"/>
        </w:rPr>
        <w:t xml:space="preserve"> </w:t>
      </w:r>
      <w:r w:rsidR="008E1FB8" w:rsidRPr="00BC12C4">
        <w:rPr>
          <w:rFonts w:ascii="Aptos" w:hAnsi="Aptos" w:cs="Times New Roman"/>
        </w:rPr>
        <w:t>As Mr Bristow explains in his proof of evidence</w:t>
      </w:r>
      <w:r w:rsidR="008E7ED5" w:rsidRPr="00BC12C4">
        <w:rPr>
          <w:rStyle w:val="FootnoteReference"/>
          <w:rFonts w:ascii="Aptos" w:hAnsi="Aptos" w:cs="Times New Roman"/>
        </w:rPr>
        <w:footnoteReference w:id="3"/>
      </w:r>
      <w:r w:rsidR="008E1FB8" w:rsidRPr="00BC12C4">
        <w:rPr>
          <w:rFonts w:ascii="Aptos" w:hAnsi="Aptos" w:cs="Times New Roman"/>
        </w:rPr>
        <w:t xml:space="preserve">, the Scheme will contribute to the economic, social and environmental well-being of the area in which </w:t>
      </w:r>
      <w:r w:rsidR="008E7ED5" w:rsidRPr="00BC12C4">
        <w:rPr>
          <w:rFonts w:ascii="Aptos" w:hAnsi="Aptos" w:cs="Times New Roman"/>
        </w:rPr>
        <w:t>the Order Land is situated.</w:t>
      </w:r>
      <w:r w:rsidR="008B0910" w:rsidRPr="00BC12C4">
        <w:rPr>
          <w:rFonts w:ascii="Aptos" w:hAnsi="Aptos" w:cs="Times New Roman"/>
        </w:rPr>
        <w:t xml:space="preserve"> Planning permission is in place</w:t>
      </w:r>
      <w:r w:rsidR="00540A91" w:rsidRPr="00BC12C4">
        <w:rPr>
          <w:rFonts w:ascii="Aptos" w:hAnsi="Aptos" w:cs="Times New Roman"/>
        </w:rPr>
        <w:t xml:space="preserve">, as are funding arrangements. </w:t>
      </w:r>
      <w:r w:rsidR="00D65A2B" w:rsidRPr="00BC12C4">
        <w:rPr>
          <w:rFonts w:ascii="Aptos" w:hAnsi="Aptos" w:cs="Times New Roman"/>
        </w:rPr>
        <w:t>Appropriate efforts have been made by the Council to acquire by agreement the land and rights necessary for the Scheme.</w:t>
      </w:r>
      <w:r w:rsidR="00187321" w:rsidRPr="00BC12C4">
        <w:rPr>
          <w:rFonts w:ascii="Aptos" w:hAnsi="Aptos" w:cs="Times New Roman"/>
        </w:rPr>
        <w:t xml:space="preserve"> To the extent that </w:t>
      </w:r>
      <w:r w:rsidR="00CA615E" w:rsidRPr="00BC12C4">
        <w:rPr>
          <w:rFonts w:ascii="Aptos" w:hAnsi="Aptos" w:cs="Times New Roman"/>
        </w:rPr>
        <w:t>confirmation of the Order will affect rights under Art. 8 of the</w:t>
      </w:r>
      <w:r w:rsidR="00FB4076" w:rsidRPr="00BC12C4">
        <w:rPr>
          <w:rFonts w:ascii="Aptos" w:hAnsi="Aptos" w:cs="Times New Roman"/>
        </w:rPr>
        <w:t xml:space="preserve"> European Convention on Human Rights (“</w:t>
      </w:r>
      <w:r w:rsidR="00FB4076" w:rsidRPr="00BC12C4">
        <w:rPr>
          <w:rFonts w:ascii="Aptos" w:hAnsi="Aptos" w:cs="Times New Roman"/>
          <w:b/>
          <w:bCs/>
        </w:rPr>
        <w:t>ECHR</w:t>
      </w:r>
      <w:r w:rsidR="00FB4076" w:rsidRPr="00BC12C4">
        <w:rPr>
          <w:rFonts w:ascii="Aptos" w:hAnsi="Aptos" w:cs="Times New Roman"/>
        </w:rPr>
        <w:t>”)</w:t>
      </w:r>
      <w:r w:rsidR="00CA615E" w:rsidRPr="00BC12C4">
        <w:rPr>
          <w:rFonts w:ascii="Aptos" w:hAnsi="Aptos" w:cs="Times New Roman"/>
        </w:rPr>
        <w:t xml:space="preserve"> and Art. 1 of the First Protocol to the same, </w:t>
      </w:r>
      <w:r w:rsidR="00FB4076" w:rsidRPr="00BC12C4">
        <w:rPr>
          <w:rFonts w:ascii="Aptos" w:hAnsi="Aptos" w:cs="Times New Roman"/>
        </w:rPr>
        <w:t xml:space="preserve">any interference with those rights is in accordance with the law, necessary in the public interest and proportionate. </w:t>
      </w:r>
      <w:r w:rsidR="00D65A2B" w:rsidRPr="00BC12C4">
        <w:rPr>
          <w:rFonts w:ascii="Aptos" w:hAnsi="Aptos" w:cs="Times New Roman"/>
        </w:rPr>
        <w:t xml:space="preserve"> </w:t>
      </w:r>
    </w:p>
    <w:p w14:paraId="3630FEEB" w14:textId="77777777" w:rsidR="002B1AEC" w:rsidRPr="00BC12C4" w:rsidRDefault="002B1AEC" w:rsidP="00D21EC6">
      <w:pPr>
        <w:spacing w:after="0" w:line="360" w:lineRule="auto"/>
        <w:ind w:left="426" w:hanging="426"/>
        <w:jc w:val="both"/>
        <w:rPr>
          <w:rFonts w:ascii="Aptos" w:hAnsi="Aptos" w:cs="Times New Roman"/>
        </w:rPr>
      </w:pPr>
    </w:p>
    <w:p w14:paraId="62D27383" w14:textId="77777777" w:rsidR="00F17984" w:rsidRPr="00BC12C4" w:rsidRDefault="00F17984" w:rsidP="00D21EC6">
      <w:pPr>
        <w:spacing w:after="0" w:line="360" w:lineRule="auto"/>
        <w:ind w:left="426" w:hanging="426"/>
        <w:jc w:val="both"/>
        <w:rPr>
          <w:rFonts w:ascii="Aptos" w:hAnsi="Aptos" w:cs="Times New Roman"/>
          <w:b/>
          <w:bCs/>
          <w:u w:val="single"/>
        </w:rPr>
      </w:pPr>
      <w:r w:rsidRPr="00BC12C4">
        <w:rPr>
          <w:rFonts w:ascii="Aptos" w:hAnsi="Aptos" w:cs="Times New Roman"/>
          <w:b/>
          <w:bCs/>
          <w:u w:val="single"/>
        </w:rPr>
        <w:t>Planning matters</w:t>
      </w:r>
    </w:p>
    <w:p w14:paraId="19790066" w14:textId="513B9835" w:rsidR="006736E0" w:rsidRPr="00796C2B" w:rsidRDefault="009A6F15" w:rsidP="00D21EC6">
      <w:pPr>
        <w:pStyle w:val="ListParagraph"/>
        <w:numPr>
          <w:ilvl w:val="0"/>
          <w:numId w:val="1"/>
        </w:numPr>
        <w:spacing w:after="0" w:line="360" w:lineRule="auto"/>
        <w:ind w:left="426" w:hanging="426"/>
        <w:contextualSpacing w:val="0"/>
        <w:jc w:val="both"/>
        <w:rPr>
          <w:rFonts w:ascii="Aptos" w:hAnsi="Aptos" w:cs="Times New Roman"/>
        </w:rPr>
      </w:pPr>
      <w:r w:rsidRPr="00BC12C4">
        <w:rPr>
          <w:rFonts w:ascii="Aptos" w:hAnsi="Aptos" w:cstheme="minorHAnsi"/>
        </w:rPr>
        <w:t xml:space="preserve">In satisfaction of the 2019 </w:t>
      </w:r>
      <w:r w:rsidR="00DD6DAA" w:rsidRPr="00BC12C4">
        <w:rPr>
          <w:rFonts w:ascii="Aptos" w:hAnsi="Aptos" w:cstheme="minorHAnsi"/>
        </w:rPr>
        <w:t>G</w:t>
      </w:r>
      <w:r w:rsidRPr="00BC12C4">
        <w:rPr>
          <w:rFonts w:ascii="Aptos" w:hAnsi="Aptos" w:cstheme="minorHAnsi"/>
        </w:rPr>
        <w:t>uidance</w:t>
      </w:r>
      <w:r w:rsidRPr="00BC12C4">
        <w:rPr>
          <w:rStyle w:val="FootnoteReference"/>
          <w:rFonts w:ascii="Aptos" w:hAnsi="Aptos" w:cstheme="minorHAnsi"/>
        </w:rPr>
        <w:footnoteReference w:id="4"/>
      </w:r>
      <w:r w:rsidRPr="00BC12C4">
        <w:rPr>
          <w:rFonts w:ascii="Aptos" w:hAnsi="Aptos" w:cstheme="minorHAnsi"/>
        </w:rPr>
        <w:t>, the Council has a clear idea of how it intends to use the Order Land. The purpose of the Order is</w:t>
      </w:r>
      <w:r w:rsidR="00CF3D33" w:rsidRPr="00BC12C4">
        <w:rPr>
          <w:rFonts w:ascii="Aptos" w:hAnsi="Aptos" w:cstheme="minorHAnsi"/>
        </w:rPr>
        <w:t xml:space="preserve"> to acquire the Order Land so that it can be used to provide a</w:t>
      </w:r>
      <w:r w:rsidR="00771762" w:rsidRPr="00BC12C4">
        <w:rPr>
          <w:rFonts w:ascii="Aptos" w:hAnsi="Aptos" w:cstheme="minorHAnsi"/>
        </w:rPr>
        <w:t xml:space="preserve"> </w:t>
      </w:r>
      <w:r w:rsidR="0005755E" w:rsidRPr="00BC12C4">
        <w:rPr>
          <w:rFonts w:ascii="Aptos" w:hAnsi="Aptos" w:cstheme="minorHAnsi"/>
        </w:rPr>
        <w:t>road access from Crooked Lane</w:t>
      </w:r>
      <w:r w:rsidR="00A3414B" w:rsidRPr="00BC12C4">
        <w:rPr>
          <w:rFonts w:ascii="Aptos" w:hAnsi="Aptos" w:cstheme="minorHAnsi"/>
        </w:rPr>
        <w:t xml:space="preserve"> to the Scheme, the latter being the development of 15 affordable homes on land to the west of the Order Land</w:t>
      </w:r>
      <w:r w:rsidR="00D10EA4" w:rsidRPr="00BC12C4">
        <w:rPr>
          <w:rStyle w:val="FootnoteReference"/>
          <w:rFonts w:ascii="Aptos" w:hAnsi="Aptos" w:cstheme="minorHAnsi"/>
        </w:rPr>
        <w:footnoteReference w:id="5"/>
      </w:r>
      <w:r w:rsidR="00EB07B4" w:rsidRPr="00BC12C4">
        <w:rPr>
          <w:rFonts w:ascii="Aptos" w:hAnsi="Aptos" w:cstheme="minorHAnsi"/>
        </w:rPr>
        <w:t xml:space="preserve"> (“</w:t>
      </w:r>
      <w:r w:rsidR="00EB07B4" w:rsidRPr="00BC12C4">
        <w:rPr>
          <w:rFonts w:ascii="Aptos" w:hAnsi="Aptos" w:cstheme="minorHAnsi"/>
          <w:b/>
          <w:bCs/>
        </w:rPr>
        <w:t>the Housing Site</w:t>
      </w:r>
      <w:r w:rsidR="00EB07B4" w:rsidRPr="00BC12C4">
        <w:rPr>
          <w:rFonts w:ascii="Aptos" w:hAnsi="Aptos" w:cstheme="minorHAnsi"/>
        </w:rPr>
        <w:t>”)</w:t>
      </w:r>
      <w:r w:rsidR="00A3414B" w:rsidRPr="00BC12C4">
        <w:rPr>
          <w:rFonts w:ascii="Aptos" w:hAnsi="Aptos" w:cstheme="minorHAnsi"/>
        </w:rPr>
        <w:t>.</w:t>
      </w:r>
      <w:r w:rsidR="003E2287" w:rsidRPr="00BC12C4">
        <w:rPr>
          <w:rFonts w:ascii="Aptos" w:hAnsi="Aptos" w:cstheme="minorHAnsi"/>
        </w:rPr>
        <w:t xml:space="preserve"> The Order is thus necessary to enable delivery of the Scheme</w:t>
      </w:r>
      <w:r w:rsidR="00F562DF" w:rsidRPr="00BC12C4">
        <w:rPr>
          <w:rFonts w:ascii="Aptos" w:hAnsi="Aptos" w:cstheme="minorHAnsi"/>
        </w:rPr>
        <w:t>; if the Order is confirmed, the freehold owner of the Housing Site (Martlet Homes Limited</w:t>
      </w:r>
      <w:r w:rsidR="000C100C" w:rsidRPr="00BC12C4">
        <w:rPr>
          <w:rFonts w:ascii="Aptos" w:hAnsi="Aptos" w:cstheme="minorHAnsi"/>
        </w:rPr>
        <w:t>: “</w:t>
      </w:r>
      <w:r w:rsidR="000C100C" w:rsidRPr="00BC12C4">
        <w:rPr>
          <w:rFonts w:ascii="Aptos" w:hAnsi="Aptos" w:cstheme="minorHAnsi"/>
          <w:b/>
          <w:bCs/>
        </w:rPr>
        <w:t>Martlet</w:t>
      </w:r>
      <w:r w:rsidR="000C100C" w:rsidRPr="00BC12C4">
        <w:rPr>
          <w:rFonts w:ascii="Aptos" w:hAnsi="Aptos" w:cstheme="minorHAnsi"/>
        </w:rPr>
        <w:t>”</w:t>
      </w:r>
      <w:r w:rsidR="000F15CB" w:rsidRPr="00BC12C4">
        <w:rPr>
          <w:rStyle w:val="FootnoteReference"/>
          <w:rFonts w:ascii="Aptos" w:hAnsi="Aptos" w:cstheme="minorHAnsi"/>
        </w:rPr>
        <w:footnoteReference w:id="6"/>
      </w:r>
      <w:r w:rsidR="000F15CB" w:rsidRPr="00BC12C4">
        <w:rPr>
          <w:rFonts w:ascii="Aptos" w:hAnsi="Aptos" w:cstheme="minorHAnsi"/>
        </w:rPr>
        <w:t xml:space="preserve">, a </w:t>
      </w:r>
      <w:r w:rsidR="000F15CB" w:rsidRPr="00BC12C4">
        <w:rPr>
          <w:rFonts w:ascii="Aptos" w:hAnsi="Aptos" w:cstheme="minorHAnsi"/>
        </w:rPr>
        <w:lastRenderedPageBreak/>
        <w:t>Registered Provider of affordable housing</w:t>
      </w:r>
      <w:r w:rsidR="000C100C" w:rsidRPr="00BC12C4">
        <w:rPr>
          <w:rFonts w:ascii="Aptos" w:hAnsi="Aptos" w:cstheme="minorHAnsi"/>
        </w:rPr>
        <w:t xml:space="preserve">) </w:t>
      </w:r>
      <w:r w:rsidR="00941B08" w:rsidRPr="00BC12C4">
        <w:rPr>
          <w:rFonts w:ascii="Aptos" w:hAnsi="Aptos" w:cstheme="minorHAnsi"/>
        </w:rPr>
        <w:t xml:space="preserve">will construct the 15 affordable homes together with the access road, at its own cost and expense. Each of the affordable homes will be let at a </w:t>
      </w:r>
      <w:r w:rsidR="00941B08" w:rsidRPr="00796C2B">
        <w:rPr>
          <w:rFonts w:ascii="Aptos" w:hAnsi="Aptos" w:cstheme="minorHAnsi"/>
        </w:rPr>
        <w:t xml:space="preserve">social rent. </w:t>
      </w:r>
      <w:r w:rsidR="003E2287" w:rsidRPr="00796C2B">
        <w:rPr>
          <w:rFonts w:ascii="Aptos" w:hAnsi="Aptos" w:cstheme="minorHAnsi"/>
        </w:rPr>
        <w:t xml:space="preserve"> </w:t>
      </w:r>
    </w:p>
    <w:p w14:paraId="73AE7CCE" w14:textId="77777777" w:rsidR="006736E0" w:rsidRPr="00796C2B" w:rsidRDefault="006736E0" w:rsidP="00D21EC6">
      <w:pPr>
        <w:pStyle w:val="ListParagraph"/>
        <w:spacing w:after="0" w:line="360" w:lineRule="auto"/>
        <w:ind w:left="426"/>
        <w:contextualSpacing w:val="0"/>
        <w:jc w:val="both"/>
        <w:rPr>
          <w:rFonts w:ascii="Aptos" w:hAnsi="Aptos" w:cs="Times New Roman"/>
        </w:rPr>
      </w:pPr>
    </w:p>
    <w:p w14:paraId="3FF490E6" w14:textId="5FBB7B15" w:rsidR="00796C2B" w:rsidRPr="00796C2B" w:rsidRDefault="00CF3D33" w:rsidP="00D21EC6">
      <w:pPr>
        <w:pStyle w:val="ListParagraph"/>
        <w:numPr>
          <w:ilvl w:val="0"/>
          <w:numId w:val="1"/>
        </w:numPr>
        <w:spacing w:after="0" w:line="360" w:lineRule="auto"/>
        <w:ind w:left="426" w:hanging="426"/>
        <w:contextualSpacing w:val="0"/>
        <w:jc w:val="both"/>
        <w:rPr>
          <w:rFonts w:ascii="Aptos" w:hAnsi="Aptos" w:cs="Times New Roman"/>
        </w:rPr>
      </w:pPr>
      <w:r w:rsidRPr="00796C2B">
        <w:rPr>
          <w:rFonts w:ascii="Aptos" w:hAnsi="Aptos" w:cstheme="minorHAnsi"/>
        </w:rPr>
        <w:t>T</w:t>
      </w:r>
      <w:r w:rsidR="00941B08" w:rsidRPr="00796C2B">
        <w:rPr>
          <w:rFonts w:ascii="Aptos" w:hAnsi="Aptos" w:cstheme="minorHAnsi"/>
        </w:rPr>
        <w:t>he purpose pursued by the Council in making the Order fits in w</w:t>
      </w:r>
      <w:r w:rsidR="009A6F15" w:rsidRPr="00796C2B">
        <w:rPr>
          <w:rFonts w:ascii="Aptos" w:hAnsi="Aptos" w:cstheme="minorHAnsi"/>
        </w:rPr>
        <w:t>ith both the Council’s adopted Local Plan and with the NPPF</w:t>
      </w:r>
      <w:r w:rsidR="009A6F15" w:rsidRPr="00796C2B">
        <w:rPr>
          <w:rStyle w:val="FootnoteReference"/>
          <w:rFonts w:ascii="Aptos" w:hAnsi="Aptos" w:cstheme="minorHAnsi"/>
        </w:rPr>
        <w:footnoteReference w:id="7"/>
      </w:r>
      <w:r w:rsidR="009A6F15" w:rsidRPr="00796C2B">
        <w:rPr>
          <w:rFonts w:ascii="Aptos" w:hAnsi="Aptos" w:cstheme="minorHAnsi"/>
        </w:rPr>
        <w:t xml:space="preserve">. That point is evidenced </w:t>
      </w:r>
      <w:r w:rsidR="009A6F15" w:rsidRPr="00796C2B">
        <w:rPr>
          <w:rFonts w:ascii="Aptos" w:hAnsi="Aptos" w:cstheme="minorHAnsi"/>
          <w:i/>
          <w:iCs/>
        </w:rPr>
        <w:t>inter alia</w:t>
      </w:r>
      <w:r w:rsidR="009A6F15" w:rsidRPr="00796C2B">
        <w:rPr>
          <w:rFonts w:ascii="Aptos" w:hAnsi="Aptos" w:cstheme="minorHAnsi"/>
        </w:rPr>
        <w:t xml:space="preserve"> by</w:t>
      </w:r>
      <w:r w:rsidR="003A5C9F" w:rsidRPr="00796C2B">
        <w:rPr>
          <w:rFonts w:ascii="Aptos" w:hAnsi="Aptos" w:cstheme="minorHAnsi"/>
        </w:rPr>
        <w:t xml:space="preserve"> the fact that </w:t>
      </w:r>
      <w:r w:rsidR="009F179F" w:rsidRPr="00796C2B">
        <w:rPr>
          <w:rFonts w:ascii="Aptos" w:hAnsi="Aptos" w:cstheme="minorHAnsi"/>
        </w:rPr>
        <w:t>the Council granted full planning permission for the Scheme in 2013</w:t>
      </w:r>
      <w:r w:rsidR="007B5048">
        <w:rPr>
          <w:rStyle w:val="FootnoteReference"/>
          <w:rFonts w:ascii="Aptos" w:hAnsi="Aptos" w:cstheme="minorHAnsi"/>
        </w:rPr>
        <w:footnoteReference w:id="8"/>
      </w:r>
      <w:r w:rsidR="009F179F" w:rsidRPr="00796C2B">
        <w:rPr>
          <w:rFonts w:ascii="Aptos" w:hAnsi="Aptos" w:cstheme="minorHAnsi"/>
        </w:rPr>
        <w:t xml:space="preserve"> and again in 2016 (</w:t>
      </w:r>
      <w:r w:rsidR="006B75AC" w:rsidRPr="00796C2B">
        <w:rPr>
          <w:rFonts w:ascii="Aptos" w:hAnsi="Aptos" w:cstheme="minorHAnsi"/>
        </w:rPr>
        <w:t>under s. 73 of the 1990 Act: “</w:t>
      </w:r>
      <w:r w:rsidR="006B75AC" w:rsidRPr="00796C2B">
        <w:rPr>
          <w:rFonts w:ascii="Aptos" w:hAnsi="Aptos" w:cstheme="minorHAnsi"/>
          <w:b/>
          <w:bCs/>
        </w:rPr>
        <w:t>the Planning Permission</w:t>
      </w:r>
      <w:r w:rsidR="006B75AC" w:rsidRPr="00733E16">
        <w:rPr>
          <w:rFonts w:ascii="Aptos" w:hAnsi="Aptos" w:cstheme="minorHAnsi"/>
        </w:rPr>
        <w:t>”</w:t>
      </w:r>
      <w:r w:rsidR="00733E16">
        <w:rPr>
          <w:rStyle w:val="FootnoteReference"/>
          <w:rFonts w:ascii="Aptos" w:hAnsi="Aptos" w:cstheme="minorHAnsi"/>
        </w:rPr>
        <w:footnoteReference w:id="9"/>
      </w:r>
      <w:r w:rsidR="006B75AC" w:rsidRPr="00796C2B">
        <w:rPr>
          <w:rFonts w:ascii="Aptos" w:hAnsi="Aptos" w:cstheme="minorHAnsi"/>
        </w:rPr>
        <w:t>)</w:t>
      </w:r>
      <w:r w:rsidR="004F06A4" w:rsidRPr="00796C2B">
        <w:rPr>
          <w:rFonts w:ascii="Aptos" w:hAnsi="Aptos" w:cstheme="minorHAnsi"/>
        </w:rPr>
        <w:t>.</w:t>
      </w:r>
      <w:r w:rsidR="006B75AC" w:rsidRPr="00796C2B">
        <w:rPr>
          <w:rFonts w:ascii="Aptos" w:hAnsi="Aptos" w:cstheme="minorHAnsi"/>
        </w:rPr>
        <w:t xml:space="preserve"> </w:t>
      </w:r>
      <w:r w:rsidR="00FB3474" w:rsidRPr="00796C2B">
        <w:rPr>
          <w:rFonts w:ascii="Aptos" w:hAnsi="Aptos" w:cstheme="minorHAnsi"/>
        </w:rPr>
        <w:t>The Planning Permission has been lawfully implemented and remains extant, as certified by the lawful development certificate granted by the Council on 25 July 2017</w:t>
      </w:r>
      <w:r w:rsidR="00290FCD">
        <w:rPr>
          <w:rStyle w:val="FootnoteReference"/>
          <w:rFonts w:ascii="Aptos" w:hAnsi="Aptos" w:cstheme="minorHAnsi"/>
        </w:rPr>
        <w:footnoteReference w:id="10"/>
      </w:r>
      <w:r w:rsidR="00FB3474" w:rsidRPr="00796C2B">
        <w:rPr>
          <w:rFonts w:ascii="Aptos" w:hAnsi="Aptos" w:cstheme="minorHAnsi"/>
        </w:rPr>
        <w:t xml:space="preserve">. </w:t>
      </w:r>
      <w:r w:rsidR="00F039A3" w:rsidRPr="00796C2B">
        <w:rPr>
          <w:rFonts w:ascii="Aptos" w:hAnsi="Aptos" w:cstheme="minorHAnsi"/>
        </w:rPr>
        <w:t xml:space="preserve"> </w:t>
      </w:r>
    </w:p>
    <w:p w14:paraId="24679BED" w14:textId="77777777" w:rsidR="00796C2B" w:rsidRPr="00796C2B" w:rsidRDefault="00796C2B" w:rsidP="00D21EC6">
      <w:pPr>
        <w:pStyle w:val="ListParagraph"/>
        <w:spacing w:after="0" w:line="360" w:lineRule="auto"/>
        <w:contextualSpacing w:val="0"/>
        <w:rPr>
          <w:rFonts w:ascii="Aptos" w:hAnsi="Aptos" w:cstheme="minorHAnsi"/>
        </w:rPr>
      </w:pPr>
    </w:p>
    <w:p w14:paraId="5FCA6444" w14:textId="00D7269F" w:rsidR="00054AE7" w:rsidRPr="00796C2B" w:rsidRDefault="00796C2B" w:rsidP="00D21EC6">
      <w:pPr>
        <w:pStyle w:val="ListParagraph"/>
        <w:numPr>
          <w:ilvl w:val="0"/>
          <w:numId w:val="1"/>
        </w:numPr>
        <w:spacing w:after="0" w:line="360" w:lineRule="auto"/>
        <w:ind w:left="426" w:hanging="426"/>
        <w:contextualSpacing w:val="0"/>
        <w:jc w:val="both"/>
        <w:rPr>
          <w:rFonts w:ascii="Aptos" w:hAnsi="Aptos" w:cs="Times New Roman"/>
        </w:rPr>
      </w:pPr>
      <w:r w:rsidRPr="00796C2B">
        <w:rPr>
          <w:rFonts w:ascii="Aptos" w:hAnsi="Aptos" w:cstheme="minorHAnsi"/>
        </w:rPr>
        <w:t xml:space="preserve">As well as according with the Council’s adopted Local Plan and with the NPPF, the Scheme accords with the Birdham Parish Neighbourhood Plan, which </w:t>
      </w:r>
      <w:r w:rsidR="00105385" w:rsidRPr="00796C2B">
        <w:rPr>
          <w:rFonts w:ascii="Aptos" w:hAnsi="Aptos" w:cstheme="minorHAnsi"/>
        </w:rPr>
        <w:t>identifies</w:t>
      </w:r>
      <w:r w:rsidR="00021AC2" w:rsidRPr="00796C2B">
        <w:rPr>
          <w:rStyle w:val="FootnoteReference"/>
          <w:rFonts w:ascii="Aptos" w:hAnsi="Aptos" w:cstheme="minorHAnsi"/>
        </w:rPr>
        <w:footnoteReference w:id="11"/>
      </w:r>
      <w:r w:rsidR="00C2403F" w:rsidRPr="00796C2B">
        <w:rPr>
          <w:rFonts w:ascii="Aptos" w:hAnsi="Aptos" w:cstheme="minorHAnsi"/>
        </w:rPr>
        <w:t xml:space="preserve"> the Housing Site</w:t>
      </w:r>
      <w:r w:rsidR="00105385" w:rsidRPr="00796C2B">
        <w:rPr>
          <w:rFonts w:ascii="Aptos" w:hAnsi="Aptos" w:cstheme="minorHAnsi"/>
        </w:rPr>
        <w:t xml:space="preserve"> as one of four</w:t>
      </w:r>
      <w:r w:rsidR="00480A9B" w:rsidRPr="00796C2B">
        <w:rPr>
          <w:rFonts w:ascii="Aptos" w:hAnsi="Aptos" w:cstheme="minorHAnsi"/>
        </w:rPr>
        <w:t xml:space="preserve"> </w:t>
      </w:r>
      <w:r w:rsidR="00C761E5">
        <w:rPr>
          <w:rFonts w:ascii="Aptos" w:hAnsi="Aptos" w:cstheme="minorHAnsi"/>
        </w:rPr>
        <w:t xml:space="preserve">sites </w:t>
      </w:r>
      <w:r w:rsidR="00480A9B" w:rsidRPr="00796C2B">
        <w:rPr>
          <w:rFonts w:ascii="Aptos" w:hAnsi="Aptos" w:cstheme="minorHAnsi"/>
        </w:rPr>
        <w:t>with planning permission</w:t>
      </w:r>
      <w:r w:rsidR="00480A9B" w:rsidRPr="00796C2B">
        <w:rPr>
          <w:rStyle w:val="FootnoteReference"/>
          <w:rFonts w:ascii="Aptos" w:hAnsi="Aptos" w:cstheme="minorHAnsi"/>
        </w:rPr>
        <w:footnoteReference w:id="12"/>
      </w:r>
      <w:r w:rsidR="00C2403F" w:rsidRPr="00796C2B">
        <w:rPr>
          <w:rFonts w:ascii="Aptos" w:hAnsi="Aptos" w:cstheme="minorHAnsi"/>
        </w:rPr>
        <w:t xml:space="preserve"> </w:t>
      </w:r>
      <w:r w:rsidR="00F03C2F" w:rsidRPr="00796C2B">
        <w:rPr>
          <w:rFonts w:ascii="Aptos" w:hAnsi="Aptos" w:cstheme="minorHAnsi"/>
        </w:rPr>
        <w:t xml:space="preserve">that will enable the indicative </w:t>
      </w:r>
      <w:proofErr w:type="gramStart"/>
      <w:r w:rsidR="00F03C2F" w:rsidRPr="00796C2B">
        <w:rPr>
          <w:rFonts w:ascii="Aptos" w:hAnsi="Aptos" w:cstheme="minorHAnsi"/>
        </w:rPr>
        <w:t>50 unit</w:t>
      </w:r>
      <w:proofErr w:type="gramEnd"/>
      <w:r w:rsidR="00F03C2F" w:rsidRPr="00796C2B">
        <w:rPr>
          <w:rFonts w:ascii="Aptos" w:hAnsi="Aptos" w:cstheme="minorHAnsi"/>
        </w:rPr>
        <w:t xml:space="preserve"> housing number </w:t>
      </w:r>
      <w:r w:rsidR="00021AC2" w:rsidRPr="00796C2B">
        <w:rPr>
          <w:rFonts w:ascii="Aptos" w:hAnsi="Aptos" w:cstheme="minorHAnsi"/>
        </w:rPr>
        <w:t xml:space="preserve">that is </w:t>
      </w:r>
      <w:r w:rsidR="00F03C2F" w:rsidRPr="00796C2B">
        <w:rPr>
          <w:rFonts w:ascii="Aptos" w:hAnsi="Aptos" w:cstheme="minorHAnsi"/>
        </w:rPr>
        <w:t>stated for Birdham in the Council’s Local Plan</w:t>
      </w:r>
      <w:r w:rsidR="009D65D2" w:rsidRPr="00796C2B">
        <w:rPr>
          <w:rStyle w:val="FootnoteReference"/>
          <w:rFonts w:ascii="Aptos" w:hAnsi="Aptos" w:cstheme="minorHAnsi"/>
        </w:rPr>
        <w:footnoteReference w:id="13"/>
      </w:r>
      <w:r w:rsidR="00F03C2F" w:rsidRPr="00796C2B">
        <w:rPr>
          <w:rFonts w:ascii="Aptos" w:hAnsi="Aptos" w:cstheme="minorHAnsi"/>
        </w:rPr>
        <w:t xml:space="preserve"> </w:t>
      </w:r>
      <w:r w:rsidR="00021AC2" w:rsidRPr="00796C2B">
        <w:rPr>
          <w:rFonts w:ascii="Aptos" w:hAnsi="Aptos" w:cstheme="minorHAnsi"/>
        </w:rPr>
        <w:t xml:space="preserve">to be met. </w:t>
      </w:r>
      <w:r w:rsidR="00697729" w:rsidRPr="00796C2B">
        <w:rPr>
          <w:rFonts w:ascii="Aptos" w:hAnsi="Aptos" w:cstheme="minorHAnsi"/>
        </w:rPr>
        <w:t xml:space="preserve"> </w:t>
      </w:r>
    </w:p>
    <w:p w14:paraId="065E9538" w14:textId="77777777" w:rsidR="00054AE7" w:rsidRPr="00BC12C4" w:rsidRDefault="00054AE7" w:rsidP="00D21EC6">
      <w:pPr>
        <w:spacing w:after="0" w:line="360" w:lineRule="auto"/>
        <w:jc w:val="both"/>
        <w:rPr>
          <w:rFonts w:ascii="Aptos" w:hAnsi="Aptos" w:cs="Times New Roman"/>
          <w:highlight w:val="cyan"/>
        </w:rPr>
      </w:pPr>
    </w:p>
    <w:p w14:paraId="1AE27A37" w14:textId="70F3C4AF" w:rsidR="00054AE7" w:rsidRPr="00BC12C4" w:rsidRDefault="00054AE7" w:rsidP="00D21EC6">
      <w:pPr>
        <w:spacing w:after="0" w:line="360" w:lineRule="auto"/>
        <w:jc w:val="both"/>
        <w:rPr>
          <w:rFonts w:ascii="Aptos" w:hAnsi="Aptos" w:cs="Times New Roman"/>
          <w:b/>
          <w:bCs/>
          <w:u w:val="single"/>
        </w:rPr>
      </w:pPr>
      <w:r w:rsidRPr="00BC12C4">
        <w:rPr>
          <w:rFonts w:ascii="Aptos" w:hAnsi="Aptos" w:cs="Times New Roman"/>
          <w:b/>
          <w:bCs/>
          <w:u w:val="single"/>
        </w:rPr>
        <w:t>The extent to which the Scheme would contribute to the economic, social or environmental well-being of the area</w:t>
      </w:r>
      <w:r w:rsidR="002B6E22" w:rsidRPr="007E6578">
        <w:rPr>
          <w:rStyle w:val="FootnoteReference"/>
          <w:rFonts w:ascii="Aptos" w:hAnsi="Aptos" w:cs="Times New Roman"/>
        </w:rPr>
        <w:footnoteReference w:id="14"/>
      </w:r>
    </w:p>
    <w:p w14:paraId="1613D9DD" w14:textId="77777777" w:rsidR="001E643B" w:rsidRPr="00BC12C4" w:rsidRDefault="003A00EA" w:rsidP="00D21EC6">
      <w:pPr>
        <w:pStyle w:val="ListParagraph"/>
        <w:numPr>
          <w:ilvl w:val="0"/>
          <w:numId w:val="1"/>
        </w:numPr>
        <w:spacing w:after="0" w:line="360" w:lineRule="auto"/>
        <w:ind w:left="426" w:hanging="426"/>
        <w:contextualSpacing w:val="0"/>
        <w:jc w:val="both"/>
        <w:rPr>
          <w:rFonts w:ascii="Aptos" w:hAnsi="Aptos" w:cs="Times New Roman"/>
        </w:rPr>
      </w:pPr>
      <w:r w:rsidRPr="00BC12C4">
        <w:rPr>
          <w:rFonts w:ascii="Aptos" w:hAnsi="Aptos" w:cs="Times New Roman"/>
        </w:rPr>
        <w:t>This aspect of the Council’s case is presented in more detail in Section 7 of Mr Bristow’s proof of evidence</w:t>
      </w:r>
      <w:r w:rsidRPr="00BC12C4">
        <w:rPr>
          <w:rStyle w:val="FootnoteReference"/>
          <w:rFonts w:ascii="Aptos" w:hAnsi="Aptos" w:cs="Times New Roman"/>
        </w:rPr>
        <w:footnoteReference w:id="15"/>
      </w:r>
      <w:r w:rsidRPr="00BC12C4">
        <w:rPr>
          <w:rFonts w:ascii="Aptos" w:hAnsi="Aptos" w:cs="Times New Roman"/>
        </w:rPr>
        <w:t>.</w:t>
      </w:r>
      <w:r w:rsidR="00955620" w:rsidRPr="00BC12C4">
        <w:rPr>
          <w:rFonts w:ascii="Aptos" w:hAnsi="Aptos" w:cs="Times New Roman"/>
        </w:rPr>
        <w:t xml:space="preserve"> As noted above, each of the 15 affordable homes will be let at a social rent</w:t>
      </w:r>
      <w:r w:rsidR="00D07D93" w:rsidRPr="00BC12C4">
        <w:rPr>
          <w:rFonts w:ascii="Aptos" w:hAnsi="Aptos" w:cs="Times New Roman"/>
        </w:rPr>
        <w:t xml:space="preserve">, </w:t>
      </w:r>
      <w:r w:rsidR="00634C2B" w:rsidRPr="00BC12C4">
        <w:rPr>
          <w:rFonts w:ascii="Aptos" w:hAnsi="Aptos" w:cs="Arial"/>
        </w:rPr>
        <w:t xml:space="preserve">i.e. a </w:t>
      </w:r>
      <w:r w:rsidR="00D07D93" w:rsidRPr="00BC12C4">
        <w:rPr>
          <w:rFonts w:ascii="Aptos" w:hAnsi="Aptos" w:cs="ArialMT"/>
        </w:rPr>
        <w:t>“</w:t>
      </w:r>
      <w:r w:rsidR="00634C2B" w:rsidRPr="00BC12C4">
        <w:rPr>
          <w:rFonts w:ascii="Aptos" w:hAnsi="Aptos" w:cs="ArialMT"/>
        </w:rPr>
        <w:t>target rent</w:t>
      </w:r>
      <w:r w:rsidR="00D07D93" w:rsidRPr="00BC12C4">
        <w:rPr>
          <w:rFonts w:ascii="Aptos" w:hAnsi="Aptos" w:cs="ArialMT"/>
        </w:rPr>
        <w:t>”</w:t>
      </w:r>
      <w:r w:rsidR="00634C2B" w:rsidRPr="00BC12C4">
        <w:rPr>
          <w:rFonts w:ascii="Aptos" w:hAnsi="Aptos" w:cs="ArialMT"/>
        </w:rPr>
        <w:t xml:space="preserve"> </w:t>
      </w:r>
      <w:r w:rsidR="00D07D93" w:rsidRPr="00BC12C4">
        <w:rPr>
          <w:rFonts w:ascii="Aptos" w:hAnsi="Aptos" w:cs="ArialMT"/>
        </w:rPr>
        <w:t xml:space="preserve">that is </w:t>
      </w:r>
      <w:r w:rsidR="00634C2B" w:rsidRPr="00BC12C4">
        <w:rPr>
          <w:rFonts w:ascii="Aptos" w:hAnsi="Aptos" w:cs="ArialMT"/>
        </w:rPr>
        <w:t xml:space="preserve">determined through </w:t>
      </w:r>
      <w:r w:rsidR="00634C2B" w:rsidRPr="00BC12C4">
        <w:rPr>
          <w:rFonts w:ascii="Aptos" w:hAnsi="Aptos" w:cs="Arial"/>
        </w:rPr>
        <w:t>the national rent</w:t>
      </w:r>
      <w:r w:rsidR="00D07D93" w:rsidRPr="00BC12C4">
        <w:rPr>
          <w:rFonts w:ascii="Aptos" w:hAnsi="Aptos" w:cs="Arial"/>
        </w:rPr>
        <w:t xml:space="preserve"> </w:t>
      </w:r>
      <w:r w:rsidR="00634C2B" w:rsidRPr="00BC12C4">
        <w:rPr>
          <w:rFonts w:ascii="Aptos" w:hAnsi="Aptos" w:cs="Arial"/>
        </w:rPr>
        <w:t>regime. This typically produces a rent of about 50% of market rent. This is distinc</w:t>
      </w:r>
      <w:r w:rsidR="00D07D93" w:rsidRPr="00BC12C4">
        <w:rPr>
          <w:rFonts w:ascii="Aptos" w:hAnsi="Aptos" w:cs="Arial"/>
        </w:rPr>
        <w:t xml:space="preserve">t </w:t>
      </w:r>
      <w:r w:rsidR="00634C2B" w:rsidRPr="00BC12C4">
        <w:rPr>
          <w:rFonts w:ascii="Aptos" w:hAnsi="Aptos" w:cs="Arial"/>
        </w:rPr>
        <w:t>from other forms of affordable housing such as affordable rent (let at rents of about</w:t>
      </w:r>
      <w:r w:rsidR="001E643B" w:rsidRPr="00BC12C4">
        <w:rPr>
          <w:rFonts w:ascii="Aptos" w:hAnsi="Aptos" w:cs="Arial"/>
        </w:rPr>
        <w:t xml:space="preserve"> </w:t>
      </w:r>
      <w:r w:rsidR="00634C2B" w:rsidRPr="00BC12C4">
        <w:rPr>
          <w:rFonts w:ascii="Aptos" w:hAnsi="Aptos" w:cs="Arial"/>
        </w:rPr>
        <w:t>80% of market rent), intermediate (shared ownership) housing, starter homes and</w:t>
      </w:r>
      <w:r w:rsidR="001E643B" w:rsidRPr="00BC12C4">
        <w:rPr>
          <w:rFonts w:ascii="Aptos" w:hAnsi="Aptos" w:cs="Arial"/>
        </w:rPr>
        <w:t xml:space="preserve"> </w:t>
      </w:r>
      <w:r w:rsidR="00634C2B" w:rsidRPr="00BC12C4">
        <w:rPr>
          <w:rFonts w:ascii="Aptos" w:hAnsi="Aptos" w:cs="Arial"/>
        </w:rPr>
        <w:t xml:space="preserve">discount market sales. </w:t>
      </w:r>
      <w:r w:rsidR="001E643B" w:rsidRPr="00BC12C4">
        <w:rPr>
          <w:rFonts w:ascii="Aptos" w:hAnsi="Aptos" w:cs="Arial"/>
        </w:rPr>
        <w:t xml:space="preserve">The affordable homes will therefore </w:t>
      </w:r>
      <w:r w:rsidR="00634C2B" w:rsidRPr="00BC12C4">
        <w:rPr>
          <w:rFonts w:ascii="Aptos" w:hAnsi="Aptos" w:cs="Arial"/>
        </w:rPr>
        <w:t>be available to the most disadvantaged members of the community.</w:t>
      </w:r>
    </w:p>
    <w:p w14:paraId="2E8AB6E3" w14:textId="77777777" w:rsidR="001E643B" w:rsidRPr="00BC12C4" w:rsidRDefault="001E643B" w:rsidP="00D21EC6">
      <w:pPr>
        <w:pStyle w:val="ListParagraph"/>
        <w:spacing w:after="0" w:line="360" w:lineRule="auto"/>
        <w:ind w:left="426"/>
        <w:contextualSpacing w:val="0"/>
        <w:jc w:val="both"/>
        <w:rPr>
          <w:rFonts w:ascii="Aptos" w:hAnsi="Aptos" w:cs="Times New Roman"/>
        </w:rPr>
      </w:pPr>
    </w:p>
    <w:p w14:paraId="4B767D38" w14:textId="77777777" w:rsidR="00776C93" w:rsidRPr="00BC12C4" w:rsidRDefault="00634C2B" w:rsidP="00D21EC6">
      <w:pPr>
        <w:pStyle w:val="ListParagraph"/>
        <w:numPr>
          <w:ilvl w:val="0"/>
          <w:numId w:val="1"/>
        </w:numPr>
        <w:spacing w:after="0" w:line="360" w:lineRule="auto"/>
        <w:ind w:left="426" w:hanging="426"/>
        <w:contextualSpacing w:val="0"/>
        <w:jc w:val="both"/>
        <w:rPr>
          <w:rFonts w:ascii="Aptos" w:hAnsi="Aptos" w:cs="Times New Roman"/>
        </w:rPr>
      </w:pPr>
      <w:r w:rsidRPr="00BC12C4">
        <w:rPr>
          <w:rFonts w:ascii="Aptos" w:hAnsi="Aptos" w:cs="Arial"/>
        </w:rPr>
        <w:lastRenderedPageBreak/>
        <w:t>The new homes will be allocated by the Council (through a nomination agreement</w:t>
      </w:r>
      <w:r w:rsidR="001E643B" w:rsidRPr="00BC12C4">
        <w:rPr>
          <w:rFonts w:ascii="Aptos" w:hAnsi="Aptos" w:cs="Arial"/>
        </w:rPr>
        <w:t xml:space="preserve"> </w:t>
      </w:r>
      <w:r w:rsidRPr="00BC12C4">
        <w:rPr>
          <w:rFonts w:ascii="Aptos" w:hAnsi="Aptos" w:cs="ArialMT"/>
        </w:rPr>
        <w:t>with Martlet) with priority being given to those on the Council’s housing</w:t>
      </w:r>
      <w:r w:rsidR="001E643B" w:rsidRPr="00BC12C4">
        <w:rPr>
          <w:rFonts w:ascii="Aptos" w:hAnsi="Aptos" w:cs="ArialMT"/>
        </w:rPr>
        <w:t xml:space="preserve"> </w:t>
      </w:r>
      <w:r w:rsidRPr="00BC12C4">
        <w:rPr>
          <w:rFonts w:ascii="Aptos" w:hAnsi="Aptos" w:cs="Arial"/>
        </w:rPr>
        <w:t>register with a local connection to Birdham Parish. Where no household from</w:t>
      </w:r>
      <w:r w:rsidR="001E643B" w:rsidRPr="00BC12C4">
        <w:rPr>
          <w:rFonts w:ascii="Aptos" w:hAnsi="Aptos" w:cs="Arial"/>
        </w:rPr>
        <w:t xml:space="preserve"> </w:t>
      </w:r>
      <w:r w:rsidRPr="00BC12C4">
        <w:rPr>
          <w:rFonts w:ascii="Aptos" w:hAnsi="Aptos" w:cs="Arial"/>
        </w:rPr>
        <w:t>Birdham bids for a p</w:t>
      </w:r>
      <w:r w:rsidRPr="00BC12C4">
        <w:rPr>
          <w:rFonts w:ascii="Aptos" w:hAnsi="Aptos" w:cs="ArialMT"/>
        </w:rPr>
        <w:t xml:space="preserve">roperty, then the </w:t>
      </w:r>
      <w:r w:rsidR="00520924" w:rsidRPr="00BC12C4">
        <w:rPr>
          <w:rFonts w:ascii="Aptos" w:hAnsi="Aptos" w:cs="ArialMT"/>
        </w:rPr>
        <w:t>“</w:t>
      </w:r>
      <w:r w:rsidRPr="00BC12C4">
        <w:rPr>
          <w:rFonts w:ascii="Aptos" w:hAnsi="Aptos" w:cs="ArialMT"/>
        </w:rPr>
        <w:t>cascade</w:t>
      </w:r>
      <w:r w:rsidR="00520924" w:rsidRPr="00BC12C4">
        <w:rPr>
          <w:rFonts w:ascii="Aptos" w:hAnsi="Aptos" w:cs="ArialMT"/>
        </w:rPr>
        <w:t>”</w:t>
      </w:r>
      <w:r w:rsidRPr="00BC12C4">
        <w:rPr>
          <w:rFonts w:ascii="Aptos" w:hAnsi="Aptos" w:cs="ArialMT"/>
        </w:rPr>
        <w:t xml:space="preserve"> provisions of the Council’s</w:t>
      </w:r>
      <w:r w:rsidR="001E643B" w:rsidRPr="00BC12C4">
        <w:rPr>
          <w:rFonts w:ascii="Aptos" w:hAnsi="Aptos" w:cs="ArialMT"/>
        </w:rPr>
        <w:t xml:space="preserve"> </w:t>
      </w:r>
      <w:r w:rsidRPr="00BC12C4">
        <w:rPr>
          <w:rFonts w:ascii="Aptos" w:hAnsi="Aptos" w:cs="Arial"/>
        </w:rPr>
        <w:t>Allocations Scheme will make the homes available to households on the</w:t>
      </w:r>
      <w:r w:rsidR="001E643B" w:rsidRPr="00BC12C4">
        <w:rPr>
          <w:rFonts w:ascii="Aptos" w:hAnsi="Aptos" w:cs="Arial"/>
        </w:rPr>
        <w:t xml:space="preserve"> </w:t>
      </w:r>
      <w:r w:rsidRPr="00BC12C4">
        <w:rPr>
          <w:rFonts w:ascii="Aptos" w:hAnsi="Aptos" w:cs="ArialMT"/>
        </w:rPr>
        <w:t>Council’s housing register in adjacent parishes within the Council’s area.</w:t>
      </w:r>
    </w:p>
    <w:p w14:paraId="1BAEAAC8" w14:textId="77777777" w:rsidR="00776C93" w:rsidRPr="00BC12C4" w:rsidRDefault="00776C93" w:rsidP="00D21EC6">
      <w:pPr>
        <w:pStyle w:val="ListParagraph"/>
        <w:spacing w:after="0" w:line="360" w:lineRule="auto"/>
        <w:contextualSpacing w:val="0"/>
        <w:rPr>
          <w:rFonts w:ascii="Aptos" w:hAnsi="Aptos" w:cs="Arial"/>
        </w:rPr>
      </w:pPr>
    </w:p>
    <w:p w14:paraId="03FD18CE" w14:textId="32B18E28" w:rsidR="00CD2948" w:rsidRPr="00BC12C4" w:rsidRDefault="00776C93" w:rsidP="00D21EC6">
      <w:pPr>
        <w:pStyle w:val="ListParagraph"/>
        <w:numPr>
          <w:ilvl w:val="0"/>
          <w:numId w:val="1"/>
        </w:numPr>
        <w:spacing w:after="0" w:line="360" w:lineRule="auto"/>
        <w:ind w:left="426" w:hanging="426"/>
        <w:contextualSpacing w:val="0"/>
        <w:jc w:val="both"/>
        <w:rPr>
          <w:rFonts w:ascii="Aptos" w:hAnsi="Aptos" w:cs="Times New Roman"/>
        </w:rPr>
      </w:pPr>
      <w:r w:rsidRPr="00BC12C4">
        <w:rPr>
          <w:rFonts w:ascii="Aptos" w:hAnsi="Aptos" w:cs="Arial"/>
        </w:rPr>
        <w:t>As Mr Bristow explains, there is a significant need for affordable social rented housing to come forward at all levels: at a District level; more locally in the Manhood Peninsula; and at a local Parish level in Birdham.</w:t>
      </w:r>
      <w:r w:rsidR="003C262F" w:rsidRPr="00BC12C4">
        <w:rPr>
          <w:rFonts w:ascii="Aptos" w:hAnsi="Aptos" w:cs="Arial"/>
        </w:rPr>
        <w:t xml:space="preserve"> The Council’s Housing Register indicates </w:t>
      </w:r>
      <w:r w:rsidR="00A276D8" w:rsidRPr="00BC12C4">
        <w:rPr>
          <w:rFonts w:ascii="Aptos" w:hAnsi="Aptos" w:cs="Arial"/>
        </w:rPr>
        <w:t xml:space="preserve">a need for 19 units of </w:t>
      </w:r>
      <w:r w:rsidR="00C766F4" w:rsidRPr="00BC12C4">
        <w:rPr>
          <w:rFonts w:ascii="Aptos" w:hAnsi="Aptos" w:cs="Arial"/>
        </w:rPr>
        <w:t xml:space="preserve">affordable </w:t>
      </w:r>
      <w:r w:rsidR="00A276D8" w:rsidRPr="00BC12C4">
        <w:rPr>
          <w:rFonts w:ascii="Aptos" w:hAnsi="Aptos" w:cs="Arial"/>
        </w:rPr>
        <w:t>rented accommodat</w:t>
      </w:r>
      <w:r w:rsidR="004E719C" w:rsidRPr="00BC12C4">
        <w:rPr>
          <w:rFonts w:ascii="Aptos" w:hAnsi="Aptos" w:cs="Arial"/>
        </w:rPr>
        <w:t>ion</w:t>
      </w:r>
      <w:r w:rsidR="00A276D8" w:rsidRPr="00BC12C4">
        <w:rPr>
          <w:rFonts w:ascii="Aptos" w:hAnsi="Aptos" w:cs="Arial"/>
        </w:rPr>
        <w:t xml:space="preserve"> in Birdham</w:t>
      </w:r>
      <w:r w:rsidR="00A276D8" w:rsidRPr="00BC12C4">
        <w:rPr>
          <w:rStyle w:val="FootnoteReference"/>
          <w:rFonts w:ascii="Aptos" w:hAnsi="Aptos" w:cs="Arial"/>
        </w:rPr>
        <w:footnoteReference w:id="16"/>
      </w:r>
      <w:r w:rsidR="00A276D8" w:rsidRPr="00BC12C4">
        <w:rPr>
          <w:rFonts w:ascii="Aptos" w:hAnsi="Aptos" w:cs="Arial"/>
        </w:rPr>
        <w:t xml:space="preserve">. </w:t>
      </w:r>
    </w:p>
    <w:p w14:paraId="1FAD3E53" w14:textId="77777777" w:rsidR="00CD2948" w:rsidRPr="00BC12C4" w:rsidRDefault="00CD2948" w:rsidP="00D21EC6">
      <w:pPr>
        <w:pStyle w:val="ListParagraph"/>
        <w:spacing w:after="0" w:line="360" w:lineRule="auto"/>
        <w:contextualSpacing w:val="0"/>
        <w:rPr>
          <w:rFonts w:ascii="Aptos" w:hAnsi="Aptos" w:cs="Arial"/>
        </w:rPr>
      </w:pPr>
    </w:p>
    <w:p w14:paraId="79048C28" w14:textId="26E5CAD7" w:rsidR="00FA72B0" w:rsidRPr="00BC12C4" w:rsidRDefault="00A276D8" w:rsidP="00D21EC6">
      <w:pPr>
        <w:pStyle w:val="ListParagraph"/>
        <w:numPr>
          <w:ilvl w:val="0"/>
          <w:numId w:val="1"/>
        </w:numPr>
        <w:spacing w:after="0" w:line="360" w:lineRule="auto"/>
        <w:ind w:left="426" w:hanging="426"/>
        <w:contextualSpacing w:val="0"/>
        <w:jc w:val="both"/>
        <w:rPr>
          <w:rFonts w:ascii="Aptos" w:hAnsi="Aptos" w:cs="Times New Roman"/>
        </w:rPr>
      </w:pPr>
      <w:r w:rsidRPr="00BC12C4">
        <w:rPr>
          <w:rFonts w:ascii="Aptos" w:hAnsi="Aptos" w:cs="Arial"/>
        </w:rPr>
        <w:t xml:space="preserve">It is however important to note </w:t>
      </w:r>
      <w:r w:rsidR="00D44213" w:rsidRPr="00BC12C4">
        <w:rPr>
          <w:rFonts w:ascii="Aptos" w:hAnsi="Aptos" w:cs="Arial"/>
        </w:rPr>
        <w:t>that there is not actually any requirement for the Council to show a need for affordable housing in Birdham specifically before the Order can be confirmed. The question is a broader one: whether there is a compelling case in the public interest for confirmation of the Order.</w:t>
      </w:r>
      <w:r w:rsidR="008E760B" w:rsidRPr="00BC12C4">
        <w:rPr>
          <w:rFonts w:ascii="Aptos" w:hAnsi="Aptos" w:cs="Arial"/>
        </w:rPr>
        <w:t xml:space="preserve"> </w:t>
      </w:r>
      <w:r w:rsidR="00FA72B0" w:rsidRPr="00BC12C4">
        <w:rPr>
          <w:rFonts w:ascii="Aptos" w:hAnsi="Aptos" w:cs="Arial"/>
        </w:rPr>
        <w:t>T</w:t>
      </w:r>
      <w:r w:rsidR="008E760B" w:rsidRPr="00BC12C4">
        <w:rPr>
          <w:rFonts w:ascii="Aptos" w:hAnsi="Aptos" w:cs="Arial"/>
        </w:rPr>
        <w:t xml:space="preserve">he current need for affordable </w:t>
      </w:r>
      <w:r w:rsidR="00C766F4" w:rsidRPr="00BC12C4">
        <w:rPr>
          <w:rFonts w:ascii="Aptos" w:hAnsi="Aptos" w:cs="Arial"/>
        </w:rPr>
        <w:t xml:space="preserve">rented </w:t>
      </w:r>
      <w:r w:rsidR="008E760B" w:rsidRPr="00BC12C4">
        <w:rPr>
          <w:rFonts w:ascii="Aptos" w:hAnsi="Aptos" w:cs="Arial"/>
        </w:rPr>
        <w:t>housing across the wider district stands at 2,206 units</w:t>
      </w:r>
      <w:r w:rsidR="00115514" w:rsidRPr="00BC12C4">
        <w:rPr>
          <w:rFonts w:ascii="Aptos" w:hAnsi="Aptos" w:cs="Arial"/>
        </w:rPr>
        <w:t xml:space="preserve">; the need for social rented homes specifically </w:t>
      </w:r>
      <w:r w:rsidR="00184A2C" w:rsidRPr="00BC12C4">
        <w:rPr>
          <w:rFonts w:ascii="Aptos" w:hAnsi="Aptos" w:cs="Arial"/>
        </w:rPr>
        <w:t xml:space="preserve">is 278 homes </w:t>
      </w:r>
      <w:r w:rsidR="00184A2C" w:rsidRPr="00BC12C4">
        <w:rPr>
          <w:rFonts w:ascii="Aptos" w:hAnsi="Aptos" w:cs="Arial"/>
          <w:i/>
          <w:iCs/>
        </w:rPr>
        <w:t>per annum</w:t>
      </w:r>
      <w:r w:rsidR="00184A2C" w:rsidRPr="00BC12C4">
        <w:rPr>
          <w:rFonts w:ascii="Aptos" w:hAnsi="Aptos" w:cs="Arial"/>
        </w:rPr>
        <w:t xml:space="preserve"> across the</w:t>
      </w:r>
      <w:r w:rsidR="006C04FE">
        <w:rPr>
          <w:rFonts w:ascii="Aptos" w:hAnsi="Aptos" w:cs="Arial"/>
        </w:rPr>
        <w:t xml:space="preserve"> entire</w:t>
      </w:r>
      <w:r w:rsidR="00184A2C" w:rsidRPr="00BC12C4">
        <w:rPr>
          <w:rFonts w:ascii="Aptos" w:hAnsi="Aptos" w:cs="Arial"/>
        </w:rPr>
        <w:t xml:space="preserve"> HEDNA</w:t>
      </w:r>
      <w:r w:rsidR="00184A2C" w:rsidRPr="00BC12C4">
        <w:rPr>
          <w:rStyle w:val="FootnoteReference"/>
          <w:rFonts w:ascii="Aptos" w:hAnsi="Aptos" w:cs="Arial"/>
        </w:rPr>
        <w:footnoteReference w:id="17"/>
      </w:r>
      <w:r w:rsidR="00184A2C" w:rsidRPr="00BC12C4">
        <w:rPr>
          <w:rFonts w:ascii="Aptos" w:hAnsi="Aptos" w:cs="Arial"/>
        </w:rPr>
        <w:t xml:space="preserve"> study area.</w:t>
      </w:r>
      <w:r w:rsidR="00FA72B0" w:rsidRPr="00BC12C4">
        <w:rPr>
          <w:rFonts w:ascii="Aptos" w:hAnsi="Aptos" w:cs="Arial"/>
        </w:rPr>
        <w:t xml:space="preserve"> </w:t>
      </w:r>
      <w:r w:rsidR="00F0252F" w:rsidRPr="00BC12C4">
        <w:rPr>
          <w:rFonts w:ascii="Aptos" w:hAnsi="Aptos" w:cs="Arial"/>
        </w:rPr>
        <w:t xml:space="preserve">The Manhood Peninsula (the </w:t>
      </w:r>
      <w:r w:rsidR="002D2C2F" w:rsidRPr="00BC12C4">
        <w:rPr>
          <w:rFonts w:ascii="Aptos" w:hAnsi="Aptos" w:cs="Arial"/>
        </w:rPr>
        <w:t xml:space="preserve">HEDNA </w:t>
      </w:r>
      <w:r w:rsidR="00F0252F" w:rsidRPr="00BC12C4">
        <w:rPr>
          <w:rFonts w:ascii="Aptos" w:hAnsi="Aptos" w:cs="Arial"/>
        </w:rPr>
        <w:t>sub-area within which Birdham Parish sits) has the lowest median household income (£32,400) of the five sub-areas</w:t>
      </w:r>
      <w:r w:rsidR="0007415D" w:rsidRPr="00BC12C4">
        <w:rPr>
          <w:rFonts w:ascii="Aptos" w:hAnsi="Aptos" w:cs="Arial"/>
        </w:rPr>
        <w:t>; analysis indicates</w:t>
      </w:r>
      <w:r w:rsidR="0083098F">
        <w:rPr>
          <w:rFonts w:ascii="Aptos" w:hAnsi="Aptos" w:cs="Arial"/>
        </w:rPr>
        <w:t xml:space="preserve"> that</w:t>
      </w:r>
      <w:r w:rsidR="0007415D" w:rsidRPr="00BC12C4">
        <w:rPr>
          <w:rFonts w:ascii="Aptos" w:hAnsi="Aptos" w:cs="Arial"/>
        </w:rPr>
        <w:t xml:space="preserve"> over the remainder of the plan period (up to 2029) there will be a significant shortfall in delivery </w:t>
      </w:r>
      <w:r w:rsidR="009345B9" w:rsidRPr="00BC12C4">
        <w:rPr>
          <w:rFonts w:ascii="Aptos" w:hAnsi="Aptos" w:cs="Arial"/>
        </w:rPr>
        <w:t>of affordable rental units against the total need of 370</w:t>
      </w:r>
      <w:r w:rsidR="00D7649F" w:rsidRPr="00BC12C4">
        <w:rPr>
          <w:rFonts w:ascii="Aptos" w:hAnsi="Aptos" w:cs="Arial"/>
        </w:rPr>
        <w:t xml:space="preserve"> such units</w:t>
      </w:r>
      <w:r w:rsidR="00D7649F" w:rsidRPr="00BC12C4">
        <w:rPr>
          <w:rStyle w:val="FootnoteReference"/>
          <w:rFonts w:ascii="Aptos" w:hAnsi="Aptos" w:cs="Arial"/>
        </w:rPr>
        <w:footnoteReference w:id="18"/>
      </w:r>
      <w:r w:rsidR="00D7649F" w:rsidRPr="00BC12C4">
        <w:rPr>
          <w:rFonts w:ascii="Aptos" w:hAnsi="Aptos" w:cs="Arial"/>
        </w:rPr>
        <w:t xml:space="preserve">. </w:t>
      </w:r>
    </w:p>
    <w:p w14:paraId="3E81DA0F" w14:textId="77777777" w:rsidR="00FA72B0" w:rsidRPr="00BC12C4" w:rsidRDefault="00FA72B0" w:rsidP="00D21EC6">
      <w:pPr>
        <w:pStyle w:val="ListParagraph"/>
        <w:spacing w:after="0" w:line="360" w:lineRule="auto"/>
        <w:contextualSpacing w:val="0"/>
        <w:rPr>
          <w:rFonts w:ascii="Aptos" w:hAnsi="Aptos" w:cs="Arial"/>
        </w:rPr>
      </w:pPr>
    </w:p>
    <w:p w14:paraId="4C8E56EB" w14:textId="236DAD0E" w:rsidR="00776C93" w:rsidRPr="00BC12C4" w:rsidRDefault="0074237C" w:rsidP="00D21EC6">
      <w:pPr>
        <w:pStyle w:val="ListParagraph"/>
        <w:numPr>
          <w:ilvl w:val="0"/>
          <w:numId w:val="1"/>
        </w:numPr>
        <w:spacing w:after="0" w:line="360" w:lineRule="auto"/>
        <w:ind w:left="426" w:hanging="426"/>
        <w:contextualSpacing w:val="0"/>
        <w:jc w:val="both"/>
        <w:rPr>
          <w:rFonts w:ascii="Aptos" w:hAnsi="Aptos" w:cs="Times New Roman"/>
        </w:rPr>
      </w:pPr>
      <w:proofErr w:type="gramStart"/>
      <w:r>
        <w:rPr>
          <w:rFonts w:ascii="Aptos" w:hAnsi="Aptos" w:cs="Arial"/>
        </w:rPr>
        <w:t>I</w:t>
      </w:r>
      <w:r w:rsidR="00A15E62" w:rsidRPr="00BC12C4">
        <w:rPr>
          <w:rFonts w:ascii="Aptos" w:hAnsi="Aptos" w:cs="Arial"/>
        </w:rPr>
        <w:t>t is plain that even</w:t>
      </w:r>
      <w:proofErr w:type="gramEnd"/>
      <w:r w:rsidR="00A15E62" w:rsidRPr="00BC12C4">
        <w:rPr>
          <w:rFonts w:ascii="Aptos" w:hAnsi="Aptos" w:cs="Arial"/>
        </w:rPr>
        <w:t xml:space="preserve"> if there were no “Birdham-specific” need (which there is, as Mr Bristow has evidenced), the case for confirmation of the Order would still be overwhelmingly compelling having regard to the wider need </w:t>
      </w:r>
      <w:r w:rsidR="00633F79" w:rsidRPr="00BC12C4">
        <w:rPr>
          <w:rFonts w:ascii="Aptos" w:hAnsi="Aptos" w:cs="Arial"/>
        </w:rPr>
        <w:t xml:space="preserve">for affordable housing. </w:t>
      </w:r>
    </w:p>
    <w:p w14:paraId="1558A22C" w14:textId="77777777" w:rsidR="00F804AC" w:rsidRPr="00BC12C4" w:rsidRDefault="00F804AC" w:rsidP="00D21EC6">
      <w:pPr>
        <w:pStyle w:val="ListParagraph"/>
        <w:spacing w:after="0" w:line="360" w:lineRule="auto"/>
        <w:contextualSpacing w:val="0"/>
        <w:rPr>
          <w:rFonts w:ascii="Aptos" w:hAnsi="Aptos" w:cs="Times New Roman"/>
          <w:highlight w:val="cyan"/>
        </w:rPr>
      </w:pPr>
    </w:p>
    <w:p w14:paraId="04D5B3A0" w14:textId="741B9CFD" w:rsidR="00F804AC" w:rsidRPr="00BC12C4" w:rsidRDefault="00F804AC" w:rsidP="00D21EC6">
      <w:pPr>
        <w:pStyle w:val="ListParagraph"/>
        <w:numPr>
          <w:ilvl w:val="0"/>
          <w:numId w:val="1"/>
        </w:numPr>
        <w:spacing w:after="0" w:line="360" w:lineRule="auto"/>
        <w:ind w:left="426" w:hanging="426"/>
        <w:contextualSpacing w:val="0"/>
        <w:jc w:val="both"/>
        <w:rPr>
          <w:rFonts w:ascii="Aptos" w:hAnsi="Aptos" w:cs="Times New Roman"/>
        </w:rPr>
      </w:pPr>
      <w:r w:rsidRPr="00BC12C4">
        <w:rPr>
          <w:rFonts w:ascii="Aptos" w:hAnsi="Aptos" w:cs="Times New Roman"/>
        </w:rPr>
        <w:t>In addition to unlocking delivery of the Scheme</w:t>
      </w:r>
      <w:r w:rsidR="00234766" w:rsidRPr="00BC12C4">
        <w:rPr>
          <w:rFonts w:ascii="Aptos" w:hAnsi="Aptos" w:cs="Times New Roman"/>
        </w:rPr>
        <w:t xml:space="preserve"> and thus making a valuable contribution to the supply of much needed affordable housing within the Council’s area, the social well-being benefits that will result from confirmation of the Order include the provision of</w:t>
      </w:r>
      <w:r w:rsidR="00C63724" w:rsidRPr="00BC12C4">
        <w:rPr>
          <w:rFonts w:ascii="Aptos" w:hAnsi="Aptos" w:cs="Times New Roman"/>
        </w:rPr>
        <w:t xml:space="preserve"> three</w:t>
      </w:r>
      <w:r w:rsidR="00234766" w:rsidRPr="00BC12C4">
        <w:rPr>
          <w:rFonts w:ascii="Aptos" w:hAnsi="Aptos" w:cs="Times New Roman"/>
        </w:rPr>
        <w:t xml:space="preserve"> bungalows</w:t>
      </w:r>
      <w:r w:rsidR="00C63724" w:rsidRPr="00BC12C4">
        <w:rPr>
          <w:rFonts w:ascii="Aptos" w:hAnsi="Aptos" w:cs="Times New Roman"/>
        </w:rPr>
        <w:t xml:space="preserve">, which will </w:t>
      </w:r>
      <w:r w:rsidR="00611DCA" w:rsidRPr="00BC12C4">
        <w:rPr>
          <w:rFonts w:ascii="Aptos" w:hAnsi="Aptos" w:cs="Times New Roman"/>
        </w:rPr>
        <w:t xml:space="preserve">increase the opportunities </w:t>
      </w:r>
      <w:r w:rsidR="00234766" w:rsidRPr="00BC12C4">
        <w:rPr>
          <w:rFonts w:ascii="Aptos" w:hAnsi="Aptos" w:cs="Times New Roman"/>
        </w:rPr>
        <w:t>for elderly / disabled residents</w:t>
      </w:r>
      <w:r w:rsidR="00611DCA" w:rsidRPr="00BC12C4">
        <w:rPr>
          <w:rFonts w:ascii="Aptos" w:hAnsi="Aptos" w:cs="Times New Roman"/>
        </w:rPr>
        <w:t xml:space="preserve"> to remain </w:t>
      </w:r>
      <w:r w:rsidR="00611DCA" w:rsidRPr="00BC12C4">
        <w:rPr>
          <w:rFonts w:ascii="Aptos" w:hAnsi="Aptos" w:cs="Times New Roman"/>
        </w:rPr>
        <w:lastRenderedPageBreak/>
        <w:t>within the area</w:t>
      </w:r>
      <w:r w:rsidR="00234766" w:rsidRPr="00BC12C4">
        <w:rPr>
          <w:rFonts w:ascii="Aptos" w:hAnsi="Aptos" w:cs="Times New Roman"/>
        </w:rPr>
        <w:t>.</w:t>
      </w:r>
      <w:r w:rsidR="00C11C70" w:rsidRPr="00BC12C4">
        <w:rPr>
          <w:rFonts w:ascii="Aptos" w:hAnsi="Aptos" w:cs="Times New Roman"/>
        </w:rPr>
        <w:t xml:space="preserve"> More generally, the support that the Scheme will provide for existing village businesses and facilities </w:t>
      </w:r>
      <w:r w:rsidR="00232D56" w:rsidRPr="00BC12C4">
        <w:rPr>
          <w:rFonts w:ascii="Aptos" w:hAnsi="Aptos" w:cs="Times New Roman"/>
        </w:rPr>
        <w:t xml:space="preserve">will facilitate the continued presence of those businesses/facilities, </w:t>
      </w:r>
      <w:r w:rsidR="00E27128" w:rsidRPr="00BC12C4">
        <w:rPr>
          <w:rFonts w:ascii="Aptos" w:hAnsi="Aptos" w:cs="Times New Roman"/>
        </w:rPr>
        <w:t xml:space="preserve">contributing to the social capital of the residents of Birdham and its surrounding area. </w:t>
      </w:r>
    </w:p>
    <w:p w14:paraId="52754972" w14:textId="77777777" w:rsidR="00234766" w:rsidRPr="00BC12C4" w:rsidRDefault="00234766" w:rsidP="00D21EC6">
      <w:pPr>
        <w:pStyle w:val="ListParagraph"/>
        <w:spacing w:after="0" w:line="360" w:lineRule="auto"/>
        <w:contextualSpacing w:val="0"/>
        <w:rPr>
          <w:rFonts w:ascii="Aptos" w:hAnsi="Aptos" w:cs="Times New Roman"/>
        </w:rPr>
      </w:pPr>
    </w:p>
    <w:p w14:paraId="386C6E8E" w14:textId="365C0DB4" w:rsidR="00F73B63" w:rsidRPr="00BC12C4" w:rsidRDefault="00234766" w:rsidP="00D21EC6">
      <w:pPr>
        <w:pStyle w:val="ListParagraph"/>
        <w:numPr>
          <w:ilvl w:val="0"/>
          <w:numId w:val="1"/>
        </w:numPr>
        <w:spacing w:after="0" w:line="360" w:lineRule="auto"/>
        <w:ind w:left="426" w:hanging="426"/>
        <w:contextualSpacing w:val="0"/>
        <w:jc w:val="both"/>
        <w:rPr>
          <w:rFonts w:ascii="Aptos" w:hAnsi="Aptos" w:cs="Times New Roman"/>
        </w:rPr>
      </w:pPr>
      <w:r w:rsidRPr="00BC12C4">
        <w:rPr>
          <w:rFonts w:ascii="Aptos" w:hAnsi="Aptos" w:cs="Times New Roman"/>
        </w:rPr>
        <w:t xml:space="preserve">Turning to </w:t>
      </w:r>
      <w:r w:rsidR="007F16D5" w:rsidRPr="00BC12C4">
        <w:rPr>
          <w:rFonts w:ascii="Aptos" w:hAnsi="Aptos" w:cs="Times New Roman"/>
        </w:rPr>
        <w:t xml:space="preserve">the </w:t>
      </w:r>
      <w:r w:rsidRPr="00BC12C4">
        <w:rPr>
          <w:rFonts w:ascii="Aptos" w:hAnsi="Aptos" w:cs="Times New Roman"/>
        </w:rPr>
        <w:t xml:space="preserve">economic </w:t>
      </w:r>
      <w:r w:rsidR="00F73B63" w:rsidRPr="00BC12C4">
        <w:rPr>
          <w:rFonts w:ascii="Aptos" w:hAnsi="Aptos" w:cs="Times New Roman"/>
        </w:rPr>
        <w:t xml:space="preserve">well-being </w:t>
      </w:r>
      <w:r w:rsidRPr="00BC12C4">
        <w:rPr>
          <w:rFonts w:ascii="Aptos" w:hAnsi="Aptos" w:cs="Times New Roman"/>
        </w:rPr>
        <w:t>benefits</w:t>
      </w:r>
      <w:r w:rsidR="007F16D5" w:rsidRPr="00BC12C4">
        <w:rPr>
          <w:rFonts w:ascii="Aptos" w:hAnsi="Aptos" w:cs="Times New Roman"/>
        </w:rPr>
        <w:t xml:space="preserve"> of the Scheme,</w:t>
      </w:r>
      <w:r w:rsidR="00986466" w:rsidRPr="00BC12C4">
        <w:rPr>
          <w:rFonts w:ascii="Aptos" w:hAnsi="Aptos" w:cs="Times New Roman"/>
        </w:rPr>
        <w:t xml:space="preserve"> in addition to construction jobs</w:t>
      </w:r>
      <w:r w:rsidR="007F16D5" w:rsidRPr="00BC12C4">
        <w:rPr>
          <w:rFonts w:ascii="Aptos" w:hAnsi="Aptos" w:cs="Times New Roman"/>
        </w:rPr>
        <w:t xml:space="preserve"> these include </w:t>
      </w:r>
      <w:r w:rsidR="00F73B63" w:rsidRPr="00BC12C4">
        <w:rPr>
          <w:rFonts w:ascii="Aptos" w:hAnsi="Aptos" w:cs="Times New Roman"/>
        </w:rPr>
        <w:t xml:space="preserve">the support that 15 new households will provide to existing village </w:t>
      </w:r>
      <w:r w:rsidR="00783B01" w:rsidRPr="00BC12C4">
        <w:rPr>
          <w:rFonts w:ascii="Aptos" w:hAnsi="Aptos" w:cs="Times New Roman"/>
        </w:rPr>
        <w:t>businesses</w:t>
      </w:r>
      <w:r w:rsidR="00986466" w:rsidRPr="00BC12C4">
        <w:rPr>
          <w:rFonts w:ascii="Aptos" w:hAnsi="Aptos" w:cs="Times New Roman"/>
        </w:rPr>
        <w:t xml:space="preserve"> </w:t>
      </w:r>
      <w:r w:rsidR="000703FD" w:rsidRPr="00BC12C4">
        <w:rPr>
          <w:rFonts w:ascii="Aptos" w:hAnsi="Aptos" w:cs="Times New Roman"/>
        </w:rPr>
        <w:t>and other facilities</w:t>
      </w:r>
      <w:r w:rsidR="00F73B63" w:rsidRPr="00BC12C4">
        <w:rPr>
          <w:rFonts w:ascii="Aptos" w:hAnsi="Aptos" w:cs="Times New Roman"/>
        </w:rPr>
        <w:t>.</w:t>
      </w:r>
    </w:p>
    <w:p w14:paraId="32DA0A8A" w14:textId="77777777" w:rsidR="00F73B63" w:rsidRPr="00BC12C4" w:rsidRDefault="00F73B63" w:rsidP="00D21EC6">
      <w:pPr>
        <w:pStyle w:val="ListParagraph"/>
        <w:spacing w:after="0" w:line="360" w:lineRule="auto"/>
        <w:contextualSpacing w:val="0"/>
        <w:rPr>
          <w:rFonts w:ascii="Aptos" w:hAnsi="Aptos" w:cs="Times New Roman"/>
        </w:rPr>
      </w:pPr>
    </w:p>
    <w:p w14:paraId="67EB2260" w14:textId="77777777" w:rsidR="00A44F44" w:rsidRDefault="00F73B63" w:rsidP="00D21EC6">
      <w:pPr>
        <w:pStyle w:val="ListParagraph"/>
        <w:numPr>
          <w:ilvl w:val="0"/>
          <w:numId w:val="1"/>
        </w:numPr>
        <w:spacing w:after="0" w:line="360" w:lineRule="auto"/>
        <w:ind w:left="426" w:hanging="426"/>
        <w:contextualSpacing w:val="0"/>
        <w:jc w:val="both"/>
        <w:rPr>
          <w:rFonts w:ascii="Aptos" w:hAnsi="Aptos" w:cs="Times New Roman"/>
        </w:rPr>
      </w:pPr>
      <w:r w:rsidRPr="00BC12C4">
        <w:rPr>
          <w:rFonts w:ascii="Aptos" w:hAnsi="Aptos" w:cs="Times New Roman"/>
        </w:rPr>
        <w:t xml:space="preserve">The environmental well-being benefits of the Scheme include the provision of modern, energy efficient homes </w:t>
      </w:r>
      <w:r w:rsidR="00BF1D5E" w:rsidRPr="00BC12C4">
        <w:rPr>
          <w:rFonts w:ascii="Aptos" w:hAnsi="Aptos" w:cs="Times New Roman"/>
        </w:rPr>
        <w:t>that will perform well in terms of energy and fuel use and costs.</w:t>
      </w:r>
      <w:r w:rsidR="00783B01" w:rsidRPr="00BC12C4">
        <w:rPr>
          <w:rFonts w:ascii="Aptos" w:hAnsi="Aptos" w:cs="Times New Roman"/>
        </w:rPr>
        <w:t xml:space="preserve"> </w:t>
      </w:r>
      <w:r w:rsidR="001E6DF3" w:rsidRPr="00BC12C4">
        <w:rPr>
          <w:rFonts w:ascii="Aptos" w:hAnsi="Aptos" w:cs="Times New Roman"/>
        </w:rPr>
        <w:t xml:space="preserve">The proximity of the Housing Site to </w:t>
      </w:r>
      <w:proofErr w:type="gramStart"/>
      <w:r w:rsidR="001E6DF3" w:rsidRPr="00BC12C4">
        <w:rPr>
          <w:rFonts w:ascii="Aptos" w:hAnsi="Aptos" w:cs="Times New Roman"/>
        </w:rPr>
        <w:t>a number of</w:t>
      </w:r>
      <w:proofErr w:type="gramEnd"/>
      <w:r w:rsidR="001E6DF3" w:rsidRPr="00BC12C4">
        <w:rPr>
          <w:rFonts w:ascii="Aptos" w:hAnsi="Aptos" w:cs="Times New Roman"/>
        </w:rPr>
        <w:t xml:space="preserve"> local facilities will also contribute to reduced reliance on the private car.</w:t>
      </w:r>
    </w:p>
    <w:p w14:paraId="44FF3B66" w14:textId="77777777" w:rsidR="00A44F44" w:rsidRDefault="00A44F44" w:rsidP="00D21EC6">
      <w:pPr>
        <w:spacing w:after="0" w:line="360" w:lineRule="auto"/>
        <w:jc w:val="both"/>
        <w:rPr>
          <w:rFonts w:ascii="Aptos" w:hAnsi="Aptos" w:cs="Times New Roman"/>
        </w:rPr>
      </w:pPr>
    </w:p>
    <w:p w14:paraId="4BBA22B5" w14:textId="0A8CD867" w:rsidR="00A44F44" w:rsidRPr="00A44F44" w:rsidRDefault="00A44F44" w:rsidP="00D21EC6">
      <w:pPr>
        <w:spacing w:after="0" w:line="360" w:lineRule="auto"/>
        <w:jc w:val="both"/>
        <w:rPr>
          <w:rFonts w:ascii="Aptos" w:hAnsi="Aptos" w:cs="Times New Roman"/>
        </w:rPr>
      </w:pPr>
      <w:r>
        <w:rPr>
          <w:rFonts w:ascii="Aptos" w:hAnsi="Aptos" w:cs="Times New Roman"/>
          <w:b/>
          <w:bCs/>
          <w:u w:val="single"/>
        </w:rPr>
        <w:t>Potential alternatives</w:t>
      </w:r>
    </w:p>
    <w:p w14:paraId="4EF94432" w14:textId="0C9B6A4A" w:rsidR="00A44F44" w:rsidRDefault="00B5337A" w:rsidP="00D21EC6">
      <w:pPr>
        <w:pStyle w:val="ListParagraph"/>
        <w:numPr>
          <w:ilvl w:val="0"/>
          <w:numId w:val="1"/>
        </w:numPr>
        <w:spacing w:after="0" w:line="360" w:lineRule="auto"/>
        <w:ind w:left="426" w:hanging="426"/>
        <w:contextualSpacing w:val="0"/>
        <w:jc w:val="both"/>
        <w:rPr>
          <w:rFonts w:ascii="Aptos" w:hAnsi="Aptos" w:cs="Times New Roman"/>
        </w:rPr>
      </w:pPr>
      <w:r>
        <w:rPr>
          <w:rFonts w:ascii="Aptos" w:hAnsi="Aptos" w:cs="Times New Roman"/>
        </w:rPr>
        <w:t>The purpose for which the Council is proposing to acquire the Order Land cannot be achieved by any other means</w:t>
      </w:r>
      <w:r>
        <w:rPr>
          <w:rStyle w:val="FootnoteReference"/>
          <w:rFonts w:ascii="Aptos" w:hAnsi="Aptos" w:cs="Times New Roman"/>
        </w:rPr>
        <w:footnoteReference w:id="19"/>
      </w:r>
      <w:r>
        <w:rPr>
          <w:rFonts w:ascii="Aptos" w:hAnsi="Aptos" w:cs="Times New Roman"/>
        </w:rPr>
        <w:t>.</w:t>
      </w:r>
      <w:r w:rsidR="00FF5761">
        <w:rPr>
          <w:rFonts w:ascii="Aptos" w:hAnsi="Aptos" w:cs="Times New Roman"/>
        </w:rPr>
        <w:t xml:space="preserve"> As Mr Bristow and Ms Poulter explain in their proof</w:t>
      </w:r>
      <w:r w:rsidR="007D4675">
        <w:rPr>
          <w:rFonts w:ascii="Aptos" w:hAnsi="Aptos" w:cs="Times New Roman"/>
        </w:rPr>
        <w:t>s</w:t>
      </w:r>
      <w:r w:rsidR="00FF5761">
        <w:rPr>
          <w:rFonts w:ascii="Aptos" w:hAnsi="Aptos" w:cs="Times New Roman"/>
        </w:rPr>
        <w:t xml:space="preserve"> of evidence</w:t>
      </w:r>
      <w:r w:rsidR="00FF5761">
        <w:rPr>
          <w:rStyle w:val="FootnoteReference"/>
          <w:rFonts w:ascii="Aptos" w:hAnsi="Aptos" w:cs="Times New Roman"/>
        </w:rPr>
        <w:footnoteReference w:id="20"/>
      </w:r>
      <w:r w:rsidR="00FF5761">
        <w:rPr>
          <w:rFonts w:ascii="Aptos" w:hAnsi="Aptos" w:cs="Times New Roman"/>
        </w:rPr>
        <w:t>,</w:t>
      </w:r>
      <w:r w:rsidR="00103F2F">
        <w:rPr>
          <w:rFonts w:ascii="Aptos" w:hAnsi="Aptos" w:cs="Times New Roman"/>
        </w:rPr>
        <w:t xml:space="preserve"> potential alternative road access</w:t>
      </w:r>
      <w:r w:rsidR="009148F3">
        <w:rPr>
          <w:rFonts w:ascii="Aptos" w:hAnsi="Aptos" w:cs="Times New Roman"/>
        </w:rPr>
        <w:t>es to the Housing Site via (</w:t>
      </w:r>
      <w:proofErr w:type="spellStart"/>
      <w:r w:rsidR="009148F3">
        <w:rPr>
          <w:rFonts w:ascii="Aptos" w:hAnsi="Aptos" w:cs="Times New Roman"/>
        </w:rPr>
        <w:t>i</w:t>
      </w:r>
      <w:proofErr w:type="spellEnd"/>
      <w:r w:rsidR="009148F3">
        <w:rPr>
          <w:rFonts w:ascii="Aptos" w:hAnsi="Aptos" w:cs="Times New Roman"/>
        </w:rPr>
        <w:t xml:space="preserve">) Chaffer Lane (ii) The </w:t>
      </w:r>
      <w:proofErr w:type="spellStart"/>
      <w:r w:rsidR="009148F3">
        <w:rPr>
          <w:rFonts w:ascii="Aptos" w:hAnsi="Aptos" w:cs="Times New Roman"/>
        </w:rPr>
        <w:t>Saltings</w:t>
      </w:r>
      <w:proofErr w:type="spellEnd"/>
      <w:r w:rsidR="009148F3">
        <w:rPr>
          <w:rFonts w:ascii="Aptos" w:hAnsi="Aptos" w:cs="Times New Roman"/>
        </w:rPr>
        <w:t xml:space="preserve"> and (iii) </w:t>
      </w:r>
      <w:r w:rsidR="007D4675">
        <w:rPr>
          <w:rFonts w:ascii="Aptos" w:hAnsi="Aptos" w:cs="Times New Roman"/>
        </w:rPr>
        <w:t>St James’s Close or Westlands Lane have been considered.</w:t>
      </w:r>
      <w:r w:rsidR="00C05ED5">
        <w:rPr>
          <w:rFonts w:ascii="Aptos" w:hAnsi="Aptos" w:cs="Times New Roman"/>
        </w:rPr>
        <w:t xml:space="preserve"> All </w:t>
      </w:r>
      <w:r w:rsidR="00154D4B">
        <w:rPr>
          <w:rFonts w:ascii="Aptos" w:hAnsi="Aptos" w:cs="Times New Roman"/>
        </w:rPr>
        <w:t>three potential alternative accesses would have significant negative impacts including (</w:t>
      </w:r>
      <w:proofErr w:type="spellStart"/>
      <w:r w:rsidR="00154D4B">
        <w:rPr>
          <w:rFonts w:ascii="Aptos" w:hAnsi="Aptos" w:cs="Times New Roman"/>
        </w:rPr>
        <w:t>i</w:t>
      </w:r>
      <w:proofErr w:type="spellEnd"/>
      <w:r w:rsidR="00154D4B">
        <w:rPr>
          <w:rFonts w:ascii="Aptos" w:hAnsi="Aptos" w:cs="Times New Roman"/>
        </w:rPr>
        <w:t xml:space="preserve">) a significant impact on the Chichester Harbour AONB; (ii) </w:t>
      </w:r>
      <w:r w:rsidR="006C2C03">
        <w:rPr>
          <w:rFonts w:ascii="Aptos" w:hAnsi="Aptos" w:cs="Times New Roman"/>
        </w:rPr>
        <w:t xml:space="preserve">greater impact on the rural landscape and an impact on an increased number of residential properties (owing to their greater length); and (iii) in the case of The </w:t>
      </w:r>
      <w:proofErr w:type="spellStart"/>
      <w:r w:rsidR="006C2C03">
        <w:rPr>
          <w:rFonts w:ascii="Aptos" w:hAnsi="Aptos" w:cs="Times New Roman"/>
        </w:rPr>
        <w:t>Saltings</w:t>
      </w:r>
      <w:proofErr w:type="spellEnd"/>
      <w:r w:rsidR="006C2C03">
        <w:rPr>
          <w:rFonts w:ascii="Aptos" w:hAnsi="Aptos" w:cs="Times New Roman"/>
        </w:rPr>
        <w:t xml:space="preserve">, the demolition of a modern dwelling. </w:t>
      </w:r>
    </w:p>
    <w:p w14:paraId="061DB463" w14:textId="77777777" w:rsidR="00162B80" w:rsidRDefault="00162B80" w:rsidP="00D21EC6">
      <w:pPr>
        <w:pStyle w:val="ListParagraph"/>
        <w:spacing w:after="0" w:line="360" w:lineRule="auto"/>
        <w:ind w:left="426"/>
        <w:contextualSpacing w:val="0"/>
        <w:jc w:val="both"/>
        <w:rPr>
          <w:rFonts w:ascii="Aptos" w:hAnsi="Aptos" w:cs="Times New Roman"/>
        </w:rPr>
      </w:pPr>
    </w:p>
    <w:p w14:paraId="7BAD7286" w14:textId="77777777" w:rsidR="00125804" w:rsidRPr="00125804" w:rsidRDefault="005B065A" w:rsidP="00D21EC6">
      <w:pPr>
        <w:pStyle w:val="ListParagraph"/>
        <w:numPr>
          <w:ilvl w:val="0"/>
          <w:numId w:val="1"/>
        </w:numPr>
        <w:spacing w:after="0" w:line="360" w:lineRule="auto"/>
        <w:ind w:left="426" w:hanging="426"/>
        <w:contextualSpacing w:val="0"/>
        <w:jc w:val="both"/>
        <w:rPr>
          <w:rFonts w:ascii="Aptos" w:hAnsi="Aptos" w:cs="Times New Roman"/>
        </w:rPr>
      </w:pPr>
      <w:r w:rsidRPr="00125804">
        <w:rPr>
          <w:rFonts w:ascii="Aptos" w:hAnsi="Aptos" w:cs="Times New Roman"/>
        </w:rPr>
        <w:t xml:space="preserve">Additionally, it does not follow from the fact that outline planning permission was </w:t>
      </w:r>
      <w:r w:rsidR="00220215" w:rsidRPr="00125804">
        <w:rPr>
          <w:rFonts w:ascii="Aptos" w:hAnsi="Aptos" w:cs="Times New Roman"/>
        </w:rPr>
        <w:t>granted on appeal on</w:t>
      </w:r>
      <w:r w:rsidR="00A04678" w:rsidRPr="00125804">
        <w:rPr>
          <w:rFonts w:ascii="Aptos" w:hAnsi="Aptos" w:cs="Times New Roman"/>
        </w:rPr>
        <w:t xml:space="preserve"> 9 February 2024</w:t>
      </w:r>
      <w:r w:rsidR="00C31A44" w:rsidRPr="00125804">
        <w:rPr>
          <w:rFonts w:ascii="Aptos" w:hAnsi="Aptos" w:cs="Times New Roman"/>
        </w:rPr>
        <w:t xml:space="preserve"> for residential development at Land off Main Road, Birdham (“</w:t>
      </w:r>
      <w:r w:rsidR="00C31A44" w:rsidRPr="00125804">
        <w:rPr>
          <w:rFonts w:ascii="Aptos" w:hAnsi="Aptos" w:cs="Times New Roman"/>
          <w:b/>
          <w:bCs/>
        </w:rPr>
        <w:t>the Main Road Site</w:t>
      </w:r>
      <w:r w:rsidR="00C31A44" w:rsidRPr="00125804">
        <w:rPr>
          <w:rFonts w:ascii="Aptos" w:hAnsi="Aptos" w:cs="Times New Roman"/>
        </w:rPr>
        <w:t>”)</w:t>
      </w:r>
      <w:r w:rsidR="00C31A44" w:rsidRPr="00125804">
        <w:rPr>
          <w:rFonts w:ascii="Aptos" w:hAnsi="Aptos" w:cs="Times New Roman"/>
          <w:b/>
          <w:bCs/>
        </w:rPr>
        <w:t xml:space="preserve"> </w:t>
      </w:r>
      <w:r w:rsidR="00F25FE5" w:rsidRPr="00125804">
        <w:rPr>
          <w:rFonts w:ascii="Aptos" w:hAnsi="Aptos" w:cs="Times New Roman"/>
        </w:rPr>
        <w:t xml:space="preserve">that the broader purpose that underlies </w:t>
      </w:r>
      <w:r w:rsidR="00D60BEB" w:rsidRPr="00125804">
        <w:rPr>
          <w:rFonts w:ascii="Aptos" w:hAnsi="Aptos" w:cs="Times New Roman"/>
        </w:rPr>
        <w:t>the Order</w:t>
      </w:r>
      <w:r w:rsidR="004E1001" w:rsidRPr="00125804">
        <w:rPr>
          <w:rFonts w:ascii="Aptos" w:hAnsi="Aptos" w:cs="Times New Roman"/>
        </w:rPr>
        <w:t xml:space="preserve"> (the provision of affordable housing for social rent)</w:t>
      </w:r>
      <w:r w:rsidR="00D60BEB" w:rsidRPr="00125804">
        <w:rPr>
          <w:rFonts w:ascii="Aptos" w:hAnsi="Aptos" w:cs="Times New Roman"/>
        </w:rPr>
        <w:t xml:space="preserve"> can now be achieved by other means.</w:t>
      </w:r>
      <w:r w:rsidR="00C31A44" w:rsidRPr="00125804">
        <w:rPr>
          <w:rFonts w:ascii="Aptos" w:hAnsi="Aptos" w:cs="Times New Roman"/>
        </w:rPr>
        <w:t xml:space="preserve"> </w:t>
      </w:r>
    </w:p>
    <w:p w14:paraId="480F8088" w14:textId="77777777" w:rsidR="00125804" w:rsidRPr="00125804" w:rsidRDefault="00125804" w:rsidP="00D21EC6">
      <w:pPr>
        <w:pStyle w:val="ListParagraph"/>
        <w:spacing w:after="0" w:line="360" w:lineRule="auto"/>
        <w:contextualSpacing w:val="0"/>
        <w:rPr>
          <w:rFonts w:ascii="Aptos" w:hAnsi="Aptos" w:cs="Times New Roman"/>
        </w:rPr>
      </w:pPr>
    </w:p>
    <w:p w14:paraId="5998F1A3" w14:textId="184F7446" w:rsidR="00125804" w:rsidRPr="00125804" w:rsidRDefault="00C31A44" w:rsidP="00D21EC6">
      <w:pPr>
        <w:pStyle w:val="ListParagraph"/>
        <w:numPr>
          <w:ilvl w:val="1"/>
          <w:numId w:val="1"/>
        </w:numPr>
        <w:spacing w:after="0" w:line="360" w:lineRule="auto"/>
        <w:contextualSpacing w:val="0"/>
        <w:jc w:val="both"/>
        <w:rPr>
          <w:rFonts w:ascii="Aptos" w:hAnsi="Aptos" w:cs="Times New Roman"/>
        </w:rPr>
      </w:pPr>
      <w:r w:rsidRPr="00125804">
        <w:rPr>
          <w:rFonts w:ascii="Aptos" w:hAnsi="Aptos" w:cs="Times New Roman"/>
        </w:rPr>
        <w:t xml:space="preserve">First, </w:t>
      </w:r>
      <w:r w:rsidR="00072B51" w:rsidRPr="00125804">
        <w:rPr>
          <w:rFonts w:ascii="Aptos" w:hAnsi="Aptos" w:cs="Times New Roman"/>
        </w:rPr>
        <w:t>the</w:t>
      </w:r>
      <w:r w:rsidR="00055772" w:rsidRPr="00125804">
        <w:rPr>
          <w:rFonts w:ascii="Aptos" w:hAnsi="Aptos" w:cs="Times New Roman"/>
        </w:rPr>
        <w:t>re is no evidence before the inquiry of the</w:t>
      </w:r>
      <w:r w:rsidR="00072B51" w:rsidRPr="00125804">
        <w:rPr>
          <w:rFonts w:ascii="Aptos" w:hAnsi="Aptos" w:cs="Times New Roman"/>
        </w:rPr>
        <w:t xml:space="preserve"> Main Road appellant’s intentions </w:t>
      </w:r>
      <w:r w:rsidR="0043510A" w:rsidRPr="00125804">
        <w:rPr>
          <w:rFonts w:ascii="Aptos" w:hAnsi="Aptos" w:cs="Times New Roman"/>
        </w:rPr>
        <w:t xml:space="preserve">(i.e. </w:t>
      </w:r>
      <w:r w:rsidR="00055772" w:rsidRPr="00125804">
        <w:rPr>
          <w:rFonts w:ascii="Aptos" w:hAnsi="Aptos" w:cs="Times New Roman"/>
        </w:rPr>
        <w:t>as to</w:t>
      </w:r>
      <w:r w:rsidR="0043510A" w:rsidRPr="00125804">
        <w:rPr>
          <w:rFonts w:ascii="Aptos" w:hAnsi="Aptos" w:cs="Times New Roman"/>
        </w:rPr>
        <w:t xml:space="preserve"> whether Gladman Developments Ltd </w:t>
      </w:r>
      <w:r w:rsidR="00055772" w:rsidRPr="00125804">
        <w:rPr>
          <w:rFonts w:ascii="Aptos" w:hAnsi="Aptos" w:cs="Times New Roman"/>
        </w:rPr>
        <w:t xml:space="preserve">intends to </w:t>
      </w:r>
      <w:r w:rsidR="00E911FA" w:rsidRPr="00125804">
        <w:rPr>
          <w:rFonts w:ascii="Aptos" w:hAnsi="Aptos" w:cs="Times New Roman"/>
        </w:rPr>
        <w:t xml:space="preserve">build out the Main Road </w:t>
      </w:r>
      <w:r w:rsidR="001C034A" w:rsidRPr="00125804">
        <w:rPr>
          <w:rFonts w:ascii="Aptos" w:hAnsi="Aptos" w:cs="Times New Roman"/>
        </w:rPr>
        <w:t>S</w:t>
      </w:r>
      <w:r w:rsidR="00E911FA" w:rsidRPr="00125804">
        <w:rPr>
          <w:rFonts w:ascii="Aptos" w:hAnsi="Aptos" w:cs="Times New Roman"/>
        </w:rPr>
        <w:t xml:space="preserve">ite immediately, </w:t>
      </w:r>
      <w:r w:rsidR="00C332C3">
        <w:rPr>
          <w:rFonts w:ascii="Aptos" w:hAnsi="Aptos" w:cs="Times New Roman"/>
        </w:rPr>
        <w:t xml:space="preserve">or </w:t>
      </w:r>
      <w:r w:rsidR="00E911FA" w:rsidRPr="00125804">
        <w:rPr>
          <w:rFonts w:ascii="Aptos" w:hAnsi="Aptos" w:cs="Times New Roman"/>
        </w:rPr>
        <w:t xml:space="preserve">sell the site on, etc.). </w:t>
      </w:r>
    </w:p>
    <w:p w14:paraId="4E97A426" w14:textId="77777777" w:rsidR="00125804" w:rsidRPr="00125804" w:rsidRDefault="00E911FA" w:rsidP="00D21EC6">
      <w:pPr>
        <w:pStyle w:val="ListParagraph"/>
        <w:numPr>
          <w:ilvl w:val="1"/>
          <w:numId w:val="1"/>
        </w:numPr>
        <w:spacing w:after="0" w:line="360" w:lineRule="auto"/>
        <w:contextualSpacing w:val="0"/>
        <w:jc w:val="both"/>
        <w:rPr>
          <w:rFonts w:ascii="Aptos" w:hAnsi="Aptos" w:cs="Times New Roman"/>
        </w:rPr>
      </w:pPr>
      <w:r w:rsidRPr="00125804">
        <w:rPr>
          <w:rFonts w:ascii="Aptos" w:hAnsi="Aptos" w:cs="Times New Roman"/>
        </w:rPr>
        <w:lastRenderedPageBreak/>
        <w:t xml:space="preserve">Secondly, the Main Road planning permission is an outline planning permission </w:t>
      </w:r>
      <w:r w:rsidR="001003A4" w:rsidRPr="00125804">
        <w:rPr>
          <w:rFonts w:ascii="Aptos" w:hAnsi="Aptos" w:cs="Times New Roman"/>
        </w:rPr>
        <w:t xml:space="preserve">and in Mr Bristow’s view, a period of 12-18 months </w:t>
      </w:r>
      <w:r w:rsidR="00F655E1" w:rsidRPr="00125804">
        <w:rPr>
          <w:rFonts w:ascii="Aptos" w:hAnsi="Aptos" w:cs="Times New Roman"/>
        </w:rPr>
        <w:t xml:space="preserve">is likely to be necessary before development of the Main Road </w:t>
      </w:r>
      <w:r w:rsidR="001C034A" w:rsidRPr="00125804">
        <w:rPr>
          <w:rFonts w:ascii="Aptos" w:hAnsi="Aptos" w:cs="Times New Roman"/>
        </w:rPr>
        <w:t>S</w:t>
      </w:r>
      <w:r w:rsidR="00F655E1" w:rsidRPr="00125804">
        <w:rPr>
          <w:rFonts w:ascii="Aptos" w:hAnsi="Aptos" w:cs="Times New Roman"/>
        </w:rPr>
        <w:t>ite can commence</w:t>
      </w:r>
      <w:r w:rsidR="0041211A" w:rsidRPr="00125804">
        <w:rPr>
          <w:rFonts w:ascii="Aptos" w:hAnsi="Aptos" w:cs="Times New Roman"/>
        </w:rPr>
        <w:t>; the delivery timescale for the Crooked Lane Housing Site is more immediate</w:t>
      </w:r>
      <w:r w:rsidR="00F655E1" w:rsidRPr="00125804">
        <w:rPr>
          <w:rFonts w:ascii="Aptos" w:hAnsi="Aptos" w:cs="Times New Roman"/>
        </w:rPr>
        <w:t>.</w:t>
      </w:r>
      <w:r w:rsidR="0041211A" w:rsidRPr="00125804">
        <w:rPr>
          <w:rFonts w:ascii="Aptos" w:hAnsi="Aptos" w:cs="Times New Roman"/>
        </w:rPr>
        <w:t xml:space="preserve"> </w:t>
      </w:r>
    </w:p>
    <w:p w14:paraId="2A813107" w14:textId="77777777" w:rsidR="00125804" w:rsidRPr="00125804" w:rsidRDefault="00125804" w:rsidP="00D21EC6">
      <w:pPr>
        <w:pStyle w:val="ListParagraph"/>
        <w:spacing w:after="0" w:line="360" w:lineRule="auto"/>
        <w:contextualSpacing w:val="0"/>
        <w:rPr>
          <w:rFonts w:ascii="Aptos" w:hAnsi="Aptos" w:cs="Times New Roman"/>
        </w:rPr>
      </w:pPr>
    </w:p>
    <w:p w14:paraId="2B80244B" w14:textId="77777777" w:rsidR="00125804" w:rsidRPr="00125804" w:rsidRDefault="0041211A" w:rsidP="00D21EC6">
      <w:pPr>
        <w:pStyle w:val="ListParagraph"/>
        <w:numPr>
          <w:ilvl w:val="1"/>
          <w:numId w:val="1"/>
        </w:numPr>
        <w:spacing w:after="0" w:line="360" w:lineRule="auto"/>
        <w:contextualSpacing w:val="0"/>
        <w:jc w:val="both"/>
        <w:rPr>
          <w:rFonts w:ascii="Aptos" w:hAnsi="Aptos" w:cs="Times New Roman"/>
        </w:rPr>
      </w:pPr>
      <w:r w:rsidRPr="00125804">
        <w:rPr>
          <w:rFonts w:ascii="Aptos" w:hAnsi="Aptos" w:cs="Times New Roman"/>
        </w:rPr>
        <w:t xml:space="preserve">Thirdly, </w:t>
      </w:r>
      <w:r w:rsidR="00AD0D43" w:rsidRPr="00125804">
        <w:rPr>
          <w:rFonts w:ascii="Aptos" w:hAnsi="Aptos" w:cs="Times New Roman"/>
        </w:rPr>
        <w:t xml:space="preserve">it is unclear </w:t>
      </w:r>
      <w:r w:rsidR="00A212C4" w:rsidRPr="00125804">
        <w:rPr>
          <w:rFonts w:ascii="Aptos" w:hAnsi="Aptos" w:cs="Times New Roman"/>
        </w:rPr>
        <w:t xml:space="preserve">how quickly the affordable housing units (and social rented units in particular) </w:t>
      </w:r>
      <w:r w:rsidR="00AD0D43" w:rsidRPr="00125804">
        <w:rPr>
          <w:rFonts w:ascii="Aptos" w:hAnsi="Aptos" w:cs="Times New Roman"/>
        </w:rPr>
        <w:t xml:space="preserve">of the Main Road scheme </w:t>
      </w:r>
      <w:r w:rsidR="00A212C4" w:rsidRPr="00125804">
        <w:rPr>
          <w:rFonts w:ascii="Aptos" w:hAnsi="Aptos" w:cs="Times New Roman"/>
        </w:rPr>
        <w:t>will come forward</w:t>
      </w:r>
      <w:r w:rsidR="00AD0D43" w:rsidRPr="00125804">
        <w:rPr>
          <w:rFonts w:ascii="Aptos" w:hAnsi="Aptos" w:cs="Times New Roman"/>
        </w:rPr>
        <w:t xml:space="preserve">: the Main </w:t>
      </w:r>
      <w:proofErr w:type="spellStart"/>
      <w:r w:rsidR="00AD0D43" w:rsidRPr="00125804">
        <w:rPr>
          <w:rFonts w:ascii="Aptos" w:hAnsi="Aptos" w:cs="Times New Roman"/>
        </w:rPr>
        <w:t>Road s</w:t>
      </w:r>
      <w:proofErr w:type="spellEnd"/>
      <w:r w:rsidR="00AD0D43" w:rsidRPr="00125804">
        <w:rPr>
          <w:rFonts w:ascii="Aptos" w:hAnsi="Aptos" w:cs="Times New Roman"/>
        </w:rPr>
        <w:t>. 106 obligation</w:t>
      </w:r>
      <w:r w:rsidR="00A212C4" w:rsidRPr="00125804">
        <w:rPr>
          <w:rFonts w:ascii="Aptos" w:hAnsi="Aptos" w:cs="Times New Roman"/>
        </w:rPr>
        <w:t xml:space="preserve"> permits the developer to allow up to 74 Open Market Units (half the scheme) </w:t>
      </w:r>
      <w:r w:rsidR="00AD0D43" w:rsidRPr="00125804">
        <w:rPr>
          <w:rFonts w:ascii="Aptos" w:hAnsi="Aptos" w:cs="Times New Roman"/>
        </w:rPr>
        <w:t xml:space="preserve">to be built, sold and occupied </w:t>
      </w:r>
      <w:r w:rsidR="00A212C4" w:rsidRPr="00125804">
        <w:rPr>
          <w:rFonts w:ascii="Aptos" w:hAnsi="Aptos" w:cs="Times New Roman"/>
        </w:rPr>
        <w:t xml:space="preserve">before any of the affordable units need to be provided. </w:t>
      </w:r>
    </w:p>
    <w:p w14:paraId="6DFD0E9C" w14:textId="77777777" w:rsidR="00125804" w:rsidRPr="00125804" w:rsidRDefault="00125804" w:rsidP="00D21EC6">
      <w:pPr>
        <w:pStyle w:val="ListParagraph"/>
        <w:spacing w:after="0" w:line="360" w:lineRule="auto"/>
        <w:contextualSpacing w:val="0"/>
        <w:rPr>
          <w:rFonts w:ascii="Aptos" w:hAnsi="Aptos" w:cs="Times New Roman"/>
        </w:rPr>
      </w:pPr>
    </w:p>
    <w:p w14:paraId="201493B5" w14:textId="02D94E50" w:rsidR="00A212C4" w:rsidRPr="00125804" w:rsidRDefault="00A212C4" w:rsidP="00D21EC6">
      <w:pPr>
        <w:pStyle w:val="ListParagraph"/>
        <w:numPr>
          <w:ilvl w:val="1"/>
          <w:numId w:val="1"/>
        </w:numPr>
        <w:spacing w:after="0" w:line="360" w:lineRule="auto"/>
        <w:contextualSpacing w:val="0"/>
        <w:jc w:val="both"/>
        <w:rPr>
          <w:rFonts w:ascii="Aptos" w:hAnsi="Aptos" w:cs="Times New Roman"/>
        </w:rPr>
      </w:pPr>
      <w:r w:rsidRPr="00A212C4">
        <w:rPr>
          <w:rFonts w:ascii="Aptos" w:hAnsi="Aptos" w:cs="Times New Roman"/>
        </w:rPr>
        <w:t xml:space="preserve">Fourthly, the </w:t>
      </w:r>
      <w:r w:rsidR="000450AE" w:rsidRPr="00125804">
        <w:rPr>
          <w:rFonts w:ascii="Aptos" w:hAnsi="Aptos" w:cs="Times New Roman"/>
        </w:rPr>
        <w:t xml:space="preserve">Main Road Site is </w:t>
      </w:r>
      <w:r w:rsidRPr="00A212C4">
        <w:rPr>
          <w:rFonts w:ascii="Aptos" w:hAnsi="Aptos" w:cs="Times New Roman"/>
        </w:rPr>
        <w:t>by reason of its size</w:t>
      </w:r>
      <w:r w:rsidR="000450AE" w:rsidRPr="00125804">
        <w:rPr>
          <w:rFonts w:ascii="Aptos" w:hAnsi="Aptos" w:cs="Times New Roman"/>
        </w:rPr>
        <w:t xml:space="preserve"> a “strategic” site </w:t>
      </w:r>
      <w:r w:rsidRPr="00A212C4">
        <w:rPr>
          <w:rFonts w:ascii="Aptos" w:hAnsi="Aptos" w:cs="Times New Roman"/>
        </w:rPr>
        <w:t xml:space="preserve">and so will be open to </w:t>
      </w:r>
      <w:r w:rsidR="000450AE" w:rsidRPr="00125804">
        <w:rPr>
          <w:rFonts w:ascii="Aptos" w:hAnsi="Aptos" w:cs="Times New Roman"/>
        </w:rPr>
        <w:t>“</w:t>
      </w:r>
      <w:r w:rsidRPr="00A212C4">
        <w:rPr>
          <w:rFonts w:ascii="Aptos" w:hAnsi="Aptos" w:cs="Times New Roman"/>
        </w:rPr>
        <w:t>bidders</w:t>
      </w:r>
      <w:r w:rsidR="000450AE" w:rsidRPr="00125804">
        <w:rPr>
          <w:rFonts w:ascii="Aptos" w:hAnsi="Aptos" w:cs="Times New Roman"/>
        </w:rPr>
        <w:t>”</w:t>
      </w:r>
      <w:r w:rsidRPr="00A212C4">
        <w:rPr>
          <w:rFonts w:ascii="Aptos" w:hAnsi="Aptos" w:cs="Times New Roman"/>
        </w:rPr>
        <w:t xml:space="preserve"> outside Birdham who m</w:t>
      </w:r>
      <w:r w:rsidR="000450AE" w:rsidRPr="00125804">
        <w:rPr>
          <w:rFonts w:ascii="Aptos" w:hAnsi="Aptos" w:cs="Times New Roman"/>
        </w:rPr>
        <w:t>ight</w:t>
      </w:r>
      <w:r w:rsidRPr="00A212C4">
        <w:rPr>
          <w:rFonts w:ascii="Aptos" w:hAnsi="Aptos" w:cs="Times New Roman"/>
        </w:rPr>
        <w:t>, in certain circumstances, occupy the properties despite not having a local connection.</w:t>
      </w:r>
      <w:r w:rsidR="00362D45" w:rsidRPr="00125804">
        <w:rPr>
          <w:rFonts w:ascii="Aptos" w:hAnsi="Aptos" w:cs="Times New Roman"/>
        </w:rPr>
        <w:t xml:space="preserve"> As Mr Bristow explains in his rebuttal, an Affordable Housing Exception Site (also referred to as a</w:t>
      </w:r>
      <w:r w:rsidRPr="00125804">
        <w:rPr>
          <w:rFonts w:ascii="Aptos" w:hAnsi="Aptos" w:cs="Times New Roman"/>
        </w:rPr>
        <w:t xml:space="preserve"> Rural Exception </w:t>
      </w:r>
      <w:r w:rsidR="00362D45" w:rsidRPr="00125804">
        <w:rPr>
          <w:rFonts w:ascii="Aptos" w:hAnsi="Aptos" w:cs="Times New Roman"/>
        </w:rPr>
        <w:t>S</w:t>
      </w:r>
      <w:r w:rsidRPr="00125804">
        <w:rPr>
          <w:rFonts w:ascii="Aptos" w:hAnsi="Aptos" w:cs="Times New Roman"/>
        </w:rPr>
        <w:t>ite</w:t>
      </w:r>
      <w:r w:rsidR="00362D45" w:rsidRPr="00125804">
        <w:rPr>
          <w:rFonts w:ascii="Aptos" w:hAnsi="Aptos" w:cs="Times New Roman"/>
        </w:rPr>
        <w:t>) such as the Crooked Lane Housing Site</w:t>
      </w:r>
      <w:r w:rsidRPr="00125804">
        <w:rPr>
          <w:rFonts w:ascii="Aptos" w:hAnsi="Aptos" w:cs="Times New Roman"/>
        </w:rPr>
        <w:t xml:space="preserve"> prioritises those with a local connection above all others, until there are no bidders left </w:t>
      </w:r>
      <w:r w:rsidR="00362D45" w:rsidRPr="00125804">
        <w:rPr>
          <w:rFonts w:ascii="Aptos" w:hAnsi="Aptos" w:cs="Times New Roman"/>
        </w:rPr>
        <w:t xml:space="preserve">who </w:t>
      </w:r>
      <w:r w:rsidRPr="00125804">
        <w:rPr>
          <w:rFonts w:ascii="Aptos" w:hAnsi="Aptos" w:cs="Times New Roman"/>
        </w:rPr>
        <w:t>are able to demonstrate a connection to the parish; then the process moves to the surrounding parishes in the same format</w:t>
      </w:r>
      <w:r w:rsidR="004C0B17" w:rsidRPr="00125804">
        <w:rPr>
          <w:rFonts w:ascii="Aptos" w:hAnsi="Aptos" w:cs="Times New Roman"/>
        </w:rPr>
        <w:t>;</w:t>
      </w:r>
      <w:r w:rsidRPr="00125804">
        <w:rPr>
          <w:rFonts w:ascii="Aptos" w:hAnsi="Aptos" w:cs="Times New Roman"/>
        </w:rPr>
        <w:t xml:space="preserve"> and then to bidders from across the district</w:t>
      </w:r>
      <w:r w:rsidR="004C0B17" w:rsidRPr="00125804">
        <w:rPr>
          <w:rFonts w:ascii="Aptos" w:hAnsi="Aptos" w:cs="Times New Roman"/>
        </w:rPr>
        <w:t xml:space="preserve">. </w:t>
      </w:r>
      <w:r w:rsidRPr="00125804">
        <w:rPr>
          <w:rFonts w:ascii="Aptos" w:hAnsi="Aptos" w:cs="Times New Roman"/>
        </w:rPr>
        <w:t xml:space="preserve">In contrast, on strategic sites such as the </w:t>
      </w:r>
      <w:r w:rsidR="004C0B17" w:rsidRPr="00125804">
        <w:rPr>
          <w:rFonts w:ascii="Aptos" w:hAnsi="Aptos" w:cs="Times New Roman"/>
        </w:rPr>
        <w:t>Main Road</w:t>
      </w:r>
      <w:r w:rsidRPr="00125804">
        <w:rPr>
          <w:rFonts w:ascii="Aptos" w:hAnsi="Aptos" w:cs="Times New Roman"/>
        </w:rPr>
        <w:t xml:space="preserve"> Site (even where </w:t>
      </w:r>
      <w:r w:rsidR="004C0B17" w:rsidRPr="00125804">
        <w:rPr>
          <w:rFonts w:ascii="Aptos" w:hAnsi="Aptos" w:cs="Times New Roman"/>
        </w:rPr>
        <w:t xml:space="preserve">such sites </w:t>
      </w:r>
      <w:proofErr w:type="gramStart"/>
      <w:r w:rsidR="004C0B17" w:rsidRPr="00125804">
        <w:rPr>
          <w:rFonts w:ascii="Aptos" w:hAnsi="Aptos" w:cs="Times New Roman"/>
        </w:rPr>
        <w:t>are located</w:t>
      </w:r>
      <w:r w:rsidRPr="00125804">
        <w:rPr>
          <w:rFonts w:ascii="Aptos" w:hAnsi="Aptos" w:cs="Times New Roman"/>
        </w:rPr>
        <w:t xml:space="preserve"> in</w:t>
      </w:r>
      <w:proofErr w:type="gramEnd"/>
      <w:r w:rsidRPr="00125804">
        <w:rPr>
          <w:rFonts w:ascii="Aptos" w:hAnsi="Aptos" w:cs="Times New Roman"/>
        </w:rPr>
        <w:t xml:space="preserve"> rural areas), priority may be given to banding rather than local connection, as the sites are considered strategic in size.</w:t>
      </w:r>
      <w:r w:rsidR="004555F3">
        <w:rPr>
          <w:rFonts w:ascii="Aptos" w:hAnsi="Aptos" w:cs="Times New Roman"/>
        </w:rPr>
        <w:t xml:space="preserve"> </w:t>
      </w:r>
      <w:proofErr w:type="gramStart"/>
      <w:r w:rsidR="00465D14" w:rsidRPr="00125804">
        <w:rPr>
          <w:rFonts w:ascii="Aptos" w:hAnsi="Aptos" w:cs="Times New Roman"/>
        </w:rPr>
        <w:t>Therefore</w:t>
      </w:r>
      <w:proofErr w:type="gramEnd"/>
      <w:r w:rsidRPr="00125804">
        <w:rPr>
          <w:rFonts w:ascii="Aptos" w:hAnsi="Aptos" w:cs="Times New Roman"/>
        </w:rPr>
        <w:t xml:space="preserve"> on a strategic site, the a</w:t>
      </w:r>
      <w:r w:rsidR="00465D14" w:rsidRPr="00125804">
        <w:rPr>
          <w:rFonts w:ascii="Aptos" w:hAnsi="Aptos" w:cs="Times New Roman"/>
        </w:rPr>
        <w:t xml:space="preserve">ffordable </w:t>
      </w:r>
      <w:r w:rsidRPr="00125804">
        <w:rPr>
          <w:rFonts w:ascii="Aptos" w:hAnsi="Aptos" w:cs="Times New Roman"/>
        </w:rPr>
        <w:t>housing may not necessarily become available to those with a local connection.</w:t>
      </w:r>
    </w:p>
    <w:p w14:paraId="380CA0CA" w14:textId="77777777" w:rsidR="00125804" w:rsidRPr="00125804" w:rsidRDefault="00125804" w:rsidP="00D21EC6">
      <w:pPr>
        <w:pStyle w:val="ListParagraph"/>
        <w:spacing w:after="0" w:line="360" w:lineRule="auto"/>
        <w:contextualSpacing w:val="0"/>
        <w:rPr>
          <w:rFonts w:ascii="Aptos" w:hAnsi="Aptos" w:cs="Times New Roman"/>
        </w:rPr>
      </w:pPr>
    </w:p>
    <w:p w14:paraId="3815D156" w14:textId="58B088B8" w:rsidR="00125804" w:rsidRPr="00125804" w:rsidRDefault="00125804" w:rsidP="00D21EC6">
      <w:pPr>
        <w:pStyle w:val="ListParagraph"/>
        <w:numPr>
          <w:ilvl w:val="1"/>
          <w:numId w:val="1"/>
        </w:numPr>
        <w:spacing w:after="0" w:line="360" w:lineRule="auto"/>
        <w:contextualSpacing w:val="0"/>
        <w:jc w:val="both"/>
        <w:rPr>
          <w:rFonts w:ascii="Aptos" w:hAnsi="Aptos" w:cs="Times New Roman"/>
        </w:rPr>
      </w:pPr>
      <w:r w:rsidRPr="00125804">
        <w:rPr>
          <w:rFonts w:ascii="Aptos" w:hAnsi="Aptos" w:cs="Times New Roman"/>
        </w:rPr>
        <w:t xml:space="preserve">Finally, even if there were no longer any need for affordable housing in Birdham (which is not the case), there would remain a serious need for affordable housing at both HEDNA sub-area and district level. </w:t>
      </w:r>
    </w:p>
    <w:p w14:paraId="02CD7F8B" w14:textId="77777777" w:rsidR="00CC00E5" w:rsidRDefault="00CC00E5" w:rsidP="00D21EC6">
      <w:pPr>
        <w:spacing w:after="0" w:line="360" w:lineRule="auto"/>
        <w:jc w:val="both"/>
        <w:rPr>
          <w:rFonts w:ascii="Aptos" w:hAnsi="Aptos" w:cs="Times New Roman"/>
        </w:rPr>
      </w:pPr>
    </w:p>
    <w:p w14:paraId="455DAE5F" w14:textId="25C905B0" w:rsidR="00CC00E5" w:rsidRPr="00CC00E5" w:rsidRDefault="00CC00E5" w:rsidP="00D21EC6">
      <w:pPr>
        <w:spacing w:after="0" w:line="360" w:lineRule="auto"/>
        <w:jc w:val="both"/>
        <w:rPr>
          <w:rFonts w:ascii="Aptos" w:hAnsi="Aptos" w:cs="Times New Roman"/>
        </w:rPr>
      </w:pPr>
      <w:r>
        <w:rPr>
          <w:rFonts w:ascii="Aptos" w:hAnsi="Aptos" w:cs="Times New Roman"/>
          <w:b/>
          <w:bCs/>
          <w:u w:val="single"/>
        </w:rPr>
        <w:t>Funding</w:t>
      </w:r>
    </w:p>
    <w:p w14:paraId="18CCDBD9" w14:textId="3DB861FE" w:rsidR="00FD299C" w:rsidRDefault="00CC00E5" w:rsidP="00D21EC6">
      <w:pPr>
        <w:pStyle w:val="ListParagraph"/>
        <w:numPr>
          <w:ilvl w:val="0"/>
          <w:numId w:val="1"/>
        </w:numPr>
        <w:spacing w:after="0" w:line="360" w:lineRule="auto"/>
        <w:ind w:left="426" w:hanging="426"/>
        <w:contextualSpacing w:val="0"/>
        <w:jc w:val="both"/>
        <w:rPr>
          <w:rFonts w:ascii="Aptos" w:hAnsi="Aptos" w:cs="Times New Roman"/>
        </w:rPr>
      </w:pPr>
      <w:r w:rsidRPr="006D4536">
        <w:rPr>
          <w:rFonts w:ascii="Aptos" w:hAnsi="Aptos" w:cs="Times New Roman"/>
        </w:rPr>
        <w:t xml:space="preserve">The Council can show that </w:t>
      </w:r>
      <w:r w:rsidR="0004146E" w:rsidRPr="006D4536">
        <w:rPr>
          <w:rFonts w:ascii="Aptos" w:hAnsi="Aptos"/>
        </w:rPr>
        <w:t xml:space="preserve">all the necessary resources are likely to be available to </w:t>
      </w:r>
      <w:r w:rsidR="00D57EA7" w:rsidRPr="006D4536">
        <w:rPr>
          <w:rFonts w:ascii="Aptos" w:hAnsi="Aptos"/>
        </w:rPr>
        <w:t xml:space="preserve">enable the Scheme to be brought forward (i.e. built out) </w:t>
      </w:r>
      <w:r w:rsidR="0004146E" w:rsidRPr="006D4536">
        <w:rPr>
          <w:rFonts w:ascii="Aptos" w:hAnsi="Aptos"/>
        </w:rPr>
        <w:t xml:space="preserve">within a reasonable </w:t>
      </w:r>
      <w:proofErr w:type="gramStart"/>
      <w:r w:rsidR="0004146E" w:rsidRPr="006D4536">
        <w:rPr>
          <w:rFonts w:ascii="Aptos" w:hAnsi="Aptos"/>
        </w:rPr>
        <w:t>time-scale</w:t>
      </w:r>
      <w:proofErr w:type="gramEnd"/>
      <w:r w:rsidR="00D57EA7" w:rsidRPr="006D4536">
        <w:rPr>
          <w:rStyle w:val="FootnoteReference"/>
          <w:rFonts w:ascii="Aptos" w:hAnsi="Aptos"/>
        </w:rPr>
        <w:footnoteReference w:id="21"/>
      </w:r>
      <w:r w:rsidR="006D4536" w:rsidRPr="006D4536">
        <w:rPr>
          <w:rFonts w:ascii="Aptos" w:hAnsi="Aptos"/>
        </w:rPr>
        <w:t>.</w:t>
      </w:r>
      <w:r w:rsidR="008253BC">
        <w:rPr>
          <w:rFonts w:ascii="Aptos" w:hAnsi="Aptos"/>
        </w:rPr>
        <w:t xml:space="preserve"> This is </w:t>
      </w:r>
      <w:r w:rsidR="008253BC">
        <w:rPr>
          <w:rFonts w:ascii="Aptos" w:hAnsi="Aptos"/>
        </w:rPr>
        <w:lastRenderedPageBreak/>
        <w:t>detailed in the proof of evidence of Ms Poulter</w:t>
      </w:r>
      <w:r w:rsidR="008253BC">
        <w:rPr>
          <w:rStyle w:val="FootnoteReference"/>
          <w:rFonts w:ascii="Aptos" w:hAnsi="Aptos"/>
        </w:rPr>
        <w:footnoteReference w:id="22"/>
      </w:r>
      <w:r w:rsidR="008253BC">
        <w:rPr>
          <w:rFonts w:ascii="Aptos" w:hAnsi="Aptos"/>
        </w:rPr>
        <w:t>.</w:t>
      </w:r>
      <w:r w:rsidR="004332F6">
        <w:rPr>
          <w:rFonts w:ascii="Aptos" w:hAnsi="Aptos"/>
        </w:rPr>
        <w:t xml:space="preserve"> The Scheme benefits from</w:t>
      </w:r>
      <w:r w:rsidR="00FD299C" w:rsidRPr="004332F6">
        <w:rPr>
          <w:rFonts w:ascii="Aptos" w:hAnsi="Aptos" w:cs="Times New Roman"/>
        </w:rPr>
        <w:t xml:space="preserve"> various sources of funding, as follows: </w:t>
      </w:r>
    </w:p>
    <w:p w14:paraId="55332A73" w14:textId="77777777" w:rsidR="004332F6" w:rsidRDefault="004332F6" w:rsidP="00D21EC6">
      <w:pPr>
        <w:pStyle w:val="ListParagraph"/>
        <w:spacing w:after="0" w:line="360" w:lineRule="auto"/>
        <w:ind w:left="426"/>
        <w:contextualSpacing w:val="0"/>
        <w:jc w:val="both"/>
        <w:rPr>
          <w:rFonts w:ascii="Aptos" w:hAnsi="Aptos" w:cs="Times New Roman"/>
        </w:rPr>
      </w:pPr>
    </w:p>
    <w:p w14:paraId="10F4CF3A" w14:textId="77777777" w:rsidR="00646B00" w:rsidRDefault="00FD299C" w:rsidP="00D21EC6">
      <w:pPr>
        <w:pStyle w:val="ListParagraph"/>
        <w:numPr>
          <w:ilvl w:val="1"/>
          <w:numId w:val="1"/>
        </w:numPr>
        <w:spacing w:after="0" w:line="360" w:lineRule="auto"/>
        <w:contextualSpacing w:val="0"/>
        <w:jc w:val="both"/>
        <w:rPr>
          <w:rFonts w:ascii="Aptos" w:hAnsi="Aptos" w:cs="Times New Roman"/>
        </w:rPr>
      </w:pPr>
      <w:r w:rsidRPr="004332F6">
        <w:rPr>
          <w:rFonts w:ascii="Aptos" w:hAnsi="Aptos" w:cs="Times New Roman"/>
        </w:rPr>
        <w:t>Homes England ha</w:t>
      </w:r>
      <w:r w:rsidR="004332F6">
        <w:rPr>
          <w:rFonts w:ascii="Aptos" w:hAnsi="Aptos" w:cs="Times New Roman"/>
        </w:rPr>
        <w:t>s</w:t>
      </w:r>
      <w:r w:rsidRPr="004332F6">
        <w:rPr>
          <w:rFonts w:ascii="Aptos" w:hAnsi="Aptos" w:cs="Times New Roman"/>
        </w:rPr>
        <w:t xml:space="preserve"> contracted, via its Strategic Partnership Agreement with Hyde, to provide a fixed rate of grant funding per affordable home for new </w:t>
      </w:r>
      <w:r w:rsidR="00646B00">
        <w:rPr>
          <w:rFonts w:ascii="Aptos" w:hAnsi="Aptos" w:cs="Times New Roman"/>
        </w:rPr>
        <w:t>d</w:t>
      </w:r>
      <w:r w:rsidRPr="004332F6">
        <w:rPr>
          <w:rFonts w:ascii="Aptos" w:hAnsi="Aptos" w:cs="Times New Roman"/>
        </w:rPr>
        <w:t xml:space="preserve">evelopments </w:t>
      </w:r>
      <w:r w:rsidR="00646B00">
        <w:rPr>
          <w:rFonts w:ascii="Aptos" w:hAnsi="Aptos" w:cs="Times New Roman"/>
        </w:rPr>
        <w:t>that</w:t>
      </w:r>
      <w:r w:rsidRPr="004332F6">
        <w:rPr>
          <w:rFonts w:ascii="Aptos" w:hAnsi="Aptos" w:cs="Times New Roman"/>
        </w:rPr>
        <w:t xml:space="preserve"> meet the relevant criteria. One of those criteria is that the </w:t>
      </w:r>
      <w:r w:rsidR="00646B00">
        <w:rPr>
          <w:rFonts w:ascii="Aptos" w:hAnsi="Aptos" w:cs="Times New Roman"/>
        </w:rPr>
        <w:t>d</w:t>
      </w:r>
      <w:r w:rsidRPr="004332F6">
        <w:rPr>
          <w:rFonts w:ascii="Aptos" w:hAnsi="Aptos" w:cs="Times New Roman"/>
        </w:rPr>
        <w:t xml:space="preserve">evelopment will achieve a start on site by March 2026 and practical completion by March 2028. Those dates are achievable for </w:t>
      </w:r>
      <w:r w:rsidR="00646B00">
        <w:rPr>
          <w:rFonts w:ascii="Aptos" w:hAnsi="Aptos" w:cs="Times New Roman"/>
        </w:rPr>
        <w:t>the Scheme</w:t>
      </w:r>
      <w:r w:rsidRPr="004332F6">
        <w:rPr>
          <w:rFonts w:ascii="Aptos" w:hAnsi="Aptos" w:cs="Times New Roman"/>
        </w:rPr>
        <w:t xml:space="preserve"> if the Order is confirmed. The grant that will be provided for </w:t>
      </w:r>
      <w:r w:rsidR="00646B00">
        <w:rPr>
          <w:rFonts w:ascii="Aptos" w:hAnsi="Aptos" w:cs="Times New Roman"/>
        </w:rPr>
        <w:t>the Scheme</w:t>
      </w:r>
      <w:r w:rsidRPr="004332F6">
        <w:rPr>
          <w:rFonts w:ascii="Aptos" w:hAnsi="Aptos" w:cs="Times New Roman"/>
        </w:rPr>
        <w:t xml:space="preserve"> via the Strategic Partnership Agreement is £2.01m.</w:t>
      </w:r>
    </w:p>
    <w:p w14:paraId="1EB9F129" w14:textId="77777777" w:rsidR="00646B00" w:rsidRDefault="00646B00" w:rsidP="00D21EC6">
      <w:pPr>
        <w:pStyle w:val="ListParagraph"/>
        <w:spacing w:after="0" w:line="360" w:lineRule="auto"/>
        <w:ind w:left="1440"/>
        <w:contextualSpacing w:val="0"/>
        <w:jc w:val="both"/>
        <w:rPr>
          <w:rFonts w:ascii="Aptos" w:hAnsi="Aptos" w:cs="Times New Roman"/>
        </w:rPr>
      </w:pPr>
    </w:p>
    <w:p w14:paraId="24948FCC" w14:textId="77777777" w:rsidR="00646B00" w:rsidRDefault="00FD299C" w:rsidP="00D21EC6">
      <w:pPr>
        <w:pStyle w:val="ListParagraph"/>
        <w:numPr>
          <w:ilvl w:val="1"/>
          <w:numId w:val="1"/>
        </w:numPr>
        <w:spacing w:after="0" w:line="360" w:lineRule="auto"/>
        <w:contextualSpacing w:val="0"/>
        <w:jc w:val="both"/>
        <w:rPr>
          <w:rFonts w:ascii="Aptos" w:hAnsi="Aptos" w:cs="Times New Roman"/>
        </w:rPr>
      </w:pPr>
      <w:r w:rsidRPr="00646B00">
        <w:rPr>
          <w:rFonts w:ascii="Aptos" w:hAnsi="Aptos" w:cs="Times New Roman"/>
        </w:rPr>
        <w:t>Hyde has allocated £450,000 of its Recycled Capital Grant Funding, which it holds internally, towards th</w:t>
      </w:r>
      <w:r w:rsidR="00646B00">
        <w:rPr>
          <w:rFonts w:ascii="Aptos" w:hAnsi="Aptos" w:cs="Times New Roman"/>
        </w:rPr>
        <w:t>e Scheme</w:t>
      </w:r>
      <w:r w:rsidRPr="00646B00">
        <w:rPr>
          <w:rFonts w:ascii="Aptos" w:hAnsi="Aptos" w:cs="Times New Roman"/>
        </w:rPr>
        <w:t>.</w:t>
      </w:r>
    </w:p>
    <w:p w14:paraId="725D3A61" w14:textId="77777777" w:rsidR="00646B00" w:rsidRPr="00646B00" w:rsidRDefault="00646B00" w:rsidP="00D21EC6">
      <w:pPr>
        <w:pStyle w:val="ListParagraph"/>
        <w:spacing w:after="0" w:line="360" w:lineRule="auto"/>
        <w:contextualSpacing w:val="0"/>
        <w:rPr>
          <w:rFonts w:ascii="Aptos" w:hAnsi="Aptos" w:cs="Times New Roman"/>
        </w:rPr>
      </w:pPr>
    </w:p>
    <w:p w14:paraId="19C9ABCB" w14:textId="41EAEDC8" w:rsidR="0084353B" w:rsidRDefault="0084353B" w:rsidP="00D21EC6">
      <w:pPr>
        <w:pStyle w:val="ListParagraph"/>
        <w:numPr>
          <w:ilvl w:val="1"/>
          <w:numId w:val="1"/>
        </w:numPr>
        <w:spacing w:after="0" w:line="360" w:lineRule="auto"/>
        <w:contextualSpacing w:val="0"/>
        <w:jc w:val="both"/>
        <w:rPr>
          <w:rFonts w:ascii="Aptos" w:hAnsi="Aptos" w:cs="Times New Roman"/>
        </w:rPr>
      </w:pPr>
      <w:r>
        <w:rPr>
          <w:rFonts w:ascii="Aptos" w:hAnsi="Aptos" w:cs="Times New Roman"/>
        </w:rPr>
        <w:t>A</w:t>
      </w:r>
      <w:r w:rsidR="00FD299C" w:rsidRPr="00646B00">
        <w:rPr>
          <w:rFonts w:ascii="Aptos" w:hAnsi="Aptos" w:cs="Times New Roman"/>
        </w:rPr>
        <w:t>pproximately £300,000 of funding originally secured through the Rural Housing Partnership Fund remains ring</w:t>
      </w:r>
      <w:r w:rsidR="00247923">
        <w:rPr>
          <w:rFonts w:ascii="Aptos" w:hAnsi="Aptos" w:cs="Times New Roman"/>
        </w:rPr>
        <w:t>-</w:t>
      </w:r>
      <w:r w:rsidR="00FD299C" w:rsidRPr="00646B00">
        <w:rPr>
          <w:rFonts w:ascii="Aptos" w:hAnsi="Aptos" w:cs="Times New Roman"/>
        </w:rPr>
        <w:t xml:space="preserve">fenced </w:t>
      </w:r>
      <w:r>
        <w:rPr>
          <w:rFonts w:ascii="Aptos" w:hAnsi="Aptos" w:cs="Times New Roman"/>
        </w:rPr>
        <w:t xml:space="preserve">by the Council </w:t>
      </w:r>
      <w:r w:rsidR="00FD299C" w:rsidRPr="00646B00">
        <w:rPr>
          <w:rFonts w:ascii="Aptos" w:hAnsi="Aptos" w:cs="Times New Roman"/>
        </w:rPr>
        <w:t>specifically for the Scheme</w:t>
      </w:r>
      <w:r>
        <w:rPr>
          <w:rFonts w:ascii="Aptos" w:hAnsi="Aptos" w:cs="Times New Roman"/>
        </w:rPr>
        <w:t>.</w:t>
      </w:r>
    </w:p>
    <w:p w14:paraId="68D04F87" w14:textId="77777777" w:rsidR="0084353B" w:rsidRPr="0084353B" w:rsidRDefault="0084353B" w:rsidP="00D21EC6">
      <w:pPr>
        <w:pStyle w:val="ListParagraph"/>
        <w:spacing w:after="0" w:line="360" w:lineRule="auto"/>
        <w:contextualSpacing w:val="0"/>
        <w:rPr>
          <w:rFonts w:ascii="Aptos" w:hAnsi="Aptos" w:cs="Times New Roman"/>
        </w:rPr>
      </w:pPr>
    </w:p>
    <w:p w14:paraId="2F1F1938" w14:textId="4CB84751" w:rsidR="00FD299C" w:rsidRDefault="00FD299C" w:rsidP="00D21EC6">
      <w:pPr>
        <w:pStyle w:val="ListParagraph"/>
        <w:numPr>
          <w:ilvl w:val="1"/>
          <w:numId w:val="1"/>
        </w:numPr>
        <w:spacing w:after="0" w:line="360" w:lineRule="auto"/>
        <w:contextualSpacing w:val="0"/>
        <w:jc w:val="both"/>
        <w:rPr>
          <w:rFonts w:ascii="Aptos" w:hAnsi="Aptos" w:cs="Times New Roman"/>
        </w:rPr>
      </w:pPr>
      <w:r w:rsidRPr="0084353B">
        <w:rPr>
          <w:rFonts w:ascii="Aptos" w:hAnsi="Aptos" w:cs="Times New Roman"/>
        </w:rPr>
        <w:t xml:space="preserve">The balance of the total costs of the Development will be funded by Hyde. Hyde has sufficient funding set aside in its Financial Plan to deliver the </w:t>
      </w:r>
      <w:r w:rsidR="00962D4E">
        <w:rPr>
          <w:rFonts w:ascii="Aptos" w:hAnsi="Aptos" w:cs="Times New Roman"/>
        </w:rPr>
        <w:t>S</w:t>
      </w:r>
      <w:r w:rsidRPr="0084353B">
        <w:rPr>
          <w:rFonts w:ascii="Aptos" w:hAnsi="Aptos" w:cs="Times New Roman"/>
        </w:rPr>
        <w:t xml:space="preserve">cheme.  Hyde’s most recent financial statements confirm that </w:t>
      </w:r>
      <w:proofErr w:type="gramStart"/>
      <w:r w:rsidRPr="0084353B">
        <w:rPr>
          <w:rFonts w:ascii="Aptos" w:hAnsi="Aptos" w:cs="Times New Roman"/>
        </w:rPr>
        <w:t>at</w:t>
      </w:r>
      <w:proofErr w:type="gramEnd"/>
      <w:r w:rsidRPr="0084353B">
        <w:rPr>
          <w:rFonts w:ascii="Aptos" w:hAnsi="Aptos" w:cs="Times New Roman"/>
        </w:rPr>
        <w:t xml:space="preserve"> March 2023 it had a core operating surplus of £57.4m and £873m of available liquidity.  </w:t>
      </w:r>
    </w:p>
    <w:p w14:paraId="36EA8DC8" w14:textId="77777777" w:rsidR="00505990" w:rsidRPr="00505990" w:rsidRDefault="00505990" w:rsidP="00D21EC6">
      <w:pPr>
        <w:pStyle w:val="ListParagraph"/>
        <w:spacing w:after="0" w:line="360" w:lineRule="auto"/>
        <w:contextualSpacing w:val="0"/>
        <w:rPr>
          <w:rFonts w:ascii="Aptos" w:hAnsi="Aptos" w:cs="Times New Roman"/>
        </w:rPr>
      </w:pPr>
    </w:p>
    <w:p w14:paraId="64EAE395" w14:textId="447C680F" w:rsidR="00FD299C" w:rsidRPr="00505990" w:rsidRDefault="001D5F65" w:rsidP="00D21EC6">
      <w:pPr>
        <w:pStyle w:val="ListParagraph"/>
        <w:numPr>
          <w:ilvl w:val="0"/>
          <w:numId w:val="1"/>
        </w:numPr>
        <w:spacing w:after="0" w:line="360" w:lineRule="auto"/>
        <w:contextualSpacing w:val="0"/>
        <w:jc w:val="both"/>
        <w:rPr>
          <w:rFonts w:ascii="Aptos" w:hAnsi="Aptos" w:cs="Times New Roman"/>
        </w:rPr>
      </w:pPr>
      <w:r>
        <w:rPr>
          <w:rFonts w:ascii="Aptos" w:hAnsi="Aptos" w:cs="Times New Roman"/>
        </w:rPr>
        <w:t>The Council additionally notes</w:t>
      </w:r>
      <w:r w:rsidR="00505990">
        <w:rPr>
          <w:rFonts w:ascii="Aptos" w:hAnsi="Aptos" w:cs="Times New Roman"/>
        </w:rPr>
        <w:t xml:space="preserve"> that </w:t>
      </w:r>
      <w:r w:rsidR="00FD299C" w:rsidRPr="00505990">
        <w:rPr>
          <w:rFonts w:ascii="Aptos" w:hAnsi="Aptos" w:cs="Times New Roman"/>
        </w:rPr>
        <w:t>Hyde ha</w:t>
      </w:r>
      <w:r w:rsidR="00505990">
        <w:rPr>
          <w:rFonts w:ascii="Aptos" w:hAnsi="Aptos" w:cs="Times New Roman"/>
        </w:rPr>
        <w:t>s</w:t>
      </w:r>
      <w:r w:rsidR="00FD299C" w:rsidRPr="00505990">
        <w:rPr>
          <w:rFonts w:ascii="Aptos" w:hAnsi="Aptos" w:cs="Times New Roman"/>
        </w:rPr>
        <w:t xml:space="preserve"> extensive experience of delivering and managing housing</w:t>
      </w:r>
      <w:r w:rsidR="00505990">
        <w:rPr>
          <w:rFonts w:ascii="Aptos" w:hAnsi="Aptos" w:cs="Times New Roman"/>
        </w:rPr>
        <w:t>-</w:t>
      </w:r>
      <w:r w:rsidR="00FD299C" w:rsidRPr="00505990">
        <w:rPr>
          <w:rFonts w:ascii="Aptos" w:hAnsi="Aptos" w:cs="Times New Roman"/>
        </w:rPr>
        <w:t xml:space="preserve">led developments across the </w:t>
      </w:r>
      <w:proofErr w:type="gramStart"/>
      <w:r w:rsidR="00FD299C" w:rsidRPr="00505990">
        <w:rPr>
          <w:rFonts w:ascii="Aptos" w:hAnsi="Aptos" w:cs="Times New Roman"/>
        </w:rPr>
        <w:t>South East</w:t>
      </w:r>
      <w:proofErr w:type="gramEnd"/>
      <w:r>
        <w:rPr>
          <w:rFonts w:ascii="Aptos" w:hAnsi="Aptos" w:cs="Times New Roman"/>
        </w:rPr>
        <w:t>. The Council is satisfied that Hyde</w:t>
      </w:r>
      <w:r w:rsidR="00FD299C" w:rsidRPr="00505990">
        <w:rPr>
          <w:rFonts w:ascii="Aptos" w:hAnsi="Aptos" w:cs="Times New Roman"/>
        </w:rPr>
        <w:t xml:space="preserve"> ha</w:t>
      </w:r>
      <w:r w:rsidR="00505990">
        <w:rPr>
          <w:rFonts w:ascii="Aptos" w:hAnsi="Aptos" w:cs="Times New Roman"/>
        </w:rPr>
        <w:t>s</w:t>
      </w:r>
      <w:r w:rsidR="00FD299C" w:rsidRPr="00505990">
        <w:rPr>
          <w:rFonts w:ascii="Aptos" w:hAnsi="Aptos" w:cs="Times New Roman"/>
        </w:rPr>
        <w:t xml:space="preserve"> the capability and capacity to deliver the</w:t>
      </w:r>
      <w:r>
        <w:rPr>
          <w:rFonts w:ascii="Aptos" w:hAnsi="Aptos" w:cs="Times New Roman"/>
        </w:rPr>
        <w:t xml:space="preserve"> Scheme</w:t>
      </w:r>
      <w:r w:rsidR="00FD299C" w:rsidRPr="00505990">
        <w:rPr>
          <w:rFonts w:ascii="Aptos" w:hAnsi="Aptos" w:cs="Times New Roman"/>
        </w:rPr>
        <w:t xml:space="preserve">. </w:t>
      </w:r>
    </w:p>
    <w:p w14:paraId="04AED094" w14:textId="77777777" w:rsidR="00CC00E5" w:rsidRDefault="00CC00E5" w:rsidP="00D21EC6">
      <w:pPr>
        <w:spacing w:after="0" w:line="360" w:lineRule="auto"/>
        <w:jc w:val="both"/>
        <w:rPr>
          <w:rFonts w:ascii="Aptos" w:hAnsi="Aptos" w:cs="Times New Roman"/>
        </w:rPr>
      </w:pPr>
    </w:p>
    <w:p w14:paraId="1F000025" w14:textId="39660B2E" w:rsidR="00CC00E5" w:rsidRPr="00CC00E5" w:rsidRDefault="00CC00E5" w:rsidP="00D21EC6">
      <w:pPr>
        <w:spacing w:after="0" w:line="360" w:lineRule="auto"/>
        <w:ind w:left="426" w:hanging="426"/>
        <w:jc w:val="both"/>
        <w:rPr>
          <w:rFonts w:ascii="Aptos" w:hAnsi="Aptos" w:cs="Times New Roman"/>
          <w:b/>
          <w:bCs/>
          <w:u w:val="single"/>
        </w:rPr>
      </w:pPr>
      <w:r w:rsidRPr="00CC00E5">
        <w:rPr>
          <w:rFonts w:ascii="Aptos" w:hAnsi="Aptos" w:cs="Times New Roman"/>
          <w:b/>
          <w:bCs/>
          <w:u w:val="single"/>
        </w:rPr>
        <w:t>There are no impediments to the implementation of the Scheme</w:t>
      </w:r>
    </w:p>
    <w:p w14:paraId="1A2F9CCF" w14:textId="7A2F938F" w:rsidR="00CC00E5" w:rsidRDefault="000654C0" w:rsidP="00D21EC6">
      <w:pPr>
        <w:pStyle w:val="ListParagraph"/>
        <w:numPr>
          <w:ilvl w:val="0"/>
          <w:numId w:val="1"/>
        </w:numPr>
        <w:spacing w:after="0" w:line="360" w:lineRule="auto"/>
        <w:ind w:left="426" w:hanging="426"/>
        <w:contextualSpacing w:val="0"/>
        <w:jc w:val="both"/>
        <w:rPr>
          <w:rFonts w:ascii="Aptos" w:hAnsi="Aptos" w:cs="Times New Roman"/>
        </w:rPr>
      </w:pPr>
      <w:r>
        <w:rPr>
          <w:rFonts w:ascii="Aptos" w:hAnsi="Aptos" w:cs="Times New Roman"/>
        </w:rPr>
        <w:t>The 2019 Guidance</w:t>
      </w:r>
      <w:r>
        <w:rPr>
          <w:rStyle w:val="FootnoteReference"/>
          <w:rFonts w:ascii="Aptos" w:hAnsi="Aptos" w:cs="Times New Roman"/>
        </w:rPr>
        <w:footnoteReference w:id="23"/>
      </w:r>
      <w:r>
        <w:rPr>
          <w:rFonts w:ascii="Aptos" w:hAnsi="Aptos" w:cs="Times New Roman"/>
        </w:rPr>
        <w:t xml:space="preserve"> requires the acquiring authority to show “that the scheme is unlikely to be blocked by any physical or legal impediments to implementation”, including the programming of any infrastructure accommodation works or remedial work that may be required; and any need for planning permission or other consent or licence.</w:t>
      </w:r>
    </w:p>
    <w:p w14:paraId="4B54BA50" w14:textId="77777777" w:rsidR="000654C0" w:rsidRDefault="000654C0" w:rsidP="00D21EC6">
      <w:pPr>
        <w:pStyle w:val="ListParagraph"/>
        <w:spacing w:after="0" w:line="360" w:lineRule="auto"/>
        <w:ind w:left="426"/>
        <w:contextualSpacing w:val="0"/>
        <w:jc w:val="both"/>
        <w:rPr>
          <w:rFonts w:ascii="Aptos" w:hAnsi="Aptos" w:cs="Times New Roman"/>
        </w:rPr>
      </w:pPr>
    </w:p>
    <w:p w14:paraId="4FD83EC2" w14:textId="2D3772DF" w:rsidR="000654C0" w:rsidRDefault="002814F0" w:rsidP="00D21EC6">
      <w:pPr>
        <w:pStyle w:val="ListParagraph"/>
        <w:numPr>
          <w:ilvl w:val="0"/>
          <w:numId w:val="1"/>
        </w:numPr>
        <w:spacing w:after="0" w:line="360" w:lineRule="auto"/>
        <w:ind w:left="426" w:hanging="426"/>
        <w:contextualSpacing w:val="0"/>
        <w:jc w:val="both"/>
        <w:rPr>
          <w:rFonts w:ascii="Aptos" w:hAnsi="Aptos" w:cs="Times New Roman"/>
        </w:rPr>
      </w:pPr>
      <w:r>
        <w:rPr>
          <w:rFonts w:ascii="Aptos" w:hAnsi="Aptos" w:cs="Times New Roman"/>
        </w:rPr>
        <w:lastRenderedPageBreak/>
        <w:t>As already explained, the Scheme benefits from an extant grant of full planning permission.</w:t>
      </w:r>
      <w:r w:rsidR="003E54DD">
        <w:rPr>
          <w:rFonts w:ascii="Aptos" w:hAnsi="Aptos" w:cs="Times New Roman"/>
        </w:rPr>
        <w:t xml:space="preserve"> No infrastructure accommodation </w:t>
      </w:r>
      <w:proofErr w:type="gramStart"/>
      <w:r w:rsidR="003E54DD">
        <w:rPr>
          <w:rFonts w:ascii="Aptos" w:hAnsi="Aptos" w:cs="Times New Roman"/>
        </w:rPr>
        <w:t>works</w:t>
      </w:r>
      <w:proofErr w:type="gramEnd"/>
      <w:r w:rsidR="003E54DD">
        <w:rPr>
          <w:rFonts w:ascii="Aptos" w:hAnsi="Aptos" w:cs="Times New Roman"/>
        </w:rPr>
        <w:t xml:space="preserve"> or remedial works are required other than (</w:t>
      </w:r>
      <w:proofErr w:type="spellStart"/>
      <w:r w:rsidR="003E54DD">
        <w:rPr>
          <w:rFonts w:ascii="Aptos" w:hAnsi="Aptos" w:cs="Times New Roman"/>
        </w:rPr>
        <w:t>i</w:t>
      </w:r>
      <w:proofErr w:type="spellEnd"/>
      <w:r w:rsidR="003E54DD">
        <w:rPr>
          <w:rFonts w:ascii="Aptos" w:hAnsi="Aptos" w:cs="Times New Roman"/>
        </w:rPr>
        <w:t>) the usual utility connections to services in Crooked Lane</w:t>
      </w:r>
      <w:r w:rsidR="00FF3878">
        <w:rPr>
          <w:rStyle w:val="FootnoteReference"/>
          <w:rFonts w:ascii="Aptos" w:hAnsi="Aptos" w:cs="Times New Roman"/>
        </w:rPr>
        <w:footnoteReference w:id="24"/>
      </w:r>
      <w:r w:rsidR="003E54DD">
        <w:rPr>
          <w:rFonts w:ascii="Aptos" w:hAnsi="Aptos" w:cs="Times New Roman"/>
        </w:rPr>
        <w:t>; and (ii)</w:t>
      </w:r>
      <w:r w:rsidR="00FF3878">
        <w:rPr>
          <w:rFonts w:ascii="Aptos" w:hAnsi="Aptos" w:cs="Times New Roman"/>
        </w:rPr>
        <w:t xml:space="preserve"> a highways agreement with West Sussex County Council (</w:t>
      </w:r>
      <w:r w:rsidR="000973E7">
        <w:rPr>
          <w:rFonts w:ascii="Aptos" w:hAnsi="Aptos" w:cs="Times New Roman"/>
        </w:rPr>
        <w:t>“</w:t>
      </w:r>
      <w:r w:rsidR="000973E7" w:rsidRPr="000973E7">
        <w:rPr>
          <w:rFonts w:ascii="Aptos" w:hAnsi="Aptos" w:cs="Times New Roman"/>
          <w:b/>
          <w:bCs/>
        </w:rPr>
        <w:t>WSCC</w:t>
      </w:r>
      <w:r w:rsidR="000973E7">
        <w:rPr>
          <w:rFonts w:ascii="Aptos" w:hAnsi="Aptos" w:cs="Times New Roman"/>
        </w:rPr>
        <w:t xml:space="preserve">”, </w:t>
      </w:r>
      <w:r w:rsidR="00FF3878">
        <w:rPr>
          <w:rFonts w:ascii="Aptos" w:hAnsi="Aptos" w:cs="Times New Roman"/>
        </w:rPr>
        <w:t>the highway authority).</w:t>
      </w:r>
      <w:r w:rsidR="00C07004">
        <w:rPr>
          <w:rFonts w:ascii="Aptos" w:hAnsi="Aptos" w:cs="Times New Roman"/>
        </w:rPr>
        <w:t xml:space="preserve"> Detail on the </w:t>
      </w:r>
      <w:r w:rsidR="00FB7BD9">
        <w:rPr>
          <w:rFonts w:ascii="Aptos" w:hAnsi="Aptos" w:cs="Times New Roman"/>
        </w:rPr>
        <w:t>latter is provided by Mr Bristow in his proof of evidence</w:t>
      </w:r>
      <w:r w:rsidR="00FB7BD9">
        <w:rPr>
          <w:rStyle w:val="FootnoteReference"/>
          <w:rFonts w:ascii="Aptos" w:hAnsi="Aptos" w:cs="Times New Roman"/>
        </w:rPr>
        <w:footnoteReference w:id="25"/>
      </w:r>
      <w:r w:rsidR="00FB7BD9">
        <w:rPr>
          <w:rFonts w:ascii="Aptos" w:hAnsi="Aptos" w:cs="Times New Roman"/>
        </w:rPr>
        <w:t>.</w:t>
      </w:r>
    </w:p>
    <w:p w14:paraId="075BC6C3" w14:textId="77777777" w:rsidR="007D5DFA" w:rsidRPr="007D5DFA" w:rsidRDefault="007D5DFA" w:rsidP="00D21EC6">
      <w:pPr>
        <w:pStyle w:val="ListParagraph"/>
        <w:spacing w:after="0" w:line="360" w:lineRule="auto"/>
        <w:contextualSpacing w:val="0"/>
        <w:rPr>
          <w:rFonts w:ascii="Aptos" w:hAnsi="Aptos" w:cs="Times New Roman"/>
        </w:rPr>
      </w:pPr>
    </w:p>
    <w:p w14:paraId="44F85EDB" w14:textId="4B7C92DB" w:rsidR="007D5DFA" w:rsidRDefault="007D5DFA" w:rsidP="00D21EC6">
      <w:pPr>
        <w:pStyle w:val="ListParagraph"/>
        <w:numPr>
          <w:ilvl w:val="0"/>
          <w:numId w:val="1"/>
        </w:numPr>
        <w:spacing w:after="0" w:line="360" w:lineRule="auto"/>
        <w:ind w:left="426" w:hanging="426"/>
        <w:contextualSpacing w:val="0"/>
        <w:jc w:val="both"/>
        <w:rPr>
          <w:rFonts w:ascii="Aptos" w:hAnsi="Aptos" w:cs="Times New Roman"/>
        </w:rPr>
      </w:pPr>
      <w:r>
        <w:rPr>
          <w:rFonts w:ascii="Aptos" w:hAnsi="Aptos" w:cs="Times New Roman"/>
        </w:rPr>
        <w:t xml:space="preserve">In the light of the above position, the Scheme is unlikely to be blocked by any physical or legal impediments to implementation. </w:t>
      </w:r>
    </w:p>
    <w:p w14:paraId="673F6F19" w14:textId="77777777" w:rsidR="002814F0" w:rsidRDefault="002814F0" w:rsidP="00D21EC6">
      <w:pPr>
        <w:spacing w:after="0" w:line="360" w:lineRule="auto"/>
        <w:jc w:val="both"/>
        <w:rPr>
          <w:rFonts w:ascii="Aptos" w:hAnsi="Aptos" w:cs="Times New Roman"/>
        </w:rPr>
      </w:pPr>
    </w:p>
    <w:p w14:paraId="4F385592" w14:textId="7077E803" w:rsidR="002814F0" w:rsidRPr="008253BC" w:rsidRDefault="002814F0" w:rsidP="00D21EC6">
      <w:pPr>
        <w:spacing w:after="0" w:line="360" w:lineRule="auto"/>
        <w:jc w:val="both"/>
        <w:rPr>
          <w:rFonts w:ascii="Aptos" w:hAnsi="Aptos" w:cs="Times New Roman"/>
        </w:rPr>
      </w:pPr>
      <w:r w:rsidRPr="008253BC">
        <w:rPr>
          <w:rFonts w:ascii="Aptos" w:hAnsi="Aptos" w:cs="Times New Roman"/>
          <w:b/>
          <w:bCs/>
          <w:u w:val="single"/>
        </w:rPr>
        <w:t>Negotiations</w:t>
      </w:r>
    </w:p>
    <w:p w14:paraId="24B67ABA" w14:textId="7C9E762A" w:rsidR="00753D5F" w:rsidRPr="008253BC" w:rsidRDefault="00125804" w:rsidP="00D21EC6">
      <w:pPr>
        <w:pStyle w:val="ListParagraph"/>
        <w:numPr>
          <w:ilvl w:val="0"/>
          <w:numId w:val="1"/>
        </w:numPr>
        <w:spacing w:after="0" w:line="360" w:lineRule="auto"/>
        <w:ind w:left="426" w:hanging="426"/>
        <w:contextualSpacing w:val="0"/>
        <w:jc w:val="both"/>
        <w:rPr>
          <w:rFonts w:ascii="Aptos" w:hAnsi="Aptos" w:cs="Times New Roman"/>
        </w:rPr>
      </w:pPr>
      <w:r w:rsidRPr="008253BC">
        <w:rPr>
          <w:rFonts w:ascii="Aptos" w:hAnsi="Aptos"/>
        </w:rPr>
        <w:t>The evidence of Ms Blackman</w:t>
      </w:r>
      <w:r w:rsidRPr="008253BC">
        <w:rPr>
          <w:rStyle w:val="FootnoteReference"/>
          <w:rFonts w:ascii="Aptos" w:hAnsi="Aptos"/>
        </w:rPr>
        <w:footnoteReference w:id="26"/>
      </w:r>
      <w:r w:rsidRPr="008253BC">
        <w:rPr>
          <w:rFonts w:ascii="Aptos" w:hAnsi="Aptos"/>
        </w:rPr>
        <w:t xml:space="preserve"> </w:t>
      </w:r>
      <w:r w:rsidR="00E565C9" w:rsidRPr="008253BC">
        <w:rPr>
          <w:rFonts w:ascii="Aptos" w:hAnsi="Aptos"/>
        </w:rPr>
        <w:t xml:space="preserve">demonstrates that the Council has </w:t>
      </w:r>
      <w:r w:rsidR="00971C95" w:rsidRPr="008253BC">
        <w:rPr>
          <w:rFonts w:ascii="Aptos" w:hAnsi="Aptos"/>
        </w:rPr>
        <w:t xml:space="preserve">taken reasonable steps to acquire </w:t>
      </w:r>
      <w:proofErr w:type="gramStart"/>
      <w:r w:rsidR="00971C95" w:rsidRPr="008253BC">
        <w:rPr>
          <w:rFonts w:ascii="Aptos" w:hAnsi="Aptos"/>
        </w:rPr>
        <w:t>all of</w:t>
      </w:r>
      <w:proofErr w:type="gramEnd"/>
      <w:r w:rsidR="00971C95" w:rsidRPr="008253BC">
        <w:rPr>
          <w:rFonts w:ascii="Aptos" w:hAnsi="Aptos"/>
        </w:rPr>
        <w:t xml:space="preserve"> the land and rights included in the Order</w:t>
      </w:r>
      <w:r w:rsidR="00DA47BD" w:rsidRPr="008253BC">
        <w:rPr>
          <w:rFonts w:ascii="Aptos" w:hAnsi="Aptos"/>
        </w:rPr>
        <w:t>,</w:t>
      </w:r>
      <w:r w:rsidR="00971C95" w:rsidRPr="008253BC">
        <w:rPr>
          <w:rFonts w:ascii="Aptos" w:hAnsi="Aptos"/>
        </w:rPr>
        <w:t xml:space="preserve"> by agreement.</w:t>
      </w:r>
      <w:r w:rsidR="0036192C" w:rsidRPr="008253BC">
        <w:rPr>
          <w:rFonts w:ascii="Aptos" w:hAnsi="Aptos"/>
        </w:rPr>
        <w:t xml:space="preserve"> </w:t>
      </w:r>
      <w:r w:rsidR="00DA47BD" w:rsidRPr="008253BC">
        <w:rPr>
          <w:rFonts w:ascii="Aptos" w:hAnsi="Aptos" w:cs="Arial"/>
        </w:rPr>
        <w:t>F</w:t>
      </w:r>
      <w:r w:rsidR="00A600C9" w:rsidRPr="008253BC">
        <w:rPr>
          <w:rFonts w:ascii="Aptos" w:hAnsi="Aptos" w:cs="Arial"/>
        </w:rPr>
        <w:t>irst Martlet Homes and subsequently the Council have</w:t>
      </w:r>
      <w:r w:rsidR="00DA47BD" w:rsidRPr="008253BC">
        <w:rPr>
          <w:rFonts w:ascii="Aptos" w:hAnsi="Aptos" w:cs="Arial"/>
        </w:rPr>
        <w:t xml:space="preserve"> over a long period of time attempted</w:t>
      </w:r>
      <w:r w:rsidR="00A600C9" w:rsidRPr="008253BC">
        <w:rPr>
          <w:rFonts w:ascii="Aptos" w:hAnsi="Aptos" w:cs="Arial"/>
        </w:rPr>
        <w:t xml:space="preserve"> to reach agreement with those p</w:t>
      </w:r>
      <w:r w:rsidR="00E76460" w:rsidRPr="008253BC">
        <w:rPr>
          <w:rFonts w:ascii="Aptos" w:hAnsi="Aptos" w:cs="Arial"/>
        </w:rPr>
        <w:t>arties</w:t>
      </w:r>
      <w:r w:rsidR="00DA47BD" w:rsidRPr="008253BC">
        <w:rPr>
          <w:rFonts w:ascii="Aptos" w:hAnsi="Aptos" w:cs="Arial"/>
        </w:rPr>
        <w:t xml:space="preserve"> </w:t>
      </w:r>
      <w:r w:rsidR="00A600C9" w:rsidRPr="008253BC">
        <w:rPr>
          <w:rFonts w:ascii="Aptos" w:hAnsi="Aptos" w:cs="Arial"/>
        </w:rPr>
        <w:t>who</w:t>
      </w:r>
      <w:r w:rsidR="00E76460" w:rsidRPr="008253BC">
        <w:rPr>
          <w:rFonts w:ascii="Aptos" w:hAnsi="Aptos" w:cs="Arial"/>
        </w:rPr>
        <w:t xml:space="preserve"> have or</w:t>
      </w:r>
      <w:r w:rsidR="00A600C9" w:rsidRPr="008253BC">
        <w:rPr>
          <w:rFonts w:ascii="Aptos" w:hAnsi="Aptos" w:cs="Arial"/>
        </w:rPr>
        <w:t xml:space="preserve"> claim an interest </w:t>
      </w:r>
      <w:r w:rsidR="00753D5F" w:rsidRPr="008253BC">
        <w:rPr>
          <w:rFonts w:ascii="Aptos" w:hAnsi="Aptos" w:cs="Arial"/>
        </w:rPr>
        <w:t xml:space="preserve">in </w:t>
      </w:r>
      <w:r w:rsidR="00A600C9" w:rsidRPr="008253BC">
        <w:rPr>
          <w:rFonts w:ascii="Aptos" w:hAnsi="Aptos" w:cs="Arial"/>
        </w:rPr>
        <w:t xml:space="preserve">or right over the Order Land. </w:t>
      </w:r>
    </w:p>
    <w:p w14:paraId="0B525586" w14:textId="77777777" w:rsidR="0029115C" w:rsidRPr="002814F0" w:rsidRDefault="0029115C" w:rsidP="00D21EC6">
      <w:pPr>
        <w:pStyle w:val="ListParagraph"/>
        <w:spacing w:after="0" w:line="360" w:lineRule="auto"/>
        <w:ind w:left="426"/>
        <w:contextualSpacing w:val="0"/>
        <w:jc w:val="both"/>
        <w:rPr>
          <w:rFonts w:ascii="Aptos" w:hAnsi="Aptos" w:cs="Times New Roman"/>
        </w:rPr>
      </w:pPr>
    </w:p>
    <w:p w14:paraId="695B52CA" w14:textId="77E5EDFF" w:rsidR="00AB39A9" w:rsidRPr="000973E7" w:rsidRDefault="00C301FB" w:rsidP="00D21EC6">
      <w:pPr>
        <w:spacing w:after="0" w:line="360" w:lineRule="auto"/>
        <w:ind w:left="426" w:hanging="426"/>
        <w:jc w:val="both"/>
        <w:rPr>
          <w:rFonts w:ascii="Aptos" w:hAnsi="Aptos" w:cs="Times New Roman"/>
          <w:b/>
          <w:bCs/>
          <w:u w:val="single"/>
        </w:rPr>
      </w:pPr>
      <w:r w:rsidRPr="000973E7">
        <w:rPr>
          <w:rFonts w:ascii="Aptos" w:hAnsi="Aptos" w:cs="Times New Roman"/>
          <w:b/>
          <w:bCs/>
          <w:u w:val="single"/>
        </w:rPr>
        <w:t>Objections</w:t>
      </w:r>
    </w:p>
    <w:p w14:paraId="473CCFAA" w14:textId="77777777" w:rsidR="00C76902" w:rsidRPr="009739C5" w:rsidRDefault="00F344C6" w:rsidP="00D21EC6">
      <w:pPr>
        <w:pStyle w:val="ListParagraph"/>
        <w:numPr>
          <w:ilvl w:val="0"/>
          <w:numId w:val="1"/>
        </w:numPr>
        <w:spacing w:after="0" w:line="360" w:lineRule="auto"/>
        <w:ind w:left="426" w:hanging="426"/>
        <w:contextualSpacing w:val="0"/>
        <w:jc w:val="both"/>
        <w:rPr>
          <w:rFonts w:ascii="Aptos" w:hAnsi="Aptos" w:cs="Times New Roman"/>
        </w:rPr>
      </w:pPr>
      <w:r w:rsidRPr="000973E7">
        <w:rPr>
          <w:rFonts w:ascii="Aptos" w:hAnsi="Aptos"/>
        </w:rPr>
        <w:t xml:space="preserve">26 objections were received following the making of the Order, </w:t>
      </w:r>
      <w:r w:rsidR="009F76B8" w:rsidRPr="000973E7">
        <w:rPr>
          <w:rFonts w:ascii="Aptos" w:hAnsi="Aptos"/>
        </w:rPr>
        <w:t>of which 21 were non-statutory</w:t>
      </w:r>
      <w:r w:rsidR="009F76B8">
        <w:rPr>
          <w:rFonts w:ascii="Aptos" w:hAnsi="Aptos"/>
        </w:rPr>
        <w:t xml:space="preserve"> and five were statutory. As regards the five statutory objections, </w:t>
      </w:r>
      <w:r w:rsidR="006B630D">
        <w:rPr>
          <w:rFonts w:ascii="Aptos" w:hAnsi="Aptos"/>
        </w:rPr>
        <w:t>h</w:t>
      </w:r>
      <w:r w:rsidR="008B5264">
        <w:rPr>
          <w:rFonts w:ascii="Aptos" w:hAnsi="Aptos"/>
        </w:rPr>
        <w:t xml:space="preserve">eads of terms have been agreed with three of the five landowners. </w:t>
      </w:r>
    </w:p>
    <w:p w14:paraId="54B37080" w14:textId="77777777" w:rsidR="009739C5" w:rsidRPr="00C76902" w:rsidRDefault="009739C5" w:rsidP="00D21EC6">
      <w:pPr>
        <w:pStyle w:val="ListParagraph"/>
        <w:spacing w:after="0" w:line="360" w:lineRule="auto"/>
        <w:ind w:left="426"/>
        <w:contextualSpacing w:val="0"/>
        <w:jc w:val="both"/>
        <w:rPr>
          <w:rFonts w:ascii="Aptos" w:hAnsi="Aptos" w:cs="Times New Roman"/>
        </w:rPr>
      </w:pPr>
    </w:p>
    <w:p w14:paraId="6D08C55D" w14:textId="0E26AF7F" w:rsidR="0054333A" w:rsidRPr="0054333A" w:rsidRDefault="001721D8" w:rsidP="00D21EC6">
      <w:pPr>
        <w:pStyle w:val="ListParagraph"/>
        <w:numPr>
          <w:ilvl w:val="0"/>
          <w:numId w:val="1"/>
        </w:numPr>
        <w:spacing w:after="0" w:line="360" w:lineRule="auto"/>
        <w:ind w:left="426" w:hanging="426"/>
        <w:contextualSpacing w:val="0"/>
        <w:jc w:val="both"/>
        <w:rPr>
          <w:rFonts w:ascii="Aptos" w:hAnsi="Aptos" w:cs="Times New Roman"/>
        </w:rPr>
      </w:pPr>
      <w:r>
        <w:rPr>
          <w:rFonts w:ascii="Aptos" w:hAnsi="Aptos"/>
        </w:rPr>
        <w:t xml:space="preserve">The Council has identified ten recurring “themes” within the objections received. </w:t>
      </w:r>
      <w:r w:rsidR="0054333A">
        <w:rPr>
          <w:rFonts w:ascii="Aptos" w:hAnsi="Aptos"/>
        </w:rPr>
        <w:t xml:space="preserve">Its response to each of those themes is, in summary, </w:t>
      </w:r>
      <w:r w:rsidR="00A90120">
        <w:rPr>
          <w:rFonts w:ascii="Aptos" w:hAnsi="Aptos"/>
        </w:rPr>
        <w:t>set out below</w:t>
      </w:r>
      <w:r w:rsidR="00910262">
        <w:rPr>
          <w:rStyle w:val="FootnoteReference"/>
          <w:rFonts w:ascii="Aptos" w:hAnsi="Aptos"/>
        </w:rPr>
        <w:footnoteReference w:id="27"/>
      </w:r>
      <w:r w:rsidR="00A90120">
        <w:rPr>
          <w:rFonts w:ascii="Aptos" w:hAnsi="Aptos"/>
        </w:rPr>
        <w:t xml:space="preserve">. The Council notes at the outset however that many of the points raised </w:t>
      </w:r>
      <w:r w:rsidR="00F1128C">
        <w:rPr>
          <w:rFonts w:ascii="Aptos" w:hAnsi="Aptos"/>
        </w:rPr>
        <w:t xml:space="preserve">are points that have in effect already been addressed through the planning process. </w:t>
      </w:r>
    </w:p>
    <w:p w14:paraId="04886977" w14:textId="77777777" w:rsidR="0054333A" w:rsidRPr="0054333A" w:rsidRDefault="0054333A" w:rsidP="00D21EC6">
      <w:pPr>
        <w:pStyle w:val="ListParagraph"/>
        <w:spacing w:after="0" w:line="360" w:lineRule="auto"/>
        <w:contextualSpacing w:val="0"/>
        <w:rPr>
          <w:rFonts w:ascii="Aptos" w:hAnsi="Aptos"/>
        </w:rPr>
      </w:pPr>
    </w:p>
    <w:p w14:paraId="57E3E951" w14:textId="77777777" w:rsidR="000529B5" w:rsidRPr="000529B5" w:rsidRDefault="00E9323D" w:rsidP="00D21EC6">
      <w:pPr>
        <w:pStyle w:val="ListParagraph"/>
        <w:numPr>
          <w:ilvl w:val="1"/>
          <w:numId w:val="1"/>
        </w:numPr>
        <w:spacing w:after="0" w:line="360" w:lineRule="auto"/>
        <w:contextualSpacing w:val="0"/>
        <w:jc w:val="both"/>
        <w:rPr>
          <w:rFonts w:ascii="Aptos" w:hAnsi="Aptos" w:cs="Times New Roman"/>
        </w:rPr>
      </w:pPr>
      <w:r w:rsidRPr="00D77712">
        <w:rPr>
          <w:rFonts w:ascii="Aptos" w:hAnsi="Aptos"/>
        </w:rPr>
        <w:t>“Inappropriate access”</w:t>
      </w:r>
      <w:r w:rsidR="000529B5">
        <w:rPr>
          <w:rFonts w:ascii="Aptos" w:hAnsi="Aptos"/>
        </w:rPr>
        <w:t>; and</w:t>
      </w:r>
    </w:p>
    <w:p w14:paraId="53432FF8" w14:textId="76804EC5" w:rsidR="000973E7" w:rsidRPr="00D77712" w:rsidRDefault="000529B5" w:rsidP="00D21EC6">
      <w:pPr>
        <w:pStyle w:val="ListParagraph"/>
        <w:numPr>
          <w:ilvl w:val="1"/>
          <w:numId w:val="1"/>
        </w:numPr>
        <w:spacing w:after="0" w:line="360" w:lineRule="auto"/>
        <w:contextualSpacing w:val="0"/>
        <w:jc w:val="both"/>
        <w:rPr>
          <w:rFonts w:ascii="Aptos" w:hAnsi="Aptos" w:cs="Times New Roman"/>
        </w:rPr>
      </w:pPr>
      <w:r>
        <w:rPr>
          <w:rFonts w:ascii="Aptos" w:hAnsi="Aptos"/>
        </w:rPr>
        <w:t>“</w:t>
      </w:r>
      <w:r w:rsidR="003558D1">
        <w:rPr>
          <w:rFonts w:ascii="Aptos" w:hAnsi="Aptos"/>
        </w:rPr>
        <w:t>H</w:t>
      </w:r>
      <w:r>
        <w:rPr>
          <w:rFonts w:ascii="Aptos" w:hAnsi="Aptos"/>
        </w:rPr>
        <w:t xml:space="preserve">ighway safety”: </w:t>
      </w:r>
      <w:r w:rsidR="00D77712" w:rsidRPr="00D77712">
        <w:rPr>
          <w:rFonts w:ascii="Aptos" w:hAnsi="Aptos"/>
        </w:rPr>
        <w:t xml:space="preserve">the </w:t>
      </w:r>
      <w:r w:rsidR="000973E7" w:rsidRPr="00D77712">
        <w:rPr>
          <w:rFonts w:ascii="Aptos" w:hAnsi="Aptos" w:cs="Times New Roman"/>
        </w:rPr>
        <w:t>proposed access road has already been fully considered and approved as part</w:t>
      </w:r>
      <w:r w:rsidR="00D77712" w:rsidRPr="00D77712">
        <w:rPr>
          <w:rFonts w:ascii="Aptos" w:hAnsi="Aptos" w:cs="Times New Roman"/>
        </w:rPr>
        <w:t xml:space="preserve"> </w:t>
      </w:r>
      <w:r w:rsidR="000973E7" w:rsidRPr="00D77712">
        <w:rPr>
          <w:rFonts w:ascii="Aptos" w:hAnsi="Aptos" w:cs="Times New Roman"/>
        </w:rPr>
        <w:t>of the planning process.</w:t>
      </w:r>
      <w:r w:rsidR="00D77712" w:rsidRPr="00D77712">
        <w:rPr>
          <w:rFonts w:ascii="Aptos" w:hAnsi="Aptos" w:cs="Times New Roman"/>
        </w:rPr>
        <w:t xml:space="preserve"> </w:t>
      </w:r>
      <w:r w:rsidR="000973E7" w:rsidRPr="00D77712">
        <w:rPr>
          <w:rFonts w:ascii="Aptos" w:hAnsi="Aptos" w:cs="Times New Roman"/>
        </w:rPr>
        <w:t>WSCC as the local highway authority has confirmed that the proposed access</w:t>
      </w:r>
      <w:r w:rsidR="00D77712" w:rsidRPr="00D77712">
        <w:rPr>
          <w:rFonts w:ascii="Aptos" w:hAnsi="Aptos" w:cs="Times New Roman"/>
        </w:rPr>
        <w:t xml:space="preserve"> </w:t>
      </w:r>
      <w:r w:rsidR="000973E7" w:rsidRPr="00D77712">
        <w:rPr>
          <w:rFonts w:ascii="Aptos" w:hAnsi="Aptos" w:cs="Times New Roman"/>
        </w:rPr>
        <w:t>road: is sufficiently wide to allow two vehicles to pass; includes speed reducing</w:t>
      </w:r>
      <w:r w:rsidR="00D77712" w:rsidRPr="00D77712">
        <w:rPr>
          <w:rFonts w:ascii="Aptos" w:hAnsi="Aptos" w:cs="Times New Roman"/>
        </w:rPr>
        <w:t xml:space="preserve"> </w:t>
      </w:r>
      <w:r w:rsidR="000973E7" w:rsidRPr="00D77712">
        <w:rPr>
          <w:rFonts w:ascii="Aptos" w:hAnsi="Aptos" w:cs="Times New Roman"/>
        </w:rPr>
        <w:t>features; complies with the Manual for Streets guidance; raises no safety concerns</w:t>
      </w:r>
      <w:r w:rsidR="00D77712" w:rsidRPr="00D77712">
        <w:rPr>
          <w:rFonts w:ascii="Aptos" w:hAnsi="Aptos" w:cs="Times New Roman"/>
        </w:rPr>
        <w:t xml:space="preserve"> </w:t>
      </w:r>
      <w:r w:rsidR="000973E7" w:rsidRPr="00D77712">
        <w:rPr>
          <w:rFonts w:ascii="Aptos" w:hAnsi="Aptos" w:cs="Times New Roman"/>
        </w:rPr>
        <w:t xml:space="preserve">in respect of the proposed </w:t>
      </w:r>
      <w:r w:rsidR="000973E7" w:rsidRPr="00D77712">
        <w:rPr>
          <w:rFonts w:ascii="Aptos" w:hAnsi="Aptos" w:cs="Times New Roman"/>
        </w:rPr>
        <w:lastRenderedPageBreak/>
        <w:t>pedestrian crossing point; and will generate a</w:t>
      </w:r>
      <w:r w:rsidR="00D77712" w:rsidRPr="00D77712">
        <w:rPr>
          <w:rFonts w:ascii="Aptos" w:hAnsi="Aptos" w:cs="Times New Roman"/>
        </w:rPr>
        <w:t xml:space="preserve"> </w:t>
      </w:r>
      <w:r w:rsidR="000973E7" w:rsidRPr="00D77712">
        <w:rPr>
          <w:rFonts w:ascii="Aptos" w:hAnsi="Aptos" w:cs="Times New Roman"/>
        </w:rPr>
        <w:t>low volume of vehicular traffic. For all these reasons WSCC raised no objections</w:t>
      </w:r>
      <w:r w:rsidR="00D77712" w:rsidRPr="00D77712">
        <w:rPr>
          <w:rFonts w:ascii="Aptos" w:hAnsi="Aptos" w:cs="Times New Roman"/>
        </w:rPr>
        <w:t xml:space="preserve"> </w:t>
      </w:r>
      <w:r w:rsidR="000973E7" w:rsidRPr="00D77712">
        <w:rPr>
          <w:rFonts w:ascii="Aptos" w:hAnsi="Aptos" w:cs="Times New Roman"/>
        </w:rPr>
        <w:t xml:space="preserve">to </w:t>
      </w:r>
      <w:r w:rsidR="00D77712" w:rsidRPr="00D77712">
        <w:rPr>
          <w:rFonts w:ascii="Aptos" w:hAnsi="Aptos" w:cs="Times New Roman"/>
        </w:rPr>
        <w:t xml:space="preserve">the </w:t>
      </w:r>
      <w:r w:rsidR="000973E7" w:rsidRPr="00D77712">
        <w:rPr>
          <w:rFonts w:ascii="Aptos" w:hAnsi="Aptos" w:cs="Times New Roman"/>
        </w:rPr>
        <w:t>grant of planning permission for the proposed access road.</w:t>
      </w:r>
      <w:r w:rsidR="00D77712" w:rsidRPr="00D77712">
        <w:rPr>
          <w:rFonts w:ascii="Aptos" w:hAnsi="Aptos" w:cs="Times New Roman"/>
        </w:rPr>
        <w:t xml:space="preserve"> </w:t>
      </w:r>
      <w:r w:rsidR="000973E7" w:rsidRPr="00D77712">
        <w:rPr>
          <w:rFonts w:ascii="Aptos" w:hAnsi="Aptos" w:cs="Times New Roman"/>
        </w:rPr>
        <w:t>Martle</w:t>
      </w:r>
      <w:r w:rsidR="00F843D7">
        <w:rPr>
          <w:rFonts w:ascii="Aptos" w:hAnsi="Aptos" w:cs="Times New Roman"/>
        </w:rPr>
        <w:t>t’s</w:t>
      </w:r>
      <w:r w:rsidR="000973E7" w:rsidRPr="00D77712">
        <w:rPr>
          <w:rFonts w:ascii="Aptos" w:hAnsi="Aptos" w:cs="Times New Roman"/>
        </w:rPr>
        <w:t xml:space="preserve"> highways consultants have since produced an updated Transport</w:t>
      </w:r>
      <w:r w:rsidR="00D77712" w:rsidRPr="00D77712">
        <w:rPr>
          <w:rFonts w:ascii="Aptos" w:hAnsi="Aptos" w:cs="Times New Roman"/>
        </w:rPr>
        <w:t xml:space="preserve"> </w:t>
      </w:r>
      <w:r w:rsidR="000973E7" w:rsidRPr="000973E7">
        <w:rPr>
          <w:rFonts w:ascii="Aptos" w:hAnsi="Aptos" w:cs="Times New Roman"/>
        </w:rPr>
        <w:t>Technical Report which includes an updated Stage 1 Road Safety Audit. Th</w:t>
      </w:r>
      <w:r w:rsidR="00D77712" w:rsidRPr="00D77712">
        <w:rPr>
          <w:rFonts w:ascii="Aptos" w:hAnsi="Aptos" w:cs="Times New Roman"/>
        </w:rPr>
        <w:t>at r</w:t>
      </w:r>
      <w:r w:rsidR="000973E7" w:rsidRPr="000973E7">
        <w:rPr>
          <w:rFonts w:ascii="Aptos" w:hAnsi="Aptos" w:cs="Times New Roman"/>
        </w:rPr>
        <w:t>eport concludes that the proposed access design is safe and complies with</w:t>
      </w:r>
      <w:r w:rsidR="00D77712">
        <w:rPr>
          <w:rFonts w:ascii="Aptos" w:hAnsi="Aptos" w:cs="Times New Roman"/>
        </w:rPr>
        <w:t xml:space="preserve"> </w:t>
      </w:r>
      <w:r w:rsidR="000973E7" w:rsidRPr="00D77712">
        <w:rPr>
          <w:rFonts w:ascii="Aptos" w:hAnsi="Aptos" w:cs="Times New Roman"/>
        </w:rPr>
        <w:t>national and local design guidance.</w:t>
      </w:r>
    </w:p>
    <w:p w14:paraId="4A55E7CA" w14:textId="77777777" w:rsidR="00ED5E1F" w:rsidRPr="00ED5E1F" w:rsidRDefault="00ED5E1F" w:rsidP="00D21EC6">
      <w:pPr>
        <w:pStyle w:val="ListParagraph"/>
        <w:spacing w:after="0" w:line="360" w:lineRule="auto"/>
        <w:contextualSpacing w:val="0"/>
        <w:rPr>
          <w:rFonts w:ascii="Aptos" w:hAnsi="Aptos" w:cs="Times New Roman"/>
        </w:rPr>
      </w:pPr>
    </w:p>
    <w:p w14:paraId="62C568E4" w14:textId="5BC6D42B" w:rsidR="00ED5E1F" w:rsidRDefault="00ED5E1F" w:rsidP="00D21EC6">
      <w:pPr>
        <w:pStyle w:val="ListParagraph"/>
        <w:numPr>
          <w:ilvl w:val="1"/>
          <w:numId w:val="1"/>
        </w:numPr>
        <w:spacing w:after="0" w:line="360" w:lineRule="auto"/>
        <w:contextualSpacing w:val="0"/>
        <w:jc w:val="both"/>
        <w:rPr>
          <w:rFonts w:ascii="Aptos" w:hAnsi="Aptos" w:cs="Times New Roman"/>
        </w:rPr>
      </w:pPr>
      <w:r>
        <w:rPr>
          <w:rFonts w:ascii="Aptos" w:hAnsi="Aptos" w:cs="Times New Roman"/>
        </w:rPr>
        <w:t>“Unsuitable use of Council powers”:</w:t>
      </w:r>
      <w:r w:rsidR="00EC14B9">
        <w:rPr>
          <w:rFonts w:ascii="Aptos" w:hAnsi="Aptos" w:cs="Times New Roman"/>
        </w:rPr>
        <w:t xml:space="preserve"> the Council has explained in its evidence </w:t>
      </w:r>
      <w:r w:rsidR="00067D94">
        <w:rPr>
          <w:rFonts w:ascii="Aptos" w:hAnsi="Aptos" w:cs="Times New Roman"/>
        </w:rPr>
        <w:t>how the various legislative requirements together with those of the 2019 Guidance</w:t>
      </w:r>
      <w:r w:rsidR="00067D94">
        <w:rPr>
          <w:rStyle w:val="FootnoteReference"/>
          <w:rFonts w:ascii="Aptos" w:hAnsi="Aptos" w:cs="Times New Roman"/>
        </w:rPr>
        <w:footnoteReference w:id="28"/>
      </w:r>
      <w:r w:rsidR="00067D94">
        <w:rPr>
          <w:rFonts w:ascii="Aptos" w:hAnsi="Aptos" w:cs="Times New Roman"/>
        </w:rPr>
        <w:t xml:space="preserve"> have been satisfied. </w:t>
      </w:r>
    </w:p>
    <w:p w14:paraId="6956CACC" w14:textId="77777777" w:rsidR="00ED5E1F" w:rsidRPr="00ED5E1F" w:rsidRDefault="00ED5E1F" w:rsidP="00D21EC6">
      <w:pPr>
        <w:pStyle w:val="ListParagraph"/>
        <w:spacing w:after="0" w:line="360" w:lineRule="auto"/>
        <w:contextualSpacing w:val="0"/>
        <w:rPr>
          <w:rFonts w:ascii="Aptos" w:hAnsi="Aptos" w:cs="Times New Roman"/>
        </w:rPr>
      </w:pPr>
    </w:p>
    <w:p w14:paraId="47D59F8D" w14:textId="47C1E64C" w:rsidR="00ED5E1F" w:rsidRDefault="00ED5E1F" w:rsidP="00D21EC6">
      <w:pPr>
        <w:pStyle w:val="ListParagraph"/>
        <w:numPr>
          <w:ilvl w:val="1"/>
          <w:numId w:val="1"/>
        </w:numPr>
        <w:spacing w:after="0" w:line="360" w:lineRule="auto"/>
        <w:contextualSpacing w:val="0"/>
        <w:jc w:val="both"/>
        <w:rPr>
          <w:rFonts w:ascii="Aptos" w:hAnsi="Aptos" w:cs="Times New Roman"/>
        </w:rPr>
      </w:pPr>
      <w:r>
        <w:rPr>
          <w:rFonts w:ascii="Aptos" w:hAnsi="Aptos" w:cs="Times New Roman"/>
        </w:rPr>
        <w:t>“Lack of infrastructure, flooding risk, damage to nature”:</w:t>
      </w:r>
      <w:r w:rsidR="00B87992">
        <w:rPr>
          <w:rFonts w:ascii="Aptos" w:hAnsi="Aptos" w:cs="Times New Roman"/>
        </w:rPr>
        <w:t xml:space="preserve"> this theme is addressed by both Mr Bristow and Ms Poulter in their proofs of evidence. T</w:t>
      </w:r>
      <w:r w:rsidR="008A204D">
        <w:rPr>
          <w:rFonts w:ascii="Aptos" w:hAnsi="Aptos" w:cs="Times New Roman"/>
        </w:rPr>
        <w:t>hese issues were addressed through the planning process. As regards the risk of flooding, the relevant consultees (the Council’s Drainage Engineer and Southern Water) have confirmed that there are no concerns</w:t>
      </w:r>
      <w:r w:rsidR="009A7298">
        <w:rPr>
          <w:rFonts w:ascii="Aptos" w:hAnsi="Aptos" w:cs="Times New Roman"/>
        </w:rPr>
        <w:t xml:space="preserve"> in relation to (</w:t>
      </w:r>
      <w:proofErr w:type="spellStart"/>
      <w:r w:rsidR="009A7298">
        <w:rPr>
          <w:rFonts w:ascii="Aptos" w:hAnsi="Aptos" w:cs="Times New Roman"/>
        </w:rPr>
        <w:t>i</w:t>
      </w:r>
      <w:proofErr w:type="spellEnd"/>
      <w:r w:rsidR="009A7298">
        <w:rPr>
          <w:rFonts w:ascii="Aptos" w:hAnsi="Aptos" w:cs="Times New Roman"/>
        </w:rPr>
        <w:t>) the Scheme’s drainage or (ii) risks from flooding.</w:t>
      </w:r>
      <w:r w:rsidR="00C566CD">
        <w:rPr>
          <w:rFonts w:ascii="Aptos" w:hAnsi="Aptos" w:cs="Times New Roman"/>
        </w:rPr>
        <w:t xml:space="preserve"> Similarly, neither the Environment Agency nor Natural England raised any objection to the grant of planning permission for the Scheme.</w:t>
      </w:r>
      <w:r w:rsidR="00B87992">
        <w:rPr>
          <w:rFonts w:ascii="Aptos" w:hAnsi="Aptos" w:cs="Times New Roman"/>
        </w:rPr>
        <w:t xml:space="preserve"> </w:t>
      </w:r>
      <w:r w:rsidR="00C566CD">
        <w:rPr>
          <w:rFonts w:ascii="Aptos" w:hAnsi="Aptos" w:cs="Times New Roman"/>
        </w:rPr>
        <w:t xml:space="preserve"> </w:t>
      </w:r>
      <w:r w:rsidR="009A7298">
        <w:rPr>
          <w:rFonts w:ascii="Aptos" w:hAnsi="Aptos" w:cs="Times New Roman"/>
        </w:rPr>
        <w:t xml:space="preserve"> </w:t>
      </w:r>
    </w:p>
    <w:p w14:paraId="177FD15A" w14:textId="77777777" w:rsidR="00E76FDE" w:rsidRPr="00E76FDE" w:rsidRDefault="00E76FDE" w:rsidP="00D21EC6">
      <w:pPr>
        <w:pStyle w:val="ListParagraph"/>
        <w:spacing w:after="0" w:line="360" w:lineRule="auto"/>
        <w:contextualSpacing w:val="0"/>
        <w:rPr>
          <w:rFonts w:ascii="Aptos" w:hAnsi="Aptos" w:cs="Times New Roman"/>
        </w:rPr>
      </w:pPr>
    </w:p>
    <w:p w14:paraId="2D4A53DB" w14:textId="132E4309" w:rsidR="00E76FDE" w:rsidRDefault="00E76FDE" w:rsidP="00D21EC6">
      <w:pPr>
        <w:pStyle w:val="ListParagraph"/>
        <w:numPr>
          <w:ilvl w:val="1"/>
          <w:numId w:val="1"/>
        </w:numPr>
        <w:spacing w:after="0" w:line="360" w:lineRule="auto"/>
        <w:contextualSpacing w:val="0"/>
        <w:jc w:val="both"/>
        <w:rPr>
          <w:rFonts w:ascii="Aptos" w:hAnsi="Aptos" w:cs="Times New Roman"/>
        </w:rPr>
      </w:pPr>
      <w:r>
        <w:rPr>
          <w:rFonts w:ascii="Aptos" w:hAnsi="Aptos" w:cs="Times New Roman"/>
        </w:rPr>
        <w:t>“Unsuitable location and/or no need for affordable housing”:</w:t>
      </w:r>
      <w:r w:rsidR="00171E7F">
        <w:rPr>
          <w:rFonts w:ascii="Aptos" w:hAnsi="Aptos" w:cs="Times New Roman"/>
        </w:rPr>
        <w:t xml:space="preserve"> the suitability of the Housing Site for affordable </w:t>
      </w:r>
      <w:r w:rsidR="00255BB0">
        <w:rPr>
          <w:rFonts w:ascii="Aptos" w:hAnsi="Aptos" w:cs="Times New Roman"/>
        </w:rPr>
        <w:t xml:space="preserve">social rented housing has been established through the grant of planning permission for the Scheme. There remains </w:t>
      </w:r>
      <w:r w:rsidR="00277D82">
        <w:rPr>
          <w:rFonts w:ascii="Aptos" w:hAnsi="Aptos" w:cs="Times New Roman"/>
        </w:rPr>
        <w:t xml:space="preserve">a serious need for affordable housing, as explained above. </w:t>
      </w:r>
      <w:r w:rsidR="00171E7F">
        <w:rPr>
          <w:rFonts w:ascii="Aptos" w:hAnsi="Aptos" w:cs="Times New Roman"/>
        </w:rPr>
        <w:t xml:space="preserve"> </w:t>
      </w:r>
    </w:p>
    <w:p w14:paraId="2F8B4B1D" w14:textId="77777777" w:rsidR="00E76FDE" w:rsidRPr="00E76FDE" w:rsidRDefault="00E76FDE" w:rsidP="00D21EC6">
      <w:pPr>
        <w:pStyle w:val="ListParagraph"/>
        <w:spacing w:after="0" w:line="360" w:lineRule="auto"/>
        <w:contextualSpacing w:val="0"/>
        <w:rPr>
          <w:rFonts w:ascii="Aptos" w:hAnsi="Aptos" w:cs="Times New Roman"/>
        </w:rPr>
      </w:pPr>
    </w:p>
    <w:p w14:paraId="6D8C043B" w14:textId="3AB1F5D1" w:rsidR="00E76FDE" w:rsidRDefault="00E76FDE" w:rsidP="00D21EC6">
      <w:pPr>
        <w:pStyle w:val="ListParagraph"/>
        <w:numPr>
          <w:ilvl w:val="1"/>
          <w:numId w:val="1"/>
        </w:numPr>
        <w:spacing w:after="0" w:line="360" w:lineRule="auto"/>
        <w:contextualSpacing w:val="0"/>
        <w:jc w:val="both"/>
        <w:rPr>
          <w:rFonts w:ascii="Aptos" w:hAnsi="Aptos" w:cs="Times New Roman"/>
        </w:rPr>
      </w:pPr>
      <w:r>
        <w:rPr>
          <w:rFonts w:ascii="Aptos" w:hAnsi="Aptos" w:cs="Times New Roman"/>
        </w:rPr>
        <w:t>“Affordable housing not financially viable”:</w:t>
      </w:r>
      <w:r w:rsidR="00277D82">
        <w:rPr>
          <w:rFonts w:ascii="Aptos" w:hAnsi="Aptos" w:cs="Times New Roman"/>
        </w:rPr>
        <w:t xml:space="preserve"> </w:t>
      </w:r>
      <w:r w:rsidR="00545118">
        <w:rPr>
          <w:rFonts w:ascii="Aptos" w:hAnsi="Aptos" w:cs="Times New Roman"/>
        </w:rPr>
        <w:t xml:space="preserve">funding arrangements are in place for the delivery of the Scheme, as also explained above. </w:t>
      </w:r>
    </w:p>
    <w:p w14:paraId="25D4E8D9" w14:textId="77777777" w:rsidR="0053048E" w:rsidRPr="0053048E" w:rsidRDefault="0053048E" w:rsidP="00D21EC6">
      <w:pPr>
        <w:pStyle w:val="ListParagraph"/>
        <w:spacing w:after="0" w:line="360" w:lineRule="auto"/>
        <w:contextualSpacing w:val="0"/>
        <w:rPr>
          <w:rFonts w:ascii="Aptos" w:hAnsi="Aptos" w:cs="Times New Roman"/>
        </w:rPr>
      </w:pPr>
    </w:p>
    <w:p w14:paraId="1736A141" w14:textId="6DDBBDAB" w:rsidR="0053048E" w:rsidRDefault="0053048E" w:rsidP="00D21EC6">
      <w:pPr>
        <w:pStyle w:val="ListParagraph"/>
        <w:numPr>
          <w:ilvl w:val="1"/>
          <w:numId w:val="1"/>
        </w:numPr>
        <w:spacing w:after="0" w:line="360" w:lineRule="auto"/>
        <w:contextualSpacing w:val="0"/>
        <w:jc w:val="both"/>
        <w:rPr>
          <w:rFonts w:ascii="Aptos" w:hAnsi="Aptos" w:cs="Times New Roman"/>
        </w:rPr>
      </w:pPr>
      <w:r>
        <w:rPr>
          <w:rFonts w:ascii="Aptos" w:hAnsi="Aptos" w:cs="Times New Roman"/>
        </w:rPr>
        <w:t>“Human rights”:</w:t>
      </w:r>
      <w:r w:rsidR="00545118">
        <w:rPr>
          <w:rFonts w:ascii="Aptos" w:hAnsi="Aptos" w:cs="Times New Roman"/>
        </w:rPr>
        <w:t xml:space="preserve"> </w:t>
      </w:r>
      <w:r w:rsidR="003E761A">
        <w:rPr>
          <w:rFonts w:ascii="Aptos" w:hAnsi="Aptos" w:cs="Times New Roman"/>
        </w:rPr>
        <w:t>this</w:t>
      </w:r>
      <w:r w:rsidR="00476DD8">
        <w:rPr>
          <w:rFonts w:ascii="Aptos" w:hAnsi="Aptos" w:cs="Times New Roman"/>
        </w:rPr>
        <w:t xml:space="preserve"> issue is addressed below</w:t>
      </w:r>
      <w:r w:rsidR="003E761A">
        <w:rPr>
          <w:rFonts w:ascii="Aptos" w:hAnsi="Aptos" w:cs="Times New Roman"/>
        </w:rPr>
        <w:t>.</w:t>
      </w:r>
      <w:r w:rsidR="00D33197">
        <w:rPr>
          <w:rFonts w:ascii="Aptos" w:hAnsi="Aptos" w:cs="Times New Roman"/>
        </w:rPr>
        <w:t xml:space="preserve"> A specific concern having been raised over negotiations being undertaken in advance of the Order being made, t</w:t>
      </w:r>
      <w:r w:rsidR="003E761A">
        <w:rPr>
          <w:rFonts w:ascii="Aptos" w:hAnsi="Aptos" w:cs="Times New Roman"/>
        </w:rPr>
        <w:t xml:space="preserve">he Council would </w:t>
      </w:r>
      <w:r w:rsidR="00D33197">
        <w:rPr>
          <w:rFonts w:ascii="Aptos" w:hAnsi="Aptos" w:cs="Times New Roman"/>
        </w:rPr>
        <w:t>emphasise</w:t>
      </w:r>
      <w:r w:rsidR="003E761A">
        <w:rPr>
          <w:rFonts w:ascii="Aptos" w:hAnsi="Aptos" w:cs="Times New Roman"/>
        </w:rPr>
        <w:t xml:space="preserve"> that </w:t>
      </w:r>
      <w:r w:rsidR="00CD3C9D">
        <w:rPr>
          <w:rFonts w:ascii="Aptos" w:hAnsi="Aptos" w:cs="Times New Roman"/>
        </w:rPr>
        <w:t>negotiations were undertaken in accordance with best practice and the requirements of the 2019 Guidance</w:t>
      </w:r>
      <w:r w:rsidR="00CD3C9D">
        <w:rPr>
          <w:rStyle w:val="FootnoteReference"/>
          <w:rFonts w:ascii="Aptos" w:hAnsi="Aptos" w:cs="Times New Roman"/>
        </w:rPr>
        <w:footnoteReference w:id="29"/>
      </w:r>
      <w:r w:rsidR="00CD3C9D">
        <w:rPr>
          <w:rFonts w:ascii="Aptos" w:hAnsi="Aptos" w:cs="Times New Roman"/>
        </w:rPr>
        <w:t>.</w:t>
      </w:r>
    </w:p>
    <w:p w14:paraId="2177EBB3" w14:textId="77777777" w:rsidR="0053048E" w:rsidRPr="0053048E" w:rsidRDefault="0053048E" w:rsidP="00D21EC6">
      <w:pPr>
        <w:pStyle w:val="ListParagraph"/>
        <w:spacing w:after="0" w:line="360" w:lineRule="auto"/>
        <w:contextualSpacing w:val="0"/>
        <w:rPr>
          <w:rFonts w:ascii="Aptos" w:hAnsi="Aptos" w:cs="Times New Roman"/>
        </w:rPr>
      </w:pPr>
    </w:p>
    <w:p w14:paraId="1AF76F5C" w14:textId="496CA364" w:rsidR="0053048E" w:rsidRDefault="0053048E" w:rsidP="00D21EC6">
      <w:pPr>
        <w:pStyle w:val="ListParagraph"/>
        <w:numPr>
          <w:ilvl w:val="1"/>
          <w:numId w:val="1"/>
        </w:numPr>
        <w:spacing w:after="0" w:line="360" w:lineRule="auto"/>
        <w:contextualSpacing w:val="0"/>
        <w:jc w:val="both"/>
        <w:rPr>
          <w:rFonts w:ascii="Aptos" w:hAnsi="Aptos" w:cs="Times New Roman"/>
        </w:rPr>
      </w:pPr>
      <w:r>
        <w:rPr>
          <w:rFonts w:ascii="Aptos" w:hAnsi="Aptos" w:cs="Times New Roman"/>
        </w:rPr>
        <w:lastRenderedPageBreak/>
        <w:t>“Error in Planning Permission”:</w:t>
      </w:r>
      <w:r w:rsidR="00350C36">
        <w:rPr>
          <w:rFonts w:ascii="Aptos" w:hAnsi="Aptos" w:cs="Times New Roman"/>
        </w:rPr>
        <w:t xml:space="preserve"> there is nothing in this point. The Planning Permission has been lawfully implemented and remains extant. The</w:t>
      </w:r>
      <w:r w:rsidR="0084555B">
        <w:rPr>
          <w:rFonts w:ascii="Aptos" w:hAnsi="Aptos" w:cs="Times New Roman"/>
        </w:rPr>
        <w:t>re was no legal challenge to the</w:t>
      </w:r>
      <w:r w:rsidR="00350C36">
        <w:rPr>
          <w:rFonts w:ascii="Aptos" w:hAnsi="Aptos" w:cs="Times New Roman"/>
        </w:rPr>
        <w:t xml:space="preserve"> lawful development certificate </w:t>
      </w:r>
      <w:r w:rsidR="0017510B">
        <w:rPr>
          <w:rFonts w:ascii="Aptos" w:hAnsi="Aptos" w:cs="Times New Roman"/>
        </w:rPr>
        <w:t xml:space="preserve">that was </w:t>
      </w:r>
      <w:r w:rsidR="00350C36">
        <w:rPr>
          <w:rFonts w:ascii="Aptos" w:hAnsi="Aptos" w:cs="Times New Roman"/>
        </w:rPr>
        <w:t xml:space="preserve">granted by the Council in </w:t>
      </w:r>
      <w:r w:rsidR="0084555B">
        <w:rPr>
          <w:rFonts w:ascii="Aptos" w:hAnsi="Aptos" w:cs="Times New Roman"/>
        </w:rPr>
        <w:t xml:space="preserve">July 2017. </w:t>
      </w:r>
    </w:p>
    <w:p w14:paraId="28B0296B" w14:textId="77777777" w:rsidR="0053048E" w:rsidRPr="0053048E" w:rsidRDefault="0053048E" w:rsidP="00D21EC6">
      <w:pPr>
        <w:pStyle w:val="ListParagraph"/>
        <w:spacing w:after="0" w:line="360" w:lineRule="auto"/>
        <w:contextualSpacing w:val="0"/>
        <w:rPr>
          <w:rFonts w:ascii="Aptos" w:hAnsi="Aptos" w:cs="Times New Roman"/>
        </w:rPr>
      </w:pPr>
    </w:p>
    <w:p w14:paraId="766F58D7" w14:textId="43C9FE14" w:rsidR="0053048E" w:rsidRDefault="0053048E" w:rsidP="00D21EC6">
      <w:pPr>
        <w:pStyle w:val="ListParagraph"/>
        <w:numPr>
          <w:ilvl w:val="1"/>
          <w:numId w:val="1"/>
        </w:numPr>
        <w:spacing w:after="0" w:line="360" w:lineRule="auto"/>
        <w:contextualSpacing w:val="0"/>
        <w:jc w:val="both"/>
        <w:rPr>
          <w:rFonts w:ascii="Aptos" w:hAnsi="Aptos" w:cs="Times New Roman"/>
        </w:rPr>
      </w:pPr>
      <w:r>
        <w:rPr>
          <w:rFonts w:ascii="Aptos" w:hAnsi="Aptos" w:cs="Times New Roman"/>
        </w:rPr>
        <w:t>“No well-being benefits”:</w:t>
      </w:r>
      <w:r w:rsidR="0084555B">
        <w:rPr>
          <w:rFonts w:ascii="Aptos" w:hAnsi="Aptos" w:cs="Times New Roman"/>
        </w:rPr>
        <w:t xml:space="preserve"> the significant well-being benefits that will result from unlocking delivery of the Scheme are set out clearly in Mr Bristow’s proof of evidence</w:t>
      </w:r>
      <w:r w:rsidR="0084555B">
        <w:rPr>
          <w:rStyle w:val="FootnoteReference"/>
          <w:rFonts w:ascii="Aptos" w:hAnsi="Aptos" w:cs="Times New Roman"/>
        </w:rPr>
        <w:footnoteReference w:id="30"/>
      </w:r>
      <w:r w:rsidR="0084555B">
        <w:rPr>
          <w:rFonts w:ascii="Aptos" w:hAnsi="Aptos" w:cs="Times New Roman"/>
        </w:rPr>
        <w:t>.</w:t>
      </w:r>
    </w:p>
    <w:p w14:paraId="5981B622" w14:textId="77777777" w:rsidR="0053048E" w:rsidRPr="0053048E" w:rsidRDefault="0053048E" w:rsidP="00D21EC6">
      <w:pPr>
        <w:pStyle w:val="ListParagraph"/>
        <w:spacing w:after="0" w:line="360" w:lineRule="auto"/>
        <w:contextualSpacing w:val="0"/>
        <w:rPr>
          <w:rFonts w:ascii="Aptos" w:hAnsi="Aptos" w:cs="Times New Roman"/>
        </w:rPr>
      </w:pPr>
    </w:p>
    <w:p w14:paraId="39A805B5" w14:textId="13EDBC21" w:rsidR="00E139B2" w:rsidRPr="00765FBF" w:rsidRDefault="0053048E" w:rsidP="00D21EC6">
      <w:pPr>
        <w:pStyle w:val="ListParagraph"/>
        <w:numPr>
          <w:ilvl w:val="1"/>
          <w:numId w:val="1"/>
        </w:numPr>
        <w:spacing w:after="0" w:line="360" w:lineRule="auto"/>
        <w:contextualSpacing w:val="0"/>
        <w:jc w:val="both"/>
        <w:rPr>
          <w:rFonts w:ascii="Aptos" w:hAnsi="Aptos" w:cs="Times New Roman"/>
        </w:rPr>
      </w:pPr>
      <w:r w:rsidRPr="00765FBF">
        <w:rPr>
          <w:rFonts w:ascii="Aptos" w:hAnsi="Aptos" w:cs="Times New Roman"/>
        </w:rPr>
        <w:t xml:space="preserve">“Error in CPO process”: </w:t>
      </w:r>
      <w:r w:rsidR="00E139B2" w:rsidRPr="00765FBF">
        <w:rPr>
          <w:rFonts w:ascii="Aptos" w:hAnsi="Aptos" w:cs="Times New Roman"/>
        </w:rPr>
        <w:t xml:space="preserve">the Council is satisfied that the </w:t>
      </w:r>
      <w:r w:rsidR="00C8531F" w:rsidRPr="00765FBF">
        <w:rPr>
          <w:rFonts w:ascii="Aptos" w:hAnsi="Aptos" w:cs="Times New Roman"/>
        </w:rPr>
        <w:t>requisite statutory process</w:t>
      </w:r>
      <w:r w:rsidR="00E139B2" w:rsidRPr="00765FBF">
        <w:rPr>
          <w:rFonts w:ascii="Aptos" w:hAnsi="Aptos" w:cs="Times New Roman"/>
        </w:rPr>
        <w:t xml:space="preserve"> was </w:t>
      </w:r>
      <w:r w:rsidR="00E139B2" w:rsidRPr="00E139B2">
        <w:rPr>
          <w:rFonts w:ascii="Aptos" w:hAnsi="Aptos" w:cs="Times New Roman"/>
        </w:rPr>
        <w:t>followed and that all necessary notices and advertisements were placed.</w:t>
      </w:r>
      <w:r w:rsidR="00C8531F" w:rsidRPr="00765FBF">
        <w:rPr>
          <w:rFonts w:ascii="Aptos" w:hAnsi="Aptos" w:cs="Times New Roman"/>
        </w:rPr>
        <w:t xml:space="preserve"> </w:t>
      </w:r>
      <w:r w:rsidR="00E139B2" w:rsidRPr="00765FBF">
        <w:rPr>
          <w:rFonts w:ascii="Aptos" w:hAnsi="Aptos" w:cs="Times New Roman"/>
        </w:rPr>
        <w:t>Following the service of notices, an affected party informed the Council that an</w:t>
      </w:r>
      <w:r w:rsidR="00C8531F" w:rsidRPr="00765FBF">
        <w:rPr>
          <w:rFonts w:ascii="Aptos" w:hAnsi="Aptos" w:cs="Times New Roman"/>
        </w:rPr>
        <w:t xml:space="preserve"> </w:t>
      </w:r>
      <w:r w:rsidR="00E139B2" w:rsidRPr="00765FBF">
        <w:rPr>
          <w:rFonts w:ascii="Aptos" w:hAnsi="Aptos" w:cs="Times New Roman"/>
        </w:rPr>
        <w:t>incorrect e</w:t>
      </w:r>
      <w:r w:rsidR="00C8531F" w:rsidRPr="00765FBF">
        <w:rPr>
          <w:rFonts w:ascii="Aptos" w:hAnsi="Aptos" w:cs="Times New Roman"/>
        </w:rPr>
        <w:t>-</w:t>
      </w:r>
      <w:r w:rsidR="00E139B2" w:rsidRPr="00765FBF">
        <w:rPr>
          <w:rFonts w:ascii="Aptos" w:hAnsi="Aptos" w:cs="Times New Roman"/>
        </w:rPr>
        <w:t>mail address had been provided on the notices for the submission of</w:t>
      </w:r>
      <w:r w:rsidR="00C8531F" w:rsidRPr="00765FBF">
        <w:rPr>
          <w:rFonts w:ascii="Aptos" w:hAnsi="Aptos" w:cs="Times New Roman"/>
        </w:rPr>
        <w:t xml:space="preserve"> </w:t>
      </w:r>
      <w:r w:rsidR="00E139B2" w:rsidRPr="00765FBF">
        <w:rPr>
          <w:rFonts w:ascii="Aptos" w:hAnsi="Aptos" w:cs="Times New Roman"/>
        </w:rPr>
        <w:t>objections. The Council e</w:t>
      </w:r>
      <w:r w:rsidR="00C8531F" w:rsidRPr="00765FBF">
        <w:rPr>
          <w:rFonts w:ascii="Aptos" w:hAnsi="Aptos" w:cs="Times New Roman"/>
        </w:rPr>
        <w:t>-</w:t>
      </w:r>
      <w:r w:rsidR="00E139B2" w:rsidRPr="00765FBF">
        <w:rPr>
          <w:rFonts w:ascii="Aptos" w:hAnsi="Aptos" w:cs="Times New Roman"/>
        </w:rPr>
        <w:t>mailed all affected parties to inform them and provided</w:t>
      </w:r>
      <w:r w:rsidR="00C8531F" w:rsidRPr="00765FBF">
        <w:rPr>
          <w:rFonts w:ascii="Aptos" w:hAnsi="Aptos" w:cs="Times New Roman"/>
        </w:rPr>
        <w:t xml:space="preserve"> </w:t>
      </w:r>
      <w:r w:rsidR="00E139B2" w:rsidRPr="00765FBF">
        <w:rPr>
          <w:rFonts w:ascii="Aptos" w:hAnsi="Aptos" w:cs="Times New Roman"/>
        </w:rPr>
        <w:t>a correct e</w:t>
      </w:r>
      <w:r w:rsidR="00C8531F" w:rsidRPr="00765FBF">
        <w:rPr>
          <w:rFonts w:ascii="Aptos" w:hAnsi="Aptos" w:cs="Times New Roman"/>
        </w:rPr>
        <w:t>-</w:t>
      </w:r>
      <w:r w:rsidR="00E139B2" w:rsidRPr="00765FBF">
        <w:rPr>
          <w:rFonts w:ascii="Aptos" w:hAnsi="Aptos" w:cs="Times New Roman"/>
        </w:rPr>
        <w:t>mail address. Further site notices were placed around the area</w:t>
      </w:r>
      <w:r w:rsidR="00C8531F" w:rsidRPr="00765FBF">
        <w:rPr>
          <w:rFonts w:ascii="Aptos" w:hAnsi="Aptos" w:cs="Times New Roman"/>
        </w:rPr>
        <w:t xml:space="preserve"> and the </w:t>
      </w:r>
      <w:r w:rsidR="00E139B2" w:rsidRPr="00765FBF">
        <w:rPr>
          <w:rFonts w:ascii="Aptos" w:hAnsi="Aptos" w:cs="Times New Roman"/>
        </w:rPr>
        <w:t>objection period was extended to 30 June 2023. Copies of the documents were</w:t>
      </w:r>
      <w:r w:rsidR="00C8531F" w:rsidRPr="00765FBF">
        <w:rPr>
          <w:rFonts w:ascii="Aptos" w:hAnsi="Aptos" w:cs="Times New Roman"/>
        </w:rPr>
        <w:t xml:space="preserve"> </w:t>
      </w:r>
      <w:r w:rsidR="00E139B2" w:rsidRPr="00765FBF">
        <w:rPr>
          <w:rFonts w:ascii="Aptos" w:hAnsi="Aptos" w:cs="Times New Roman"/>
        </w:rPr>
        <w:t xml:space="preserve">available within the Council's offices </w:t>
      </w:r>
      <w:proofErr w:type="gramStart"/>
      <w:r w:rsidR="00E139B2" w:rsidRPr="00765FBF">
        <w:rPr>
          <w:rFonts w:ascii="Aptos" w:hAnsi="Aptos" w:cs="Times New Roman"/>
        </w:rPr>
        <w:t>and</w:t>
      </w:r>
      <w:r w:rsidR="00C8531F" w:rsidRPr="00765FBF">
        <w:rPr>
          <w:rFonts w:ascii="Aptos" w:hAnsi="Aptos" w:cs="Times New Roman"/>
        </w:rPr>
        <w:t xml:space="preserve"> also</w:t>
      </w:r>
      <w:proofErr w:type="gramEnd"/>
      <w:r w:rsidR="00C8531F" w:rsidRPr="00765FBF">
        <w:rPr>
          <w:rFonts w:ascii="Aptos" w:hAnsi="Aptos" w:cs="Times New Roman"/>
        </w:rPr>
        <w:t xml:space="preserve"> </w:t>
      </w:r>
      <w:r w:rsidR="00E139B2" w:rsidRPr="00E139B2">
        <w:rPr>
          <w:rFonts w:ascii="Aptos" w:hAnsi="Aptos" w:cs="Times New Roman"/>
        </w:rPr>
        <w:t>online</w:t>
      </w:r>
      <w:r w:rsidR="00765FBF" w:rsidRPr="00765FBF">
        <w:rPr>
          <w:rFonts w:ascii="Aptos" w:hAnsi="Aptos" w:cs="Times New Roman"/>
        </w:rPr>
        <w:t xml:space="preserve">. </w:t>
      </w:r>
      <w:r w:rsidR="00E139B2" w:rsidRPr="00765FBF">
        <w:rPr>
          <w:rFonts w:ascii="Aptos" w:hAnsi="Aptos" w:cs="Times New Roman"/>
        </w:rPr>
        <w:t>The Council is satisfied that the compulsory purchase process has been carried</w:t>
      </w:r>
      <w:r w:rsidR="00765FBF">
        <w:rPr>
          <w:rFonts w:ascii="Aptos" w:hAnsi="Aptos" w:cs="Times New Roman"/>
        </w:rPr>
        <w:t xml:space="preserve"> </w:t>
      </w:r>
      <w:r w:rsidR="00E139B2" w:rsidRPr="00E139B2">
        <w:rPr>
          <w:rFonts w:ascii="Aptos" w:hAnsi="Aptos" w:cs="Times New Roman"/>
        </w:rPr>
        <w:t>out properly and effectively</w:t>
      </w:r>
      <w:r w:rsidR="00765FBF">
        <w:rPr>
          <w:rFonts w:ascii="Aptos" w:hAnsi="Aptos" w:cs="Times New Roman"/>
        </w:rPr>
        <w:t>;</w:t>
      </w:r>
      <w:r w:rsidR="00E139B2" w:rsidRPr="00E139B2">
        <w:rPr>
          <w:rFonts w:ascii="Aptos" w:hAnsi="Aptos" w:cs="Times New Roman"/>
        </w:rPr>
        <w:t xml:space="preserve"> and that all affected parties have had a reasonable</w:t>
      </w:r>
      <w:r w:rsidR="00765FBF">
        <w:rPr>
          <w:rFonts w:ascii="Aptos" w:hAnsi="Aptos" w:cs="Times New Roman"/>
        </w:rPr>
        <w:t xml:space="preserve"> </w:t>
      </w:r>
      <w:r w:rsidR="00E139B2" w:rsidRPr="00765FBF">
        <w:rPr>
          <w:rFonts w:ascii="Aptos" w:hAnsi="Aptos" w:cs="Times New Roman"/>
        </w:rPr>
        <w:t>time to consider the impact on them or their property and to make an objection if</w:t>
      </w:r>
      <w:r w:rsidR="00765FBF">
        <w:rPr>
          <w:rFonts w:ascii="Aptos" w:hAnsi="Aptos" w:cs="Times New Roman"/>
        </w:rPr>
        <w:t xml:space="preserve"> they so wished.</w:t>
      </w:r>
    </w:p>
    <w:p w14:paraId="1DB5FE2D" w14:textId="77777777" w:rsidR="00E139B2" w:rsidRPr="0054333A" w:rsidRDefault="00E139B2" w:rsidP="00D21EC6">
      <w:pPr>
        <w:pStyle w:val="ListParagraph"/>
        <w:spacing w:after="0" w:line="360" w:lineRule="auto"/>
        <w:ind w:left="1440"/>
        <w:contextualSpacing w:val="0"/>
        <w:jc w:val="both"/>
        <w:rPr>
          <w:rFonts w:ascii="Aptos" w:hAnsi="Aptos" w:cs="Times New Roman"/>
        </w:rPr>
      </w:pPr>
    </w:p>
    <w:p w14:paraId="20791CEE" w14:textId="4790BD5D" w:rsidR="002814F0" w:rsidRPr="0029115C" w:rsidRDefault="00013FBE" w:rsidP="00D21EC6">
      <w:pPr>
        <w:pStyle w:val="ListParagraph"/>
        <w:numPr>
          <w:ilvl w:val="0"/>
          <w:numId w:val="1"/>
        </w:numPr>
        <w:spacing w:after="0" w:line="360" w:lineRule="auto"/>
        <w:contextualSpacing w:val="0"/>
        <w:jc w:val="both"/>
        <w:rPr>
          <w:rFonts w:ascii="Aptos" w:hAnsi="Aptos" w:cs="Times New Roman"/>
        </w:rPr>
      </w:pPr>
      <w:r>
        <w:rPr>
          <w:rFonts w:ascii="Aptos" w:hAnsi="Aptos"/>
        </w:rPr>
        <w:t xml:space="preserve">Other concerns raised by individuals and not encompassed within the ten “themes” above are addressed in the Council’s written evidence and can be explored during the inquiry. </w:t>
      </w:r>
    </w:p>
    <w:p w14:paraId="5AC20B90" w14:textId="77777777" w:rsidR="0029115C" w:rsidRDefault="0029115C" w:rsidP="00D21EC6">
      <w:pPr>
        <w:spacing w:after="0" w:line="360" w:lineRule="auto"/>
        <w:jc w:val="both"/>
        <w:rPr>
          <w:rFonts w:ascii="Aptos" w:hAnsi="Aptos" w:cs="Times New Roman"/>
        </w:rPr>
      </w:pPr>
    </w:p>
    <w:p w14:paraId="596DFFD6" w14:textId="0E79E4F8" w:rsidR="0029115C" w:rsidRPr="00E57F28" w:rsidRDefault="006618BD" w:rsidP="00D21EC6">
      <w:pPr>
        <w:spacing w:after="0" w:line="360" w:lineRule="auto"/>
        <w:ind w:left="426" w:hanging="426"/>
        <w:jc w:val="both"/>
        <w:rPr>
          <w:rFonts w:ascii="Aptos" w:hAnsi="Aptos" w:cs="Times New Roman"/>
          <w:b/>
          <w:bCs/>
          <w:u w:val="single"/>
        </w:rPr>
      </w:pPr>
      <w:r w:rsidRPr="00E57F28">
        <w:rPr>
          <w:rFonts w:ascii="Aptos" w:hAnsi="Aptos" w:cs="Times New Roman"/>
          <w:b/>
          <w:bCs/>
          <w:u w:val="single"/>
        </w:rPr>
        <w:t>The position under the ECHR</w:t>
      </w:r>
      <w:r w:rsidR="00761A60" w:rsidRPr="00E57F28">
        <w:rPr>
          <w:rFonts w:ascii="Aptos" w:hAnsi="Aptos" w:cs="Times New Roman"/>
          <w:b/>
          <w:bCs/>
          <w:u w:val="single"/>
        </w:rPr>
        <w:t>;</w:t>
      </w:r>
      <w:r w:rsidR="0029115C" w:rsidRPr="00E57F28">
        <w:rPr>
          <w:rFonts w:ascii="Aptos" w:hAnsi="Aptos" w:cs="Times New Roman"/>
          <w:b/>
          <w:bCs/>
          <w:u w:val="single"/>
        </w:rPr>
        <w:t xml:space="preserve"> and the </w:t>
      </w:r>
      <w:r w:rsidR="00761A60" w:rsidRPr="00E57F28">
        <w:rPr>
          <w:rFonts w:ascii="Aptos" w:hAnsi="Aptos" w:cs="Times New Roman"/>
          <w:b/>
          <w:bCs/>
          <w:u w:val="single"/>
        </w:rPr>
        <w:t>p</w:t>
      </w:r>
      <w:r w:rsidR="0029115C" w:rsidRPr="00E57F28">
        <w:rPr>
          <w:rFonts w:ascii="Aptos" w:hAnsi="Aptos" w:cs="Times New Roman"/>
          <w:b/>
          <w:bCs/>
          <w:u w:val="single"/>
        </w:rPr>
        <w:t xml:space="preserve">ublic </w:t>
      </w:r>
      <w:r w:rsidR="00761A60" w:rsidRPr="00E57F28">
        <w:rPr>
          <w:rFonts w:ascii="Aptos" w:hAnsi="Aptos" w:cs="Times New Roman"/>
          <w:b/>
          <w:bCs/>
          <w:u w:val="single"/>
        </w:rPr>
        <w:t>s</w:t>
      </w:r>
      <w:r w:rsidR="0029115C" w:rsidRPr="00E57F28">
        <w:rPr>
          <w:rFonts w:ascii="Aptos" w:hAnsi="Aptos" w:cs="Times New Roman"/>
          <w:b/>
          <w:bCs/>
          <w:u w:val="single"/>
        </w:rPr>
        <w:t xml:space="preserve">ector </w:t>
      </w:r>
      <w:r w:rsidR="00761A60" w:rsidRPr="00E57F28">
        <w:rPr>
          <w:rFonts w:ascii="Aptos" w:hAnsi="Aptos" w:cs="Times New Roman"/>
          <w:b/>
          <w:bCs/>
          <w:u w:val="single"/>
        </w:rPr>
        <w:t>e</w:t>
      </w:r>
      <w:r w:rsidR="0029115C" w:rsidRPr="00E57F28">
        <w:rPr>
          <w:rFonts w:ascii="Aptos" w:hAnsi="Aptos" w:cs="Times New Roman"/>
          <w:b/>
          <w:bCs/>
          <w:u w:val="single"/>
        </w:rPr>
        <w:t xml:space="preserve">quality </w:t>
      </w:r>
      <w:r w:rsidR="00761A60" w:rsidRPr="00E57F28">
        <w:rPr>
          <w:rFonts w:ascii="Aptos" w:hAnsi="Aptos" w:cs="Times New Roman"/>
          <w:b/>
          <w:bCs/>
          <w:u w:val="single"/>
        </w:rPr>
        <w:t>d</w:t>
      </w:r>
      <w:r w:rsidR="0029115C" w:rsidRPr="00E57F28">
        <w:rPr>
          <w:rFonts w:ascii="Aptos" w:hAnsi="Aptos" w:cs="Times New Roman"/>
          <w:b/>
          <w:bCs/>
          <w:u w:val="single"/>
        </w:rPr>
        <w:t xml:space="preserve">uty </w:t>
      </w:r>
    </w:p>
    <w:p w14:paraId="0C26B7F2" w14:textId="145DD6C1" w:rsidR="00C805E6" w:rsidRPr="00E57F28" w:rsidRDefault="00880138" w:rsidP="00D21EC6">
      <w:pPr>
        <w:pStyle w:val="ListParagraph"/>
        <w:numPr>
          <w:ilvl w:val="0"/>
          <w:numId w:val="1"/>
        </w:numPr>
        <w:spacing w:after="0" w:line="360" w:lineRule="auto"/>
        <w:ind w:left="426" w:hanging="426"/>
        <w:contextualSpacing w:val="0"/>
        <w:jc w:val="both"/>
        <w:rPr>
          <w:rFonts w:ascii="Aptos" w:hAnsi="Aptos" w:cs="Times New Roman"/>
        </w:rPr>
      </w:pPr>
      <w:r w:rsidRPr="00E57F28">
        <w:rPr>
          <w:rFonts w:ascii="Aptos" w:hAnsi="Aptos" w:cs="Times New Roman"/>
        </w:rPr>
        <w:t>The Council is satisfied</w:t>
      </w:r>
      <w:r w:rsidR="004859B8" w:rsidRPr="00E57F28">
        <w:rPr>
          <w:rFonts w:ascii="Aptos" w:hAnsi="Aptos"/>
        </w:rPr>
        <w:t xml:space="preserve"> that the purpose</w:t>
      </w:r>
      <w:r w:rsidR="0074590F" w:rsidRPr="00E57F28">
        <w:rPr>
          <w:rFonts w:ascii="Aptos" w:hAnsi="Aptos"/>
        </w:rPr>
        <w:t xml:space="preserve"> </w:t>
      </w:r>
      <w:r w:rsidR="006618BD" w:rsidRPr="00E57F28">
        <w:rPr>
          <w:rFonts w:ascii="Aptos" w:hAnsi="Aptos"/>
        </w:rPr>
        <w:t xml:space="preserve">for which it made the Order justifies interfering with the rights under the ECHR of </w:t>
      </w:r>
      <w:r w:rsidR="004859B8" w:rsidRPr="00E57F28">
        <w:rPr>
          <w:rFonts w:ascii="Aptos" w:hAnsi="Aptos"/>
        </w:rPr>
        <w:t xml:space="preserve">those with an interest in </w:t>
      </w:r>
      <w:r w:rsidR="006618BD" w:rsidRPr="00E57F28">
        <w:rPr>
          <w:rFonts w:ascii="Aptos" w:hAnsi="Aptos"/>
        </w:rPr>
        <w:t>the Order land</w:t>
      </w:r>
      <w:r w:rsidR="0074590F" w:rsidRPr="00E57F28">
        <w:rPr>
          <w:rStyle w:val="FootnoteReference"/>
          <w:rFonts w:ascii="Aptos" w:hAnsi="Aptos"/>
        </w:rPr>
        <w:footnoteReference w:id="31"/>
      </w:r>
      <w:r w:rsidR="00E57F28" w:rsidRPr="00E57F28">
        <w:rPr>
          <w:rFonts w:ascii="Aptos" w:hAnsi="Aptos"/>
        </w:rPr>
        <w:t xml:space="preserve">. </w:t>
      </w:r>
      <w:r w:rsidR="00C805E6" w:rsidRPr="00E57F28">
        <w:rPr>
          <w:rFonts w:ascii="Aptos" w:hAnsi="Aptos" w:cs="Times New Roman"/>
        </w:rPr>
        <w:t xml:space="preserve">To the extent that confirmation of the Order will affect rights under Art. 8 of and Art. 1 of the First Protocol to the </w:t>
      </w:r>
      <w:r w:rsidR="00E57F28">
        <w:rPr>
          <w:rFonts w:ascii="Aptos" w:hAnsi="Aptos" w:cs="Times New Roman"/>
        </w:rPr>
        <w:t>ECHR</w:t>
      </w:r>
      <w:r w:rsidR="00C805E6" w:rsidRPr="00E57F28">
        <w:rPr>
          <w:rFonts w:ascii="Aptos" w:hAnsi="Aptos" w:cs="Times New Roman"/>
        </w:rPr>
        <w:t xml:space="preserve">, any interference with those rights is in accordance with the law, necessary in the public interest and proportionate.  </w:t>
      </w:r>
    </w:p>
    <w:p w14:paraId="236D1108" w14:textId="77777777" w:rsidR="00C805E6" w:rsidRPr="0029115C" w:rsidRDefault="00C805E6" w:rsidP="00D21EC6">
      <w:pPr>
        <w:pStyle w:val="ListParagraph"/>
        <w:spacing w:after="0" w:line="360" w:lineRule="auto"/>
        <w:ind w:left="426"/>
        <w:contextualSpacing w:val="0"/>
        <w:jc w:val="both"/>
        <w:rPr>
          <w:rFonts w:ascii="Aptos" w:hAnsi="Aptos" w:cs="Times New Roman"/>
        </w:rPr>
      </w:pPr>
    </w:p>
    <w:p w14:paraId="21E908BB" w14:textId="4CEF73C6" w:rsidR="00880071" w:rsidRPr="0029115C" w:rsidRDefault="00A84877" w:rsidP="00D21EC6">
      <w:pPr>
        <w:pStyle w:val="ListParagraph"/>
        <w:numPr>
          <w:ilvl w:val="0"/>
          <w:numId w:val="1"/>
        </w:numPr>
        <w:spacing w:after="0" w:line="360" w:lineRule="auto"/>
        <w:ind w:left="426" w:hanging="426"/>
        <w:contextualSpacing w:val="0"/>
        <w:jc w:val="both"/>
        <w:rPr>
          <w:rFonts w:ascii="Aptos" w:hAnsi="Aptos" w:cs="Times New Roman"/>
        </w:rPr>
      </w:pPr>
      <w:r>
        <w:rPr>
          <w:rFonts w:ascii="Aptos" w:hAnsi="Aptos"/>
        </w:rPr>
        <w:t>The Council has complied with its public sector equality duty (“</w:t>
      </w:r>
      <w:r>
        <w:rPr>
          <w:rFonts w:ascii="Aptos" w:hAnsi="Aptos"/>
          <w:b/>
          <w:bCs/>
        </w:rPr>
        <w:t>PSED</w:t>
      </w:r>
      <w:r>
        <w:rPr>
          <w:rFonts w:ascii="Aptos" w:hAnsi="Aptos"/>
        </w:rPr>
        <w:t>”)</w:t>
      </w:r>
      <w:r w:rsidR="00952201">
        <w:rPr>
          <w:rFonts w:ascii="Aptos" w:hAnsi="Aptos"/>
        </w:rPr>
        <w:t xml:space="preserve"> </w:t>
      </w:r>
      <w:r w:rsidR="00761A60">
        <w:rPr>
          <w:rFonts w:ascii="Aptos" w:hAnsi="Aptos"/>
        </w:rPr>
        <w:t>under s. 149 of the Equality Act 20</w:t>
      </w:r>
      <w:r w:rsidR="009024C3">
        <w:rPr>
          <w:rFonts w:ascii="Aptos" w:hAnsi="Aptos"/>
        </w:rPr>
        <w:t>1</w:t>
      </w:r>
      <w:r w:rsidR="00761A60">
        <w:rPr>
          <w:rFonts w:ascii="Aptos" w:hAnsi="Aptos"/>
        </w:rPr>
        <w:t>0</w:t>
      </w:r>
      <w:r w:rsidR="009024C3">
        <w:rPr>
          <w:rStyle w:val="FootnoteReference"/>
          <w:rFonts w:ascii="Aptos" w:hAnsi="Aptos"/>
        </w:rPr>
        <w:footnoteReference w:id="32"/>
      </w:r>
      <w:r w:rsidR="00761A60">
        <w:rPr>
          <w:rFonts w:ascii="Aptos" w:hAnsi="Aptos"/>
        </w:rPr>
        <w:t>: see Section 14 of Mr Bristow’s proof of evidence</w:t>
      </w:r>
      <w:r w:rsidR="00761A60">
        <w:rPr>
          <w:rStyle w:val="FootnoteReference"/>
          <w:rFonts w:ascii="Aptos" w:hAnsi="Aptos"/>
        </w:rPr>
        <w:footnoteReference w:id="33"/>
      </w:r>
      <w:r w:rsidR="00761A60">
        <w:rPr>
          <w:rFonts w:ascii="Aptos" w:hAnsi="Aptos"/>
        </w:rPr>
        <w:t>.</w:t>
      </w:r>
      <w:r w:rsidR="00F61A2B">
        <w:rPr>
          <w:rFonts w:ascii="Aptos" w:hAnsi="Aptos"/>
        </w:rPr>
        <w:t xml:space="preserve"> In particular, the Council’s decision to make the Order was informed by an equality impact assessment</w:t>
      </w:r>
      <w:r w:rsidR="00C55F9C">
        <w:rPr>
          <w:rFonts w:ascii="Aptos" w:hAnsi="Aptos"/>
        </w:rPr>
        <w:t xml:space="preserve"> (“</w:t>
      </w:r>
      <w:proofErr w:type="spellStart"/>
      <w:r w:rsidR="00C55F9C">
        <w:rPr>
          <w:rFonts w:ascii="Aptos" w:hAnsi="Aptos"/>
          <w:b/>
          <w:bCs/>
        </w:rPr>
        <w:t>EqIA</w:t>
      </w:r>
      <w:proofErr w:type="spellEnd"/>
      <w:r w:rsidR="00C55F9C">
        <w:rPr>
          <w:rFonts w:ascii="Aptos" w:hAnsi="Aptos"/>
        </w:rPr>
        <w:t xml:space="preserve">”), which was reported to Full Council at its 21 March 2023 meeting. The </w:t>
      </w:r>
      <w:proofErr w:type="spellStart"/>
      <w:r w:rsidR="00C55F9C">
        <w:rPr>
          <w:rFonts w:ascii="Aptos" w:hAnsi="Aptos"/>
        </w:rPr>
        <w:t>EqIA</w:t>
      </w:r>
      <w:proofErr w:type="spellEnd"/>
      <w:r w:rsidR="00C55F9C">
        <w:rPr>
          <w:rFonts w:ascii="Aptos" w:hAnsi="Aptos"/>
        </w:rPr>
        <w:t xml:space="preserve"> shows that</w:t>
      </w:r>
      <w:r w:rsidR="00CB1E95">
        <w:rPr>
          <w:rFonts w:ascii="Aptos" w:hAnsi="Aptos"/>
        </w:rPr>
        <w:t xml:space="preserve"> delivery of</w:t>
      </w:r>
      <w:r w:rsidR="00C55F9C">
        <w:rPr>
          <w:rFonts w:ascii="Aptos" w:hAnsi="Aptos"/>
        </w:rPr>
        <w:t xml:space="preserve"> the Scheme </w:t>
      </w:r>
      <w:r w:rsidR="00DF3224">
        <w:rPr>
          <w:rFonts w:ascii="Aptos" w:hAnsi="Aptos"/>
        </w:rPr>
        <w:t>will have numerous beneficial impacts</w:t>
      </w:r>
      <w:r w:rsidR="00CB1E95">
        <w:rPr>
          <w:rFonts w:ascii="Aptos" w:hAnsi="Aptos"/>
        </w:rPr>
        <w:t xml:space="preserve"> for individuals </w:t>
      </w:r>
      <w:r w:rsidR="004A6A1F">
        <w:rPr>
          <w:rFonts w:ascii="Aptos" w:hAnsi="Aptos"/>
        </w:rPr>
        <w:t xml:space="preserve">in the local area </w:t>
      </w:r>
      <w:r w:rsidR="00CB1E95">
        <w:rPr>
          <w:rFonts w:ascii="Aptos" w:hAnsi="Aptos"/>
        </w:rPr>
        <w:t>with protected characteristics</w:t>
      </w:r>
      <w:r w:rsidR="004A6A1F">
        <w:rPr>
          <w:rFonts w:ascii="Aptos" w:hAnsi="Aptos"/>
        </w:rPr>
        <w:t>.</w:t>
      </w:r>
    </w:p>
    <w:p w14:paraId="01C99BC6" w14:textId="77777777" w:rsidR="0029115C" w:rsidRPr="00095786" w:rsidRDefault="0029115C" w:rsidP="00D21EC6">
      <w:pPr>
        <w:spacing w:after="0" w:line="360" w:lineRule="auto"/>
        <w:ind w:left="426" w:hanging="426"/>
        <w:jc w:val="both"/>
        <w:rPr>
          <w:rFonts w:ascii="Aptos" w:hAnsi="Aptos" w:cs="Times New Roman"/>
          <w:b/>
          <w:bCs/>
          <w:u w:val="single"/>
        </w:rPr>
      </w:pPr>
    </w:p>
    <w:p w14:paraId="50B6564C" w14:textId="2CB8F760" w:rsidR="002B1AEC" w:rsidRPr="00095786" w:rsidRDefault="002B1AEC" w:rsidP="000F3526">
      <w:pPr>
        <w:spacing w:after="0" w:line="360" w:lineRule="auto"/>
        <w:ind w:left="426" w:hanging="426"/>
        <w:jc w:val="both"/>
        <w:rPr>
          <w:rFonts w:ascii="Aptos" w:hAnsi="Aptos" w:cs="Times New Roman"/>
        </w:rPr>
      </w:pPr>
      <w:r w:rsidRPr="00095786">
        <w:rPr>
          <w:rFonts w:ascii="Aptos" w:hAnsi="Aptos" w:cs="Times New Roman"/>
          <w:b/>
          <w:bCs/>
          <w:u w:val="single"/>
        </w:rPr>
        <w:t>Co</w:t>
      </w:r>
      <w:r w:rsidR="000F3526" w:rsidRPr="00095786">
        <w:rPr>
          <w:rFonts w:ascii="Aptos" w:hAnsi="Aptos" w:cs="Times New Roman"/>
          <w:b/>
          <w:bCs/>
          <w:u w:val="single"/>
        </w:rPr>
        <w:t>nclusion</w:t>
      </w:r>
    </w:p>
    <w:p w14:paraId="1A4D6B52" w14:textId="2F61352D" w:rsidR="00CD2469" w:rsidRPr="00095786" w:rsidRDefault="00095786" w:rsidP="00D21EC6">
      <w:pPr>
        <w:pStyle w:val="ListParagraph"/>
        <w:numPr>
          <w:ilvl w:val="0"/>
          <w:numId w:val="1"/>
        </w:numPr>
        <w:spacing w:after="0" w:line="360" w:lineRule="auto"/>
        <w:ind w:left="426" w:hanging="426"/>
        <w:contextualSpacing w:val="0"/>
        <w:jc w:val="both"/>
        <w:rPr>
          <w:rFonts w:ascii="Aptos" w:hAnsi="Aptos" w:cs="Times New Roman"/>
        </w:rPr>
      </w:pPr>
      <w:r>
        <w:rPr>
          <w:rFonts w:ascii="Aptos" w:hAnsi="Aptos" w:cs="Times New Roman"/>
        </w:rPr>
        <w:t>To conclude</w:t>
      </w:r>
      <w:r w:rsidR="00CD2469" w:rsidRPr="00095786">
        <w:rPr>
          <w:rFonts w:ascii="Aptos" w:hAnsi="Aptos" w:cs="Times New Roman"/>
        </w:rPr>
        <w:t xml:space="preserve">, having regard to the </w:t>
      </w:r>
      <w:r w:rsidR="00C10CD2" w:rsidRPr="00095786">
        <w:rPr>
          <w:rFonts w:ascii="Aptos" w:hAnsi="Aptos" w:cs="Times New Roman"/>
        </w:rPr>
        <w:t>2019 Guidance</w:t>
      </w:r>
      <w:r>
        <w:rPr>
          <w:rStyle w:val="FootnoteReference"/>
          <w:rFonts w:ascii="Aptos" w:hAnsi="Aptos" w:cs="Times New Roman"/>
        </w:rPr>
        <w:footnoteReference w:id="34"/>
      </w:r>
      <w:r w:rsidR="00C10CD2" w:rsidRPr="00095786">
        <w:rPr>
          <w:rFonts w:ascii="Aptos" w:hAnsi="Aptos" w:cs="Times New Roman"/>
        </w:rPr>
        <w:t xml:space="preserve"> the</w:t>
      </w:r>
      <w:r w:rsidRPr="00095786">
        <w:rPr>
          <w:rFonts w:ascii="Aptos" w:hAnsi="Aptos" w:cs="Times New Roman"/>
        </w:rPr>
        <w:t xml:space="preserve"> Council’s evidence establishes that the</w:t>
      </w:r>
      <w:r w:rsidR="00C10CD2" w:rsidRPr="00095786">
        <w:rPr>
          <w:rFonts w:ascii="Aptos" w:hAnsi="Aptos" w:cs="Times New Roman"/>
        </w:rPr>
        <w:t xml:space="preserve">re is a compelling case in the public interest </w:t>
      </w:r>
      <w:r w:rsidRPr="00095786">
        <w:rPr>
          <w:rFonts w:ascii="Aptos" w:hAnsi="Aptos" w:cs="Times New Roman"/>
        </w:rPr>
        <w:t>for confirmation of the Order and the Order should therefore</w:t>
      </w:r>
      <w:r w:rsidR="00CD2469" w:rsidRPr="00095786">
        <w:rPr>
          <w:rFonts w:ascii="Aptos" w:hAnsi="Aptos" w:cs="Times New Roman"/>
        </w:rPr>
        <w:t xml:space="preserve"> be confirmed.</w:t>
      </w:r>
    </w:p>
    <w:p w14:paraId="120E99D2" w14:textId="77777777" w:rsidR="00D945A5" w:rsidRPr="00BC12C4" w:rsidRDefault="00D945A5" w:rsidP="00D945A5">
      <w:pPr>
        <w:pStyle w:val="ListParagraph"/>
        <w:spacing w:line="360" w:lineRule="auto"/>
        <w:jc w:val="both"/>
        <w:rPr>
          <w:rFonts w:ascii="Aptos" w:hAnsi="Aptos" w:cs="Times New Roman"/>
        </w:rPr>
      </w:pPr>
    </w:p>
    <w:p w14:paraId="7C162522" w14:textId="0D9E37BC" w:rsidR="00D945A5" w:rsidRPr="00BC12C4" w:rsidRDefault="00D945A5" w:rsidP="007D0F10">
      <w:pPr>
        <w:spacing w:after="0" w:line="240" w:lineRule="auto"/>
        <w:jc w:val="right"/>
        <w:rPr>
          <w:rFonts w:ascii="Aptos" w:hAnsi="Aptos" w:cs="Times New Roman"/>
        </w:rPr>
      </w:pPr>
      <w:r w:rsidRPr="00BC12C4">
        <w:rPr>
          <w:rFonts w:ascii="Aptos" w:hAnsi="Aptos" w:cs="Times New Roman"/>
        </w:rPr>
        <w:t>HEATHER SARGENT</w:t>
      </w:r>
    </w:p>
    <w:p w14:paraId="3FB327C8" w14:textId="77777777" w:rsidR="007D0F10" w:rsidRPr="00BC12C4" w:rsidRDefault="007D0F10" w:rsidP="007D0F10">
      <w:pPr>
        <w:spacing w:after="0" w:line="240" w:lineRule="auto"/>
        <w:jc w:val="right"/>
        <w:rPr>
          <w:rFonts w:ascii="Aptos" w:hAnsi="Aptos" w:cs="Times New Roman"/>
        </w:rPr>
      </w:pPr>
    </w:p>
    <w:p w14:paraId="26BD7173" w14:textId="16E73A45" w:rsidR="00D945A5" w:rsidRPr="00BC12C4" w:rsidRDefault="00D945A5" w:rsidP="007D0F10">
      <w:pPr>
        <w:spacing w:after="0" w:line="240" w:lineRule="auto"/>
        <w:jc w:val="right"/>
        <w:rPr>
          <w:rFonts w:ascii="Aptos" w:hAnsi="Aptos" w:cs="Times New Roman"/>
        </w:rPr>
      </w:pPr>
      <w:r w:rsidRPr="00BC12C4">
        <w:rPr>
          <w:rFonts w:ascii="Aptos" w:hAnsi="Aptos" w:cs="Times New Roman"/>
        </w:rPr>
        <w:t>Landmark Chambers</w:t>
      </w:r>
    </w:p>
    <w:p w14:paraId="53DF4FED" w14:textId="31B8D79A" w:rsidR="00D945A5" w:rsidRPr="00BC12C4" w:rsidRDefault="00D945A5" w:rsidP="007D0F10">
      <w:pPr>
        <w:spacing w:after="0" w:line="240" w:lineRule="auto"/>
        <w:jc w:val="right"/>
        <w:rPr>
          <w:rFonts w:ascii="Aptos" w:hAnsi="Aptos" w:cs="Times New Roman"/>
        </w:rPr>
      </w:pPr>
      <w:r w:rsidRPr="00BC12C4">
        <w:rPr>
          <w:rFonts w:ascii="Aptos" w:hAnsi="Aptos" w:cs="Times New Roman"/>
        </w:rPr>
        <w:t>180 Fleet Street</w:t>
      </w:r>
    </w:p>
    <w:p w14:paraId="35956074" w14:textId="4B3F59CA" w:rsidR="00D945A5" w:rsidRPr="00BC12C4" w:rsidRDefault="00D945A5" w:rsidP="007D0F10">
      <w:pPr>
        <w:spacing w:after="0" w:line="240" w:lineRule="auto"/>
        <w:jc w:val="right"/>
        <w:rPr>
          <w:rFonts w:ascii="Aptos" w:hAnsi="Aptos" w:cs="Times New Roman"/>
        </w:rPr>
      </w:pPr>
      <w:r w:rsidRPr="00BC12C4">
        <w:rPr>
          <w:rFonts w:ascii="Aptos" w:hAnsi="Aptos" w:cs="Times New Roman"/>
        </w:rPr>
        <w:t>London EC4A 2HG</w:t>
      </w:r>
    </w:p>
    <w:p w14:paraId="357FA09C" w14:textId="77777777" w:rsidR="007D0F10" w:rsidRPr="00BC12C4" w:rsidRDefault="007D0F10" w:rsidP="007D0F10">
      <w:pPr>
        <w:spacing w:after="0" w:line="240" w:lineRule="auto"/>
        <w:jc w:val="right"/>
        <w:rPr>
          <w:rFonts w:ascii="Aptos" w:hAnsi="Aptos" w:cs="Times New Roman"/>
        </w:rPr>
      </w:pPr>
    </w:p>
    <w:p w14:paraId="212D3BFC" w14:textId="5709FEC5" w:rsidR="00D945A5" w:rsidRPr="00BC12C4" w:rsidRDefault="007D0F10" w:rsidP="007D0F10">
      <w:pPr>
        <w:spacing w:after="0" w:line="240" w:lineRule="auto"/>
        <w:jc w:val="right"/>
        <w:rPr>
          <w:rFonts w:ascii="Aptos" w:hAnsi="Aptos" w:cs="Times New Roman"/>
        </w:rPr>
      </w:pPr>
      <w:r w:rsidRPr="00BC12C4">
        <w:rPr>
          <w:rFonts w:ascii="Aptos" w:hAnsi="Aptos" w:cs="Times New Roman"/>
        </w:rPr>
        <w:t>6 August 2024</w:t>
      </w:r>
    </w:p>
    <w:p w14:paraId="2D2434F2" w14:textId="77777777" w:rsidR="00CD2469" w:rsidRPr="00BC12C4" w:rsidRDefault="00CD2469" w:rsidP="00CD2469">
      <w:pPr>
        <w:spacing w:line="360" w:lineRule="auto"/>
        <w:jc w:val="both"/>
        <w:rPr>
          <w:rFonts w:ascii="Aptos" w:hAnsi="Aptos" w:cs="Times New Roman"/>
        </w:rPr>
      </w:pPr>
    </w:p>
    <w:p w14:paraId="079552BE" w14:textId="77777777" w:rsidR="00CD2469" w:rsidRPr="00BC12C4" w:rsidRDefault="00CD2469" w:rsidP="00CD2469">
      <w:pPr>
        <w:spacing w:line="360" w:lineRule="auto"/>
        <w:jc w:val="both"/>
        <w:rPr>
          <w:rFonts w:ascii="Aptos" w:hAnsi="Aptos" w:cs="Times New Roman"/>
        </w:rPr>
      </w:pPr>
    </w:p>
    <w:sectPr w:rsidR="00CD2469" w:rsidRPr="00BC12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9AB8" w14:textId="77777777" w:rsidR="00F4130F" w:rsidRDefault="00F4130F" w:rsidP="001B0C3B">
      <w:pPr>
        <w:spacing w:after="0" w:line="240" w:lineRule="auto"/>
      </w:pPr>
      <w:r>
        <w:separator/>
      </w:r>
    </w:p>
  </w:endnote>
  <w:endnote w:type="continuationSeparator" w:id="0">
    <w:p w14:paraId="4AE7C031" w14:textId="77777777" w:rsidR="00F4130F" w:rsidRDefault="00F4130F" w:rsidP="001B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rPr>
      <w:id w:val="765188840"/>
      <w:docPartObj>
        <w:docPartGallery w:val="Page Numbers (Bottom of Page)"/>
        <w:docPartUnique/>
      </w:docPartObj>
    </w:sdtPr>
    <w:sdtEndPr>
      <w:rPr>
        <w:noProof/>
      </w:rPr>
    </w:sdtEndPr>
    <w:sdtContent>
      <w:p w14:paraId="5FC827C2" w14:textId="361935D3" w:rsidR="001B0C3B" w:rsidRPr="007D0F10" w:rsidRDefault="001B0C3B">
        <w:pPr>
          <w:pStyle w:val="Footer"/>
          <w:jc w:val="center"/>
          <w:rPr>
            <w:rFonts w:ascii="Aptos" w:hAnsi="Aptos"/>
          </w:rPr>
        </w:pPr>
        <w:r w:rsidRPr="007D0F10">
          <w:rPr>
            <w:rFonts w:ascii="Aptos" w:hAnsi="Aptos"/>
          </w:rPr>
          <w:fldChar w:fldCharType="begin"/>
        </w:r>
        <w:r w:rsidRPr="007D0F10">
          <w:rPr>
            <w:rFonts w:ascii="Aptos" w:hAnsi="Aptos"/>
          </w:rPr>
          <w:instrText xml:space="preserve"> PAGE   \* MERGEFORMAT </w:instrText>
        </w:r>
        <w:r w:rsidRPr="007D0F10">
          <w:rPr>
            <w:rFonts w:ascii="Aptos" w:hAnsi="Aptos"/>
          </w:rPr>
          <w:fldChar w:fldCharType="separate"/>
        </w:r>
        <w:r w:rsidRPr="007D0F10">
          <w:rPr>
            <w:rFonts w:ascii="Aptos" w:hAnsi="Aptos"/>
            <w:noProof/>
          </w:rPr>
          <w:t>2</w:t>
        </w:r>
        <w:r w:rsidRPr="007D0F10">
          <w:rPr>
            <w:rFonts w:ascii="Aptos" w:hAnsi="Aptos"/>
            <w:noProof/>
          </w:rPr>
          <w:fldChar w:fldCharType="end"/>
        </w:r>
      </w:p>
    </w:sdtContent>
  </w:sdt>
  <w:p w14:paraId="3A354403" w14:textId="77777777" w:rsidR="001B0C3B" w:rsidRPr="007D0F10" w:rsidRDefault="001B0C3B">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FABB" w14:textId="77777777" w:rsidR="00F4130F" w:rsidRDefault="00F4130F" w:rsidP="001B0C3B">
      <w:pPr>
        <w:spacing w:after="0" w:line="240" w:lineRule="auto"/>
      </w:pPr>
      <w:r>
        <w:separator/>
      </w:r>
    </w:p>
  </w:footnote>
  <w:footnote w:type="continuationSeparator" w:id="0">
    <w:p w14:paraId="37F4BB07" w14:textId="77777777" w:rsidR="00F4130F" w:rsidRDefault="00F4130F" w:rsidP="001B0C3B">
      <w:pPr>
        <w:spacing w:after="0" w:line="240" w:lineRule="auto"/>
      </w:pPr>
      <w:r>
        <w:continuationSeparator/>
      </w:r>
    </w:p>
  </w:footnote>
  <w:footnote w:id="1">
    <w:p w14:paraId="656739AD" w14:textId="5D9E89C4" w:rsidR="00D04DA1" w:rsidRPr="00095786" w:rsidRDefault="00D04DA1"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A.16. </w:t>
      </w:r>
    </w:p>
  </w:footnote>
  <w:footnote w:id="2">
    <w:p w14:paraId="30E6E3A7" w14:textId="04484137" w:rsidR="00B3777C" w:rsidRPr="00095786" w:rsidRDefault="00B3777C"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w:t>
      </w:r>
      <w:r w:rsidR="00E05028" w:rsidRPr="00095786">
        <w:rPr>
          <w:rFonts w:ascii="Aptos" w:hAnsi="Aptos"/>
        </w:rPr>
        <w:t xml:space="preserve">CD A.8 </w:t>
      </w:r>
      <w:r w:rsidR="0042075D" w:rsidRPr="00095786">
        <w:rPr>
          <w:rFonts w:ascii="Aptos" w:hAnsi="Aptos"/>
        </w:rPr>
        <w:t xml:space="preserve">paras. 2 and 12. </w:t>
      </w:r>
    </w:p>
  </w:footnote>
  <w:footnote w:id="3">
    <w:p w14:paraId="031C462A" w14:textId="79547D49" w:rsidR="008E7ED5" w:rsidRPr="00095786" w:rsidRDefault="008E7ED5"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w:t>
      </w:r>
      <w:r w:rsidR="00F863D5" w:rsidRPr="00095786">
        <w:rPr>
          <w:rFonts w:ascii="Aptos" w:hAnsi="Aptos"/>
        </w:rPr>
        <w:t xml:space="preserve"> D.1</w:t>
      </w:r>
      <w:r w:rsidRPr="00095786">
        <w:rPr>
          <w:rFonts w:ascii="Aptos" w:hAnsi="Aptos"/>
        </w:rPr>
        <w:t>.</w:t>
      </w:r>
    </w:p>
  </w:footnote>
  <w:footnote w:id="4">
    <w:p w14:paraId="64744303" w14:textId="4D2F3DC8" w:rsidR="009A6F15" w:rsidRPr="00095786" w:rsidRDefault="009A6F15" w:rsidP="00095786">
      <w:pPr>
        <w:pStyle w:val="FootnoteText"/>
        <w:jc w:val="both"/>
        <w:rPr>
          <w:rFonts w:ascii="Aptos" w:hAnsi="Aptos" w:cstheme="minorHAnsi"/>
        </w:rPr>
      </w:pPr>
      <w:r w:rsidRPr="00095786">
        <w:rPr>
          <w:rStyle w:val="FootnoteReference"/>
          <w:rFonts w:ascii="Aptos" w:hAnsi="Aptos" w:cstheme="minorHAnsi"/>
        </w:rPr>
        <w:footnoteRef/>
      </w:r>
      <w:r w:rsidRPr="00095786">
        <w:rPr>
          <w:rFonts w:ascii="Aptos" w:hAnsi="Aptos" w:cstheme="minorHAnsi"/>
          <w:lang w:val="fr-FR"/>
        </w:rPr>
        <w:t xml:space="preserve"> </w:t>
      </w:r>
      <w:r w:rsidR="00DD6DAA" w:rsidRPr="00095786">
        <w:rPr>
          <w:rFonts w:ascii="Aptos" w:hAnsi="Aptos" w:cstheme="minorHAnsi"/>
          <w:lang w:val="fr-FR"/>
        </w:rPr>
        <w:t>CD A.8 paras.</w:t>
      </w:r>
      <w:r w:rsidRPr="00095786">
        <w:rPr>
          <w:rFonts w:ascii="Aptos" w:hAnsi="Aptos" w:cstheme="minorHAnsi"/>
          <w:lang w:val="fr-FR"/>
        </w:rPr>
        <w:t xml:space="preserve"> </w:t>
      </w:r>
      <w:r w:rsidRPr="00095786">
        <w:rPr>
          <w:rFonts w:ascii="Aptos" w:hAnsi="Aptos" w:cstheme="minorHAnsi"/>
        </w:rPr>
        <w:t xml:space="preserve">13 and 104. </w:t>
      </w:r>
    </w:p>
  </w:footnote>
  <w:footnote w:id="5">
    <w:p w14:paraId="0AC060C2" w14:textId="1601BD1A" w:rsidR="00D10EA4" w:rsidRPr="00095786" w:rsidRDefault="00D10EA4"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The “Scheme” also includes the construction of the access road on the Order Land. </w:t>
      </w:r>
    </w:p>
  </w:footnote>
  <w:footnote w:id="6">
    <w:p w14:paraId="669D6597" w14:textId="58FAE01B" w:rsidR="000F15CB" w:rsidRPr="00095786" w:rsidRDefault="000F15CB"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Martlet is a </w:t>
      </w:r>
      <w:proofErr w:type="gramStart"/>
      <w:r w:rsidRPr="00095786">
        <w:rPr>
          <w:rFonts w:ascii="Aptos" w:hAnsi="Aptos"/>
        </w:rPr>
        <w:t>wholly-owned</w:t>
      </w:r>
      <w:proofErr w:type="gramEnd"/>
      <w:r w:rsidRPr="00095786">
        <w:rPr>
          <w:rFonts w:ascii="Aptos" w:hAnsi="Aptos"/>
        </w:rPr>
        <w:t xml:space="preserve"> subsidiary within the Hyde Group of companies</w:t>
      </w:r>
      <w:r w:rsidR="004332F6" w:rsidRPr="00095786">
        <w:rPr>
          <w:rFonts w:ascii="Aptos" w:hAnsi="Aptos"/>
        </w:rPr>
        <w:t xml:space="preserve"> (“</w:t>
      </w:r>
      <w:r w:rsidR="004332F6" w:rsidRPr="00095786">
        <w:rPr>
          <w:rFonts w:ascii="Aptos" w:hAnsi="Aptos"/>
          <w:b/>
          <w:bCs/>
        </w:rPr>
        <w:t>Hyde</w:t>
      </w:r>
      <w:r w:rsidR="004332F6" w:rsidRPr="00095786">
        <w:rPr>
          <w:rFonts w:ascii="Aptos" w:hAnsi="Aptos"/>
        </w:rPr>
        <w:t>”)</w:t>
      </w:r>
      <w:r w:rsidRPr="00095786">
        <w:rPr>
          <w:rFonts w:ascii="Aptos" w:hAnsi="Aptos"/>
        </w:rPr>
        <w:t xml:space="preserve"> (</w:t>
      </w:r>
      <w:r w:rsidR="008D5349" w:rsidRPr="00095786">
        <w:rPr>
          <w:rFonts w:ascii="Aptos" w:hAnsi="Aptos"/>
        </w:rPr>
        <w:t>CD D.1 para. 3.18)</w:t>
      </w:r>
      <w:r w:rsidRPr="00095786">
        <w:rPr>
          <w:rFonts w:ascii="Aptos" w:hAnsi="Aptos"/>
        </w:rPr>
        <w:t>.</w:t>
      </w:r>
    </w:p>
  </w:footnote>
  <w:footnote w:id="7">
    <w:p w14:paraId="5B3BC56C" w14:textId="732D6F9E" w:rsidR="009A6F15" w:rsidRPr="00095786" w:rsidRDefault="009A6F15" w:rsidP="00095786">
      <w:pPr>
        <w:pStyle w:val="FootnoteText"/>
        <w:jc w:val="both"/>
        <w:rPr>
          <w:rFonts w:ascii="Aptos" w:hAnsi="Aptos" w:cstheme="minorHAnsi"/>
        </w:rPr>
      </w:pPr>
      <w:r w:rsidRPr="00095786">
        <w:rPr>
          <w:rStyle w:val="FootnoteReference"/>
          <w:rFonts w:ascii="Aptos" w:hAnsi="Aptos" w:cstheme="minorHAnsi"/>
        </w:rPr>
        <w:footnoteRef/>
      </w:r>
      <w:r w:rsidRPr="00095786">
        <w:rPr>
          <w:rFonts w:ascii="Aptos" w:hAnsi="Aptos" w:cstheme="minorHAnsi"/>
        </w:rPr>
        <w:t xml:space="preserve"> See CD5.01 (2019 Guidance), para. 106 (first bullet point).</w:t>
      </w:r>
      <w:r w:rsidR="0082493E" w:rsidRPr="00095786">
        <w:rPr>
          <w:rFonts w:ascii="Aptos" w:hAnsi="Aptos" w:cstheme="minorHAnsi"/>
        </w:rPr>
        <w:t xml:space="preserve"> Mr Bristow’s proof of evidence (CD D.1) at Section 8 provides further detail. </w:t>
      </w:r>
    </w:p>
  </w:footnote>
  <w:footnote w:id="8">
    <w:p w14:paraId="2B9AB458" w14:textId="4A743327" w:rsidR="007B5048" w:rsidRPr="00095786" w:rsidRDefault="007B5048"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Appendix 12 to Bristow proof of evidence – CD D.2. </w:t>
      </w:r>
    </w:p>
  </w:footnote>
  <w:footnote w:id="9">
    <w:p w14:paraId="0CECE8EC" w14:textId="59FB9E8D" w:rsidR="00733E16" w:rsidRPr="00095786" w:rsidRDefault="00733E16"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Appendix 14 to Bristow proof of evidence – CD D.2.</w:t>
      </w:r>
    </w:p>
  </w:footnote>
  <w:footnote w:id="10">
    <w:p w14:paraId="366DAF71" w14:textId="6D924D3F" w:rsidR="00290FCD" w:rsidRPr="00095786" w:rsidRDefault="00290FCD"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Appendix 16 to Bristow proof of evidence – CD D.2.</w:t>
      </w:r>
    </w:p>
  </w:footnote>
  <w:footnote w:id="11">
    <w:p w14:paraId="22AD272F" w14:textId="6FBAA601" w:rsidR="00021AC2" w:rsidRPr="00095786" w:rsidRDefault="00021AC2"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Section 3.5, p. 11. </w:t>
      </w:r>
    </w:p>
  </w:footnote>
  <w:footnote w:id="12">
    <w:p w14:paraId="061FB256" w14:textId="616FA3AF" w:rsidR="00480A9B" w:rsidRPr="00095786" w:rsidRDefault="00480A9B"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Given in principle subject to s. 106 obligation. </w:t>
      </w:r>
    </w:p>
  </w:footnote>
  <w:footnote w:id="13">
    <w:p w14:paraId="4C258690" w14:textId="64726068" w:rsidR="009D65D2" w:rsidRPr="00095786" w:rsidRDefault="009D65D2"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Policy 5. </w:t>
      </w:r>
    </w:p>
  </w:footnote>
  <w:footnote w:id="14">
    <w:p w14:paraId="52CD5C2B" w14:textId="3E0AFF95" w:rsidR="002B6E22" w:rsidRPr="00095786" w:rsidRDefault="002B6E22"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A.8 para. 106, bullet point 2. </w:t>
      </w:r>
    </w:p>
  </w:footnote>
  <w:footnote w:id="15">
    <w:p w14:paraId="7ABF2EBC" w14:textId="33E68AD6" w:rsidR="003A00EA" w:rsidRPr="00095786" w:rsidRDefault="003A00EA"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D.1. </w:t>
      </w:r>
    </w:p>
  </w:footnote>
  <w:footnote w:id="16">
    <w:p w14:paraId="7F1C1439" w14:textId="09EB7182" w:rsidR="00A276D8" w:rsidRPr="00095786" w:rsidRDefault="00A276D8"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Bristow proof of evidence (CD D.1) para. 9.9. </w:t>
      </w:r>
    </w:p>
  </w:footnote>
  <w:footnote w:id="17">
    <w:p w14:paraId="54C863A5" w14:textId="77777777" w:rsidR="00184A2C" w:rsidRPr="00095786" w:rsidRDefault="00184A2C"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“Housing and Economic Development Needs Assessment”, undertaken by the Council as part of its Local Plan review. See Bristow proof of evidence (CD D.1) at para. 9.2.</w:t>
      </w:r>
    </w:p>
  </w:footnote>
  <w:footnote w:id="18">
    <w:p w14:paraId="736940F1" w14:textId="0E2B19CF" w:rsidR="00D7649F" w:rsidRPr="00095786" w:rsidRDefault="00D7649F"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w:t>
      </w:r>
      <w:r w:rsidR="002D2C2F" w:rsidRPr="00095786">
        <w:rPr>
          <w:rFonts w:ascii="Aptos" w:hAnsi="Aptos"/>
        </w:rPr>
        <w:t>See Bristow proof of evidence (CD D.1)</w:t>
      </w:r>
      <w:r w:rsidRPr="00095786">
        <w:rPr>
          <w:rFonts w:ascii="Aptos" w:hAnsi="Aptos"/>
          <w:i/>
          <w:iCs/>
        </w:rPr>
        <w:t xml:space="preserve"> </w:t>
      </w:r>
      <w:r w:rsidRPr="00095786">
        <w:rPr>
          <w:rFonts w:ascii="Aptos" w:hAnsi="Aptos"/>
        </w:rPr>
        <w:t xml:space="preserve">para. 9.6. </w:t>
      </w:r>
    </w:p>
  </w:footnote>
  <w:footnote w:id="19">
    <w:p w14:paraId="31FF6FFD" w14:textId="7A7A2D3C" w:rsidR="00B5337A" w:rsidRPr="00095786" w:rsidRDefault="00B5337A"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2019 Guidance (CD A.8) para. 106, third bullet point.</w:t>
      </w:r>
    </w:p>
  </w:footnote>
  <w:footnote w:id="20">
    <w:p w14:paraId="47B957A9" w14:textId="7DC996D3" w:rsidR="00FF5761" w:rsidRPr="00095786" w:rsidRDefault="00FF5761"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D.1 and CD D.</w:t>
      </w:r>
      <w:r w:rsidR="00103F2F" w:rsidRPr="00095786">
        <w:rPr>
          <w:rFonts w:ascii="Aptos" w:hAnsi="Aptos"/>
        </w:rPr>
        <w:t>7</w:t>
      </w:r>
      <w:r w:rsidRPr="00095786">
        <w:rPr>
          <w:rFonts w:ascii="Aptos" w:hAnsi="Aptos"/>
        </w:rPr>
        <w:t xml:space="preserve">, respectively. </w:t>
      </w:r>
    </w:p>
  </w:footnote>
  <w:footnote w:id="21">
    <w:p w14:paraId="638596F3" w14:textId="50033E18" w:rsidR="00D57EA7" w:rsidRPr="00095786" w:rsidRDefault="00D57EA7"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2019 Guidance (CD A.8) at paras. 13 and 106 (</w:t>
      </w:r>
      <w:r w:rsidR="006D4536" w:rsidRPr="00095786">
        <w:rPr>
          <w:rFonts w:ascii="Aptos" w:hAnsi="Aptos"/>
        </w:rPr>
        <w:t xml:space="preserve">fourth bullet point). </w:t>
      </w:r>
    </w:p>
  </w:footnote>
  <w:footnote w:id="22">
    <w:p w14:paraId="05A625CD" w14:textId="3E397AA8" w:rsidR="008253BC" w:rsidRPr="00095786" w:rsidRDefault="008253BC"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D.</w:t>
      </w:r>
      <w:r w:rsidR="00F65E29" w:rsidRPr="00095786">
        <w:rPr>
          <w:rFonts w:ascii="Aptos" w:hAnsi="Aptos"/>
        </w:rPr>
        <w:t xml:space="preserve">7. </w:t>
      </w:r>
    </w:p>
  </w:footnote>
  <w:footnote w:id="23">
    <w:p w14:paraId="1D123311" w14:textId="10313C74" w:rsidR="000654C0" w:rsidRPr="00095786" w:rsidRDefault="000654C0"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A.8, para. 15. </w:t>
      </w:r>
    </w:p>
  </w:footnote>
  <w:footnote w:id="24">
    <w:p w14:paraId="0F4C7D0C" w14:textId="528FE007" w:rsidR="00FF3878" w:rsidRPr="00095786" w:rsidRDefault="00FF3878"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Bristow proof (CD D.1) at para. 12.9. </w:t>
      </w:r>
    </w:p>
  </w:footnote>
  <w:footnote w:id="25">
    <w:p w14:paraId="20737BE7" w14:textId="2165E15B" w:rsidR="00FB7BD9" w:rsidRPr="00095786" w:rsidRDefault="00FB7BD9"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D.1 at paras. 12.11 to 12.14. </w:t>
      </w:r>
    </w:p>
  </w:footnote>
  <w:footnote w:id="26">
    <w:p w14:paraId="78D885EE" w14:textId="11A57482" w:rsidR="00125804" w:rsidRPr="00095786" w:rsidRDefault="00125804"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D.</w:t>
      </w:r>
      <w:r w:rsidR="00E565C9" w:rsidRPr="00095786">
        <w:rPr>
          <w:rFonts w:ascii="Aptos" w:hAnsi="Aptos"/>
        </w:rPr>
        <w:t>4.</w:t>
      </w:r>
    </w:p>
  </w:footnote>
  <w:footnote w:id="27">
    <w:p w14:paraId="7A36CCC3" w14:textId="65775244" w:rsidR="00910262" w:rsidRPr="00095786" w:rsidRDefault="00910262"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See </w:t>
      </w:r>
      <w:r w:rsidR="000973E7" w:rsidRPr="00095786">
        <w:rPr>
          <w:rFonts w:ascii="Aptos" w:hAnsi="Aptos"/>
        </w:rPr>
        <w:t xml:space="preserve">Bristow proof Sections 16 and 17 (CD D.1). </w:t>
      </w:r>
    </w:p>
  </w:footnote>
  <w:footnote w:id="28">
    <w:p w14:paraId="63599C64" w14:textId="64207C4B" w:rsidR="00067D94" w:rsidRPr="00095786" w:rsidRDefault="00067D94"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A.8. </w:t>
      </w:r>
    </w:p>
  </w:footnote>
  <w:footnote w:id="29">
    <w:p w14:paraId="35C40C99" w14:textId="29A7690F" w:rsidR="00CD3C9D" w:rsidRPr="00095786" w:rsidRDefault="00CD3C9D"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A.8. </w:t>
      </w:r>
    </w:p>
  </w:footnote>
  <w:footnote w:id="30">
    <w:p w14:paraId="37250BA0" w14:textId="74AB8B38" w:rsidR="0084555B" w:rsidRPr="00095786" w:rsidRDefault="0084555B"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D.1. </w:t>
      </w:r>
    </w:p>
  </w:footnote>
  <w:footnote w:id="31">
    <w:p w14:paraId="43A42DC3" w14:textId="4F71420E" w:rsidR="0074590F" w:rsidRPr="00095786" w:rsidRDefault="0074590F"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2019 Guidance (CD A.8), paras. 2 and 12. </w:t>
      </w:r>
    </w:p>
  </w:footnote>
  <w:footnote w:id="32">
    <w:p w14:paraId="19394EB8" w14:textId="6BF2D85A" w:rsidR="009024C3" w:rsidRPr="00095786" w:rsidRDefault="009024C3"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2019 Guidance (CD A.8), para. 6. </w:t>
      </w:r>
    </w:p>
  </w:footnote>
  <w:footnote w:id="33">
    <w:p w14:paraId="12F18FDF" w14:textId="4250146E" w:rsidR="00761A60" w:rsidRPr="00095786" w:rsidRDefault="00761A60"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D.1. </w:t>
      </w:r>
    </w:p>
  </w:footnote>
  <w:footnote w:id="34">
    <w:p w14:paraId="3F41CE19" w14:textId="5837AAC0" w:rsidR="00095786" w:rsidRPr="00095786" w:rsidRDefault="00095786" w:rsidP="00095786">
      <w:pPr>
        <w:pStyle w:val="FootnoteText"/>
        <w:jc w:val="both"/>
        <w:rPr>
          <w:rFonts w:ascii="Aptos" w:hAnsi="Aptos"/>
        </w:rPr>
      </w:pPr>
      <w:r w:rsidRPr="00095786">
        <w:rPr>
          <w:rStyle w:val="FootnoteReference"/>
          <w:rFonts w:ascii="Aptos" w:hAnsi="Aptos"/>
        </w:rPr>
        <w:footnoteRef/>
      </w:r>
      <w:r w:rsidRPr="00095786">
        <w:rPr>
          <w:rFonts w:ascii="Aptos" w:hAnsi="Aptos"/>
        </w:rPr>
        <w:t xml:space="preserve"> CD A.8.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1A3"/>
    <w:multiLevelType w:val="hybridMultilevel"/>
    <w:tmpl w:val="90743030"/>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10816"/>
    <w:multiLevelType w:val="hybridMultilevel"/>
    <w:tmpl w:val="9D380E0A"/>
    <w:lvl w:ilvl="0" w:tplc="DC042FE4">
      <w:start w:val="1"/>
      <w:numFmt w:val="decimal"/>
      <w:lvlText w:val="(%1)"/>
      <w:lvlJc w:val="left"/>
      <w:pPr>
        <w:ind w:left="1800" w:hanging="360"/>
      </w:pPr>
      <w:rPr>
        <w:rFonts w:ascii="Times New Roman" w:eastAsiaTheme="minorHAns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E5F31FA"/>
    <w:multiLevelType w:val="hybridMultilevel"/>
    <w:tmpl w:val="07DE51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905672"/>
    <w:multiLevelType w:val="hybridMultilevel"/>
    <w:tmpl w:val="0908C44E"/>
    <w:lvl w:ilvl="0" w:tplc="B532E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850FD"/>
    <w:multiLevelType w:val="hybridMultilevel"/>
    <w:tmpl w:val="2788EE06"/>
    <w:lvl w:ilvl="0" w:tplc="37B6AE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9B36839"/>
    <w:multiLevelType w:val="multilevel"/>
    <w:tmpl w:val="840422E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i w:val="0"/>
        <w:iCs w:val="0"/>
      </w:rPr>
    </w:lvl>
    <w:lvl w:ilvl="3">
      <w:start w:val="1"/>
      <w:numFmt w:val="decimal"/>
      <w:lvlText w:val="%1.%2.%3.%4."/>
      <w:lvlJc w:val="left"/>
      <w:pPr>
        <w:ind w:left="1701" w:hanging="6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D510FD"/>
    <w:multiLevelType w:val="hybridMultilevel"/>
    <w:tmpl w:val="3FEE183C"/>
    <w:lvl w:ilvl="0" w:tplc="FDDEF31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57FD1"/>
    <w:multiLevelType w:val="hybridMultilevel"/>
    <w:tmpl w:val="CB0660D0"/>
    <w:lvl w:ilvl="0" w:tplc="96EA1A1E">
      <w:start w:val="1"/>
      <w:numFmt w:val="decimal"/>
      <w:lvlText w:val="(%1)"/>
      <w:lvlJc w:val="left"/>
      <w:pPr>
        <w:ind w:left="1800" w:hanging="360"/>
      </w:pPr>
      <w:rPr>
        <w:rFonts w:eastAsia="Times New Roman" w:hint="default"/>
        <w:color w:val="00000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DA225CC"/>
    <w:multiLevelType w:val="hybridMultilevel"/>
    <w:tmpl w:val="D494B766"/>
    <w:lvl w:ilvl="0" w:tplc="192898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2888337">
    <w:abstractNumId w:val="0"/>
  </w:num>
  <w:num w:numId="2" w16cid:durableId="656306193">
    <w:abstractNumId w:val="7"/>
  </w:num>
  <w:num w:numId="3" w16cid:durableId="1637753665">
    <w:abstractNumId w:val="4"/>
  </w:num>
  <w:num w:numId="4" w16cid:durableId="780799674">
    <w:abstractNumId w:val="1"/>
  </w:num>
  <w:num w:numId="5" w16cid:durableId="76756727">
    <w:abstractNumId w:val="3"/>
  </w:num>
  <w:num w:numId="6" w16cid:durableId="977302282">
    <w:abstractNumId w:val="8"/>
  </w:num>
  <w:num w:numId="7" w16cid:durableId="282536035">
    <w:abstractNumId w:val="2"/>
  </w:num>
  <w:num w:numId="8" w16cid:durableId="60255669">
    <w:abstractNumId w:val="6"/>
  </w:num>
  <w:num w:numId="9" w16cid:durableId="1896819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3B"/>
    <w:rsid w:val="00013D0A"/>
    <w:rsid w:val="00013FBE"/>
    <w:rsid w:val="00021AC2"/>
    <w:rsid w:val="0004146E"/>
    <w:rsid w:val="00044FD0"/>
    <w:rsid w:val="000450AE"/>
    <w:rsid w:val="0004522E"/>
    <w:rsid w:val="000529B5"/>
    <w:rsid w:val="00054AE7"/>
    <w:rsid w:val="00055772"/>
    <w:rsid w:val="0005755E"/>
    <w:rsid w:val="000654C0"/>
    <w:rsid w:val="00067D94"/>
    <w:rsid w:val="000703FD"/>
    <w:rsid w:val="00072B51"/>
    <w:rsid w:val="0007415D"/>
    <w:rsid w:val="00095786"/>
    <w:rsid w:val="000973E7"/>
    <w:rsid w:val="000B7490"/>
    <w:rsid w:val="000B7AEC"/>
    <w:rsid w:val="000C100C"/>
    <w:rsid w:val="000F15CB"/>
    <w:rsid w:val="000F3526"/>
    <w:rsid w:val="001003A4"/>
    <w:rsid w:val="00103F2F"/>
    <w:rsid w:val="00105385"/>
    <w:rsid w:val="00115514"/>
    <w:rsid w:val="00125804"/>
    <w:rsid w:val="00154D4B"/>
    <w:rsid w:val="00162B80"/>
    <w:rsid w:val="00171E7F"/>
    <w:rsid w:val="001721D8"/>
    <w:rsid w:val="0017510B"/>
    <w:rsid w:val="00177D98"/>
    <w:rsid w:val="00184A2C"/>
    <w:rsid w:val="00187321"/>
    <w:rsid w:val="001B0C3B"/>
    <w:rsid w:val="001C034A"/>
    <w:rsid w:val="001C5327"/>
    <w:rsid w:val="001C7B77"/>
    <w:rsid w:val="001D5F65"/>
    <w:rsid w:val="001E29F3"/>
    <w:rsid w:val="001E5182"/>
    <w:rsid w:val="001E643B"/>
    <w:rsid w:val="001E6DF3"/>
    <w:rsid w:val="001F1219"/>
    <w:rsid w:val="00213C07"/>
    <w:rsid w:val="002144EF"/>
    <w:rsid w:val="00220215"/>
    <w:rsid w:val="00232D56"/>
    <w:rsid w:val="00234766"/>
    <w:rsid w:val="00247923"/>
    <w:rsid w:val="00255BB0"/>
    <w:rsid w:val="00256C4C"/>
    <w:rsid w:val="00261415"/>
    <w:rsid w:val="00272127"/>
    <w:rsid w:val="0027306C"/>
    <w:rsid w:val="00277D82"/>
    <w:rsid w:val="002814F0"/>
    <w:rsid w:val="00290FCD"/>
    <w:rsid w:val="0029115C"/>
    <w:rsid w:val="002B1AEC"/>
    <w:rsid w:val="002B3BD9"/>
    <w:rsid w:val="002B6E22"/>
    <w:rsid w:val="002C285F"/>
    <w:rsid w:val="002D2C2F"/>
    <w:rsid w:val="002D2C55"/>
    <w:rsid w:val="002D4F44"/>
    <w:rsid w:val="00303BA9"/>
    <w:rsid w:val="00343565"/>
    <w:rsid w:val="00350C36"/>
    <w:rsid w:val="003558D1"/>
    <w:rsid w:val="003574E6"/>
    <w:rsid w:val="0036192C"/>
    <w:rsid w:val="00362D45"/>
    <w:rsid w:val="00386FA9"/>
    <w:rsid w:val="003A00EA"/>
    <w:rsid w:val="003A5C9F"/>
    <w:rsid w:val="003A69AC"/>
    <w:rsid w:val="003C185B"/>
    <w:rsid w:val="003C262F"/>
    <w:rsid w:val="003C6060"/>
    <w:rsid w:val="003D46C7"/>
    <w:rsid w:val="003E2287"/>
    <w:rsid w:val="003E54DD"/>
    <w:rsid w:val="003E753C"/>
    <w:rsid w:val="003E761A"/>
    <w:rsid w:val="00410D69"/>
    <w:rsid w:val="0041211A"/>
    <w:rsid w:val="00416629"/>
    <w:rsid w:val="0042075D"/>
    <w:rsid w:val="004332F6"/>
    <w:rsid w:val="0043510A"/>
    <w:rsid w:val="00437273"/>
    <w:rsid w:val="004438D7"/>
    <w:rsid w:val="004555F3"/>
    <w:rsid w:val="0046048A"/>
    <w:rsid w:val="00465D14"/>
    <w:rsid w:val="00476DD8"/>
    <w:rsid w:val="00480A9B"/>
    <w:rsid w:val="004859B8"/>
    <w:rsid w:val="004904FF"/>
    <w:rsid w:val="00491693"/>
    <w:rsid w:val="00492F86"/>
    <w:rsid w:val="004A6A1F"/>
    <w:rsid w:val="004C0B17"/>
    <w:rsid w:val="004E1001"/>
    <w:rsid w:val="004E1E2C"/>
    <w:rsid w:val="004E719C"/>
    <w:rsid w:val="004F0071"/>
    <w:rsid w:val="004F06A4"/>
    <w:rsid w:val="00505990"/>
    <w:rsid w:val="00520924"/>
    <w:rsid w:val="00521547"/>
    <w:rsid w:val="0053048E"/>
    <w:rsid w:val="00540A91"/>
    <w:rsid w:val="0054333A"/>
    <w:rsid w:val="00545118"/>
    <w:rsid w:val="00552BE8"/>
    <w:rsid w:val="005720DD"/>
    <w:rsid w:val="005854C5"/>
    <w:rsid w:val="00586476"/>
    <w:rsid w:val="005B065A"/>
    <w:rsid w:val="005B2EA7"/>
    <w:rsid w:val="005C5CCB"/>
    <w:rsid w:val="00611DCA"/>
    <w:rsid w:val="00633F79"/>
    <w:rsid w:val="00634C2B"/>
    <w:rsid w:val="006426CD"/>
    <w:rsid w:val="006426DF"/>
    <w:rsid w:val="006440E4"/>
    <w:rsid w:val="00646B00"/>
    <w:rsid w:val="00647D7F"/>
    <w:rsid w:val="006618BD"/>
    <w:rsid w:val="00664217"/>
    <w:rsid w:val="006736E0"/>
    <w:rsid w:val="00675FEB"/>
    <w:rsid w:val="00695549"/>
    <w:rsid w:val="006965E5"/>
    <w:rsid w:val="00697729"/>
    <w:rsid w:val="006A5901"/>
    <w:rsid w:val="006B630D"/>
    <w:rsid w:val="006B75AC"/>
    <w:rsid w:val="006C04FE"/>
    <w:rsid w:val="006C2C03"/>
    <w:rsid w:val="006D4536"/>
    <w:rsid w:val="006F00A3"/>
    <w:rsid w:val="007029E1"/>
    <w:rsid w:val="00733E16"/>
    <w:rsid w:val="0074237C"/>
    <w:rsid w:val="0074590F"/>
    <w:rsid w:val="00753D5F"/>
    <w:rsid w:val="007613D8"/>
    <w:rsid w:val="00761A60"/>
    <w:rsid w:val="00765FBF"/>
    <w:rsid w:val="00771762"/>
    <w:rsid w:val="00774681"/>
    <w:rsid w:val="00776C93"/>
    <w:rsid w:val="00781541"/>
    <w:rsid w:val="00783B01"/>
    <w:rsid w:val="0078653A"/>
    <w:rsid w:val="00796C2B"/>
    <w:rsid w:val="007B5048"/>
    <w:rsid w:val="007D0F10"/>
    <w:rsid w:val="007D4675"/>
    <w:rsid w:val="007D5DFA"/>
    <w:rsid w:val="007E6409"/>
    <w:rsid w:val="007E6578"/>
    <w:rsid w:val="007F16D5"/>
    <w:rsid w:val="00806B23"/>
    <w:rsid w:val="0082493E"/>
    <w:rsid w:val="008253BC"/>
    <w:rsid w:val="0083098F"/>
    <w:rsid w:val="00840753"/>
    <w:rsid w:val="0084353B"/>
    <w:rsid w:val="0084555B"/>
    <w:rsid w:val="008457B1"/>
    <w:rsid w:val="00880071"/>
    <w:rsid w:val="00880138"/>
    <w:rsid w:val="00894865"/>
    <w:rsid w:val="008A0F77"/>
    <w:rsid w:val="008A19AC"/>
    <w:rsid w:val="008A204D"/>
    <w:rsid w:val="008B0910"/>
    <w:rsid w:val="008B5264"/>
    <w:rsid w:val="008B7A2D"/>
    <w:rsid w:val="008C3652"/>
    <w:rsid w:val="008D5349"/>
    <w:rsid w:val="008E1FB8"/>
    <w:rsid w:val="008E760B"/>
    <w:rsid w:val="008E7ED5"/>
    <w:rsid w:val="008F04A9"/>
    <w:rsid w:val="009003A0"/>
    <w:rsid w:val="009024C3"/>
    <w:rsid w:val="00910262"/>
    <w:rsid w:val="009148F3"/>
    <w:rsid w:val="009345B9"/>
    <w:rsid w:val="00941B08"/>
    <w:rsid w:val="00952201"/>
    <w:rsid w:val="00955620"/>
    <w:rsid w:val="00962D4E"/>
    <w:rsid w:val="00965491"/>
    <w:rsid w:val="00971C95"/>
    <w:rsid w:val="009739C5"/>
    <w:rsid w:val="00986466"/>
    <w:rsid w:val="009A6F15"/>
    <w:rsid w:val="009A7298"/>
    <w:rsid w:val="009B2640"/>
    <w:rsid w:val="009B6B04"/>
    <w:rsid w:val="009D20BD"/>
    <w:rsid w:val="009D4D96"/>
    <w:rsid w:val="009D65D2"/>
    <w:rsid w:val="009E6B0E"/>
    <w:rsid w:val="009F179F"/>
    <w:rsid w:val="009F76B8"/>
    <w:rsid w:val="00A0176A"/>
    <w:rsid w:val="00A04678"/>
    <w:rsid w:val="00A15E62"/>
    <w:rsid w:val="00A1723A"/>
    <w:rsid w:val="00A212C4"/>
    <w:rsid w:val="00A2354C"/>
    <w:rsid w:val="00A238C7"/>
    <w:rsid w:val="00A276D8"/>
    <w:rsid w:val="00A3414B"/>
    <w:rsid w:val="00A44F44"/>
    <w:rsid w:val="00A54012"/>
    <w:rsid w:val="00A600C9"/>
    <w:rsid w:val="00A64343"/>
    <w:rsid w:val="00A84877"/>
    <w:rsid w:val="00A90120"/>
    <w:rsid w:val="00A916CC"/>
    <w:rsid w:val="00A91CA9"/>
    <w:rsid w:val="00AB39A9"/>
    <w:rsid w:val="00AD0D43"/>
    <w:rsid w:val="00AD67FB"/>
    <w:rsid w:val="00B3777C"/>
    <w:rsid w:val="00B5337A"/>
    <w:rsid w:val="00B87992"/>
    <w:rsid w:val="00BC12C4"/>
    <w:rsid w:val="00BC6225"/>
    <w:rsid w:val="00BC784D"/>
    <w:rsid w:val="00BD149A"/>
    <w:rsid w:val="00BD4308"/>
    <w:rsid w:val="00BF1D5E"/>
    <w:rsid w:val="00C01F93"/>
    <w:rsid w:val="00C054F9"/>
    <w:rsid w:val="00C05ED5"/>
    <w:rsid w:val="00C07004"/>
    <w:rsid w:val="00C10CD2"/>
    <w:rsid w:val="00C11C70"/>
    <w:rsid w:val="00C22B14"/>
    <w:rsid w:val="00C2403F"/>
    <w:rsid w:val="00C301FB"/>
    <w:rsid w:val="00C31A44"/>
    <w:rsid w:val="00C332C3"/>
    <w:rsid w:val="00C55F9C"/>
    <w:rsid w:val="00C566CD"/>
    <w:rsid w:val="00C63724"/>
    <w:rsid w:val="00C641F7"/>
    <w:rsid w:val="00C73DD9"/>
    <w:rsid w:val="00C75B01"/>
    <w:rsid w:val="00C761E5"/>
    <w:rsid w:val="00C766F4"/>
    <w:rsid w:val="00C76902"/>
    <w:rsid w:val="00C805E6"/>
    <w:rsid w:val="00C8531F"/>
    <w:rsid w:val="00CA615E"/>
    <w:rsid w:val="00CA7F7D"/>
    <w:rsid w:val="00CB1E95"/>
    <w:rsid w:val="00CB494D"/>
    <w:rsid w:val="00CB5913"/>
    <w:rsid w:val="00CC00E5"/>
    <w:rsid w:val="00CD2469"/>
    <w:rsid w:val="00CD2948"/>
    <w:rsid w:val="00CD3C9D"/>
    <w:rsid w:val="00CD6458"/>
    <w:rsid w:val="00CE3492"/>
    <w:rsid w:val="00CE7A58"/>
    <w:rsid w:val="00CF1C20"/>
    <w:rsid w:val="00CF37B8"/>
    <w:rsid w:val="00CF3D33"/>
    <w:rsid w:val="00D04DA1"/>
    <w:rsid w:val="00D07D93"/>
    <w:rsid w:val="00D10414"/>
    <w:rsid w:val="00D10EA4"/>
    <w:rsid w:val="00D21EC6"/>
    <w:rsid w:val="00D33197"/>
    <w:rsid w:val="00D44213"/>
    <w:rsid w:val="00D51988"/>
    <w:rsid w:val="00D55064"/>
    <w:rsid w:val="00D57EA7"/>
    <w:rsid w:val="00D60BEB"/>
    <w:rsid w:val="00D65A2B"/>
    <w:rsid w:val="00D663C5"/>
    <w:rsid w:val="00D7649F"/>
    <w:rsid w:val="00D77712"/>
    <w:rsid w:val="00D832A7"/>
    <w:rsid w:val="00D83BBE"/>
    <w:rsid w:val="00D84DE6"/>
    <w:rsid w:val="00D90EE9"/>
    <w:rsid w:val="00D945A5"/>
    <w:rsid w:val="00DA47BD"/>
    <w:rsid w:val="00DB7143"/>
    <w:rsid w:val="00DC3D2F"/>
    <w:rsid w:val="00DC47E6"/>
    <w:rsid w:val="00DC76F1"/>
    <w:rsid w:val="00DD6DAA"/>
    <w:rsid w:val="00DE39BA"/>
    <w:rsid w:val="00DF3224"/>
    <w:rsid w:val="00E05028"/>
    <w:rsid w:val="00E139B2"/>
    <w:rsid w:val="00E22FE3"/>
    <w:rsid w:val="00E27128"/>
    <w:rsid w:val="00E500A0"/>
    <w:rsid w:val="00E565C9"/>
    <w:rsid w:val="00E57F28"/>
    <w:rsid w:val="00E76460"/>
    <w:rsid w:val="00E76FDE"/>
    <w:rsid w:val="00E82CF7"/>
    <w:rsid w:val="00E911FA"/>
    <w:rsid w:val="00E9323D"/>
    <w:rsid w:val="00EA0B08"/>
    <w:rsid w:val="00EB07B4"/>
    <w:rsid w:val="00EB14FD"/>
    <w:rsid w:val="00EC14B9"/>
    <w:rsid w:val="00ED0FA4"/>
    <w:rsid w:val="00ED5E1F"/>
    <w:rsid w:val="00EE223A"/>
    <w:rsid w:val="00F011D1"/>
    <w:rsid w:val="00F0252F"/>
    <w:rsid w:val="00F039A3"/>
    <w:rsid w:val="00F03C2F"/>
    <w:rsid w:val="00F106EC"/>
    <w:rsid w:val="00F1128C"/>
    <w:rsid w:val="00F17984"/>
    <w:rsid w:val="00F25FE5"/>
    <w:rsid w:val="00F344C6"/>
    <w:rsid w:val="00F357CC"/>
    <w:rsid w:val="00F4130F"/>
    <w:rsid w:val="00F562DF"/>
    <w:rsid w:val="00F61A2B"/>
    <w:rsid w:val="00F655E1"/>
    <w:rsid w:val="00F65E29"/>
    <w:rsid w:val="00F65F39"/>
    <w:rsid w:val="00F71B2D"/>
    <w:rsid w:val="00F73B63"/>
    <w:rsid w:val="00F804AC"/>
    <w:rsid w:val="00F843D7"/>
    <w:rsid w:val="00F863D5"/>
    <w:rsid w:val="00FA449D"/>
    <w:rsid w:val="00FA72B0"/>
    <w:rsid w:val="00FB19CD"/>
    <w:rsid w:val="00FB3474"/>
    <w:rsid w:val="00FB4076"/>
    <w:rsid w:val="00FB7BD9"/>
    <w:rsid w:val="00FC549B"/>
    <w:rsid w:val="00FD0E50"/>
    <w:rsid w:val="00FD299C"/>
    <w:rsid w:val="00FE518B"/>
    <w:rsid w:val="00FE5E74"/>
    <w:rsid w:val="00FF3878"/>
    <w:rsid w:val="00FF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9260"/>
  <w15:chartTrackingRefBased/>
  <w15:docId w15:val="{0348D5DF-BC7E-4249-AE85-1AF10F97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F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3B"/>
    <w:pPr>
      <w:ind w:left="720"/>
      <w:contextualSpacing/>
    </w:pPr>
  </w:style>
  <w:style w:type="paragraph" w:styleId="Header">
    <w:name w:val="header"/>
    <w:basedOn w:val="Normal"/>
    <w:link w:val="HeaderChar"/>
    <w:uiPriority w:val="99"/>
    <w:unhideWhenUsed/>
    <w:rsid w:val="001B0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C3B"/>
  </w:style>
  <w:style w:type="paragraph" w:styleId="Footer">
    <w:name w:val="footer"/>
    <w:basedOn w:val="Normal"/>
    <w:link w:val="FooterChar"/>
    <w:uiPriority w:val="99"/>
    <w:unhideWhenUsed/>
    <w:rsid w:val="001B0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C3B"/>
  </w:style>
  <w:style w:type="paragraph" w:styleId="Revision">
    <w:name w:val="Revision"/>
    <w:hidden/>
    <w:uiPriority w:val="99"/>
    <w:semiHidden/>
    <w:rsid w:val="00D832A7"/>
    <w:pPr>
      <w:spacing w:after="0" w:line="240" w:lineRule="auto"/>
    </w:pPr>
  </w:style>
  <w:style w:type="paragraph" w:styleId="FootnoteText">
    <w:name w:val="footnote text"/>
    <w:basedOn w:val="Normal"/>
    <w:link w:val="FootnoteTextChar"/>
    <w:uiPriority w:val="99"/>
    <w:semiHidden/>
    <w:unhideWhenUsed/>
    <w:rsid w:val="00B377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77C"/>
    <w:rPr>
      <w:sz w:val="20"/>
      <w:szCs w:val="20"/>
    </w:rPr>
  </w:style>
  <w:style w:type="character" w:styleId="FootnoteReference">
    <w:name w:val="footnote reference"/>
    <w:basedOn w:val="DefaultParagraphFont"/>
    <w:uiPriority w:val="99"/>
    <w:semiHidden/>
    <w:unhideWhenUsed/>
    <w:rsid w:val="00B3777C"/>
    <w:rPr>
      <w:vertAlign w:val="superscript"/>
    </w:rPr>
  </w:style>
  <w:style w:type="character" w:styleId="CommentReference">
    <w:name w:val="annotation reference"/>
    <w:basedOn w:val="DefaultParagraphFont"/>
    <w:uiPriority w:val="99"/>
    <w:semiHidden/>
    <w:unhideWhenUsed/>
    <w:rsid w:val="00C766F4"/>
    <w:rPr>
      <w:sz w:val="16"/>
      <w:szCs w:val="16"/>
    </w:rPr>
  </w:style>
  <w:style w:type="paragraph" w:styleId="CommentText">
    <w:name w:val="annotation text"/>
    <w:basedOn w:val="Normal"/>
    <w:link w:val="CommentTextChar"/>
    <w:uiPriority w:val="99"/>
    <w:unhideWhenUsed/>
    <w:rsid w:val="00C766F4"/>
    <w:pPr>
      <w:spacing w:line="240" w:lineRule="auto"/>
    </w:pPr>
    <w:rPr>
      <w:sz w:val="20"/>
      <w:szCs w:val="20"/>
    </w:rPr>
  </w:style>
  <w:style w:type="character" w:customStyle="1" w:styleId="CommentTextChar">
    <w:name w:val="Comment Text Char"/>
    <w:basedOn w:val="DefaultParagraphFont"/>
    <w:link w:val="CommentText"/>
    <w:uiPriority w:val="99"/>
    <w:rsid w:val="00C766F4"/>
    <w:rPr>
      <w:sz w:val="20"/>
      <w:szCs w:val="20"/>
    </w:rPr>
  </w:style>
  <w:style w:type="paragraph" w:styleId="CommentSubject">
    <w:name w:val="annotation subject"/>
    <w:basedOn w:val="CommentText"/>
    <w:next w:val="CommentText"/>
    <w:link w:val="CommentSubjectChar"/>
    <w:uiPriority w:val="99"/>
    <w:semiHidden/>
    <w:unhideWhenUsed/>
    <w:rsid w:val="00C766F4"/>
    <w:rPr>
      <w:b/>
      <w:bCs/>
    </w:rPr>
  </w:style>
  <w:style w:type="character" w:customStyle="1" w:styleId="CommentSubjectChar">
    <w:name w:val="Comment Subject Char"/>
    <w:basedOn w:val="CommentTextChar"/>
    <w:link w:val="CommentSubject"/>
    <w:uiPriority w:val="99"/>
    <w:semiHidden/>
    <w:rsid w:val="00C766F4"/>
    <w:rPr>
      <w:b/>
      <w:bCs/>
      <w:sz w:val="20"/>
      <w:szCs w:val="20"/>
    </w:rPr>
  </w:style>
  <w:style w:type="character" w:customStyle="1" w:styleId="Heading1Char">
    <w:name w:val="Heading 1 Char"/>
    <w:basedOn w:val="DefaultParagraphFont"/>
    <w:link w:val="Heading1"/>
    <w:uiPriority w:val="9"/>
    <w:rsid w:val="008A0F7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0040">
      <w:bodyDiv w:val="1"/>
      <w:marLeft w:val="0"/>
      <w:marRight w:val="0"/>
      <w:marTop w:val="0"/>
      <w:marBottom w:val="0"/>
      <w:divBdr>
        <w:top w:val="none" w:sz="0" w:space="0" w:color="auto"/>
        <w:left w:val="none" w:sz="0" w:space="0" w:color="auto"/>
        <w:bottom w:val="none" w:sz="0" w:space="0" w:color="auto"/>
        <w:right w:val="none" w:sz="0" w:space="0" w:color="auto"/>
      </w:divBdr>
    </w:div>
    <w:div w:id="460076876">
      <w:bodyDiv w:val="1"/>
      <w:marLeft w:val="0"/>
      <w:marRight w:val="0"/>
      <w:marTop w:val="0"/>
      <w:marBottom w:val="0"/>
      <w:divBdr>
        <w:top w:val="none" w:sz="0" w:space="0" w:color="auto"/>
        <w:left w:val="none" w:sz="0" w:space="0" w:color="auto"/>
        <w:bottom w:val="none" w:sz="0" w:space="0" w:color="auto"/>
        <w:right w:val="none" w:sz="0" w:space="0" w:color="auto"/>
      </w:divBdr>
    </w:div>
    <w:div w:id="1057820543">
      <w:bodyDiv w:val="1"/>
      <w:marLeft w:val="0"/>
      <w:marRight w:val="0"/>
      <w:marTop w:val="0"/>
      <w:marBottom w:val="0"/>
      <w:divBdr>
        <w:top w:val="none" w:sz="0" w:space="0" w:color="auto"/>
        <w:left w:val="none" w:sz="0" w:space="0" w:color="auto"/>
        <w:bottom w:val="none" w:sz="0" w:space="0" w:color="auto"/>
        <w:right w:val="none" w:sz="0" w:space="0" w:color="auto"/>
      </w:divBdr>
    </w:div>
    <w:div w:id="1312248431">
      <w:bodyDiv w:val="1"/>
      <w:marLeft w:val="0"/>
      <w:marRight w:val="0"/>
      <w:marTop w:val="0"/>
      <w:marBottom w:val="0"/>
      <w:divBdr>
        <w:top w:val="none" w:sz="0" w:space="0" w:color="auto"/>
        <w:left w:val="none" w:sz="0" w:space="0" w:color="auto"/>
        <w:bottom w:val="none" w:sz="0" w:space="0" w:color="auto"/>
        <w:right w:val="none" w:sz="0" w:space="0" w:color="auto"/>
      </w:divBdr>
    </w:div>
    <w:div w:id="19770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D32C-A5BA-4925-95E0-A385A5E6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2717</Words>
  <Characters>15489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Mould KC</dc:creator>
  <cp:keywords/>
  <dc:description/>
  <cp:lastModifiedBy>Louise Williams</cp:lastModifiedBy>
  <cp:revision>2</cp:revision>
  <cp:lastPrinted>2023-11-06T22:14:00Z</cp:lastPrinted>
  <dcterms:created xsi:type="dcterms:W3CDTF">2024-08-06T13:24:00Z</dcterms:created>
  <dcterms:modified xsi:type="dcterms:W3CDTF">2024-08-06T13:24:00Z</dcterms:modified>
</cp:coreProperties>
</file>