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A1DE0" w14:textId="3964B2E0" w:rsidR="009003A0" w:rsidRPr="00BC12C4" w:rsidRDefault="00DC47E6" w:rsidP="009003A0">
      <w:pPr>
        <w:jc w:val="right"/>
        <w:rPr>
          <w:rFonts w:ascii="Aptos" w:hAnsi="Aptos" w:cs="Times New Roman"/>
          <w:b/>
          <w:bCs/>
        </w:rPr>
      </w:pPr>
      <w:r w:rsidRPr="00BC12C4">
        <w:rPr>
          <w:rFonts w:ascii="Aptos" w:hAnsi="Aptos" w:cs="Times New Roman"/>
          <w:b/>
          <w:bCs/>
        </w:rPr>
        <w:t>APP/PCU/CPOPF5540/3326950</w:t>
      </w:r>
    </w:p>
    <w:p w14:paraId="126226C5" w14:textId="77777777" w:rsidR="00DC47E6" w:rsidRPr="00BC12C4" w:rsidRDefault="00DC47E6" w:rsidP="009003A0">
      <w:pPr>
        <w:jc w:val="right"/>
        <w:rPr>
          <w:rFonts w:ascii="Aptos" w:hAnsi="Aptos" w:cs="Times New Roman"/>
          <w:b/>
          <w:bCs/>
        </w:rPr>
      </w:pPr>
    </w:p>
    <w:p w14:paraId="39575EB3" w14:textId="40F0DC24" w:rsidR="00D83BBE" w:rsidRPr="00BC12C4" w:rsidRDefault="00BD4308" w:rsidP="001C5327">
      <w:pPr>
        <w:jc w:val="center"/>
        <w:rPr>
          <w:rFonts w:ascii="Aptos" w:hAnsi="Aptos" w:cs="Times New Roman"/>
          <w:b/>
          <w:bCs/>
        </w:rPr>
      </w:pPr>
      <w:r w:rsidRPr="00BC12C4">
        <w:rPr>
          <w:rFonts w:ascii="Aptos" w:hAnsi="Aptos" w:cs="Times New Roman"/>
          <w:b/>
          <w:bCs/>
        </w:rPr>
        <w:t>CHICHESTER DISTRICT COUNCIL</w:t>
      </w:r>
    </w:p>
    <w:p w14:paraId="4D3F5333" w14:textId="39DE5FB8" w:rsidR="001B0C3B" w:rsidRPr="00BC12C4" w:rsidRDefault="001B0C3B" w:rsidP="004824EE">
      <w:pPr>
        <w:pStyle w:val="Heading1"/>
      </w:pPr>
      <w:r w:rsidRPr="00BC12C4">
        <w:t xml:space="preserve">THE </w:t>
      </w:r>
      <w:r w:rsidR="00BD4308" w:rsidRPr="00BC12C4">
        <w:t>CHICHESTER DISTRICT COUNCIL</w:t>
      </w:r>
      <w:r w:rsidRPr="00BC12C4">
        <w:t xml:space="preserve"> (</w:t>
      </w:r>
      <w:r w:rsidR="00BD4308" w:rsidRPr="00BC12C4">
        <w:t>ACCESS TRACK OFF CROOKED LANE, BIRDHAM) COMPULSORY PURCHASE ORDER 2023</w:t>
      </w:r>
    </w:p>
    <w:p w14:paraId="365C24C6" w14:textId="77777777" w:rsidR="001B0C3B" w:rsidRPr="00BC12C4" w:rsidRDefault="001B0C3B" w:rsidP="001C5327">
      <w:pPr>
        <w:jc w:val="center"/>
        <w:rPr>
          <w:rFonts w:ascii="Aptos" w:hAnsi="Aptos" w:cs="Times New Roman"/>
          <w:b/>
          <w:bCs/>
        </w:rPr>
      </w:pPr>
    </w:p>
    <w:p w14:paraId="59B732B4" w14:textId="121D9C30" w:rsidR="001B0C3B" w:rsidRPr="00BC12C4" w:rsidRDefault="00E458FA" w:rsidP="00E458FA">
      <w:pPr>
        <w:jc w:val="center"/>
        <w:rPr>
          <w:rFonts w:ascii="Aptos" w:hAnsi="Aptos" w:cs="Times New Roman"/>
          <w:b/>
          <w:bCs/>
          <w:u w:val="single"/>
        </w:rPr>
      </w:pPr>
      <w:r>
        <w:rPr>
          <w:rFonts w:ascii="Aptos" w:hAnsi="Aptos" w:cs="Times New Roman"/>
          <w:b/>
          <w:bCs/>
          <w:u w:val="single"/>
        </w:rPr>
        <w:t>CLOSING SUBMISSIONS ON BEHALF OF</w:t>
      </w:r>
      <w:r w:rsidR="001B0C3B" w:rsidRPr="00BC12C4">
        <w:rPr>
          <w:rFonts w:ascii="Aptos" w:hAnsi="Aptos" w:cs="Times New Roman"/>
          <w:b/>
          <w:bCs/>
          <w:u w:val="single"/>
        </w:rPr>
        <w:t xml:space="preserve"> THE ACQUIRING AUTHORITY</w:t>
      </w:r>
    </w:p>
    <w:p w14:paraId="5D0E0868" w14:textId="77777777" w:rsidR="001B0C3B" w:rsidRPr="00BC12C4" w:rsidRDefault="001B0C3B" w:rsidP="001B0C3B">
      <w:pPr>
        <w:rPr>
          <w:rFonts w:ascii="Aptos" w:hAnsi="Aptos" w:cs="Times New Roman"/>
          <w:b/>
          <w:bCs/>
          <w:u w:val="single"/>
        </w:rPr>
      </w:pPr>
    </w:p>
    <w:p w14:paraId="09BE2C15" w14:textId="4C893298" w:rsidR="00410D69" w:rsidRPr="00BC12C4" w:rsidRDefault="00C73DD9" w:rsidP="001B0C3B">
      <w:pPr>
        <w:rPr>
          <w:rFonts w:ascii="Aptos" w:hAnsi="Aptos" w:cs="Times New Roman"/>
          <w:i/>
          <w:iCs/>
        </w:rPr>
      </w:pPr>
      <w:r w:rsidRPr="00BC12C4">
        <w:rPr>
          <w:rFonts w:ascii="Aptos" w:hAnsi="Aptos" w:cs="Times New Roman"/>
          <w:i/>
          <w:iCs/>
        </w:rPr>
        <w:t>Unless otherwise stated, defin</w:t>
      </w:r>
      <w:r w:rsidR="00D04DA1" w:rsidRPr="00BC12C4">
        <w:rPr>
          <w:rFonts w:ascii="Aptos" w:hAnsi="Aptos" w:cs="Times New Roman"/>
          <w:i/>
          <w:iCs/>
        </w:rPr>
        <w:t>ed terms are as used in the Council’s Statement of Case</w:t>
      </w:r>
      <w:r w:rsidR="00D04DA1" w:rsidRPr="00F863D5">
        <w:rPr>
          <w:rStyle w:val="FootnoteReference"/>
          <w:rFonts w:ascii="Aptos" w:hAnsi="Aptos" w:cs="Times New Roman"/>
        </w:rPr>
        <w:footnoteReference w:id="1"/>
      </w:r>
      <w:r w:rsidR="00CA18A1">
        <w:rPr>
          <w:rFonts w:ascii="Aptos" w:hAnsi="Aptos" w:cs="Times New Roman"/>
          <w:i/>
          <w:iCs/>
        </w:rPr>
        <w:t xml:space="preserve"> and in the Council’s opening statement.</w:t>
      </w:r>
    </w:p>
    <w:p w14:paraId="012F0109" w14:textId="77777777" w:rsidR="00D04DA1" w:rsidRPr="00BC12C4" w:rsidRDefault="00D04DA1" w:rsidP="001B0C3B">
      <w:pPr>
        <w:rPr>
          <w:rFonts w:ascii="Aptos" w:hAnsi="Aptos" w:cs="Times New Roman"/>
          <w:i/>
          <w:iCs/>
        </w:rPr>
      </w:pPr>
    </w:p>
    <w:p w14:paraId="10C84FDC" w14:textId="790C11A8" w:rsidR="001B0C3B" w:rsidRPr="008A2623" w:rsidRDefault="00CD6458" w:rsidP="006E064C">
      <w:pPr>
        <w:spacing w:after="0" w:line="480" w:lineRule="auto"/>
        <w:ind w:left="426" w:hanging="426"/>
        <w:jc w:val="both"/>
        <w:rPr>
          <w:rFonts w:ascii="Aptos" w:hAnsi="Aptos" w:cs="Times New Roman"/>
          <w:b/>
          <w:bCs/>
          <w:u w:val="single"/>
        </w:rPr>
      </w:pPr>
      <w:r w:rsidRPr="008A2623">
        <w:rPr>
          <w:rFonts w:ascii="Aptos" w:hAnsi="Aptos" w:cs="Times New Roman"/>
          <w:b/>
          <w:bCs/>
          <w:u w:val="single"/>
        </w:rPr>
        <w:t>Introduction</w:t>
      </w:r>
    </w:p>
    <w:p w14:paraId="4953FAC2" w14:textId="35DA6A6D" w:rsidR="006F7C84" w:rsidRPr="008A2623" w:rsidRDefault="00793E10" w:rsidP="006E064C">
      <w:pPr>
        <w:pStyle w:val="ListParagraph"/>
        <w:numPr>
          <w:ilvl w:val="0"/>
          <w:numId w:val="1"/>
        </w:numPr>
        <w:spacing w:after="0" w:line="480" w:lineRule="auto"/>
        <w:ind w:left="426" w:hanging="426"/>
        <w:contextualSpacing w:val="0"/>
        <w:jc w:val="both"/>
        <w:rPr>
          <w:rFonts w:ascii="Aptos" w:hAnsi="Aptos" w:cs="Times New Roman"/>
        </w:rPr>
      </w:pPr>
      <w:r w:rsidRPr="008A2623">
        <w:rPr>
          <w:rFonts w:ascii="Aptos" w:hAnsi="Aptos" w:cs="Times New Roman"/>
        </w:rPr>
        <w:t>The Order was made</w:t>
      </w:r>
      <w:r w:rsidR="000C48F8" w:rsidRPr="008A2623">
        <w:rPr>
          <w:rFonts w:ascii="Aptos" w:hAnsi="Aptos" w:cs="Times New Roman"/>
        </w:rPr>
        <w:t xml:space="preserve"> by the Council</w:t>
      </w:r>
      <w:r w:rsidRPr="008A2623">
        <w:rPr>
          <w:rFonts w:ascii="Aptos" w:hAnsi="Aptos" w:cs="Times New Roman"/>
        </w:rPr>
        <w:t xml:space="preserve"> under s. 226(1)(a) of the Town and Country Planning Act 1990</w:t>
      </w:r>
      <w:r w:rsidR="000C48F8" w:rsidRPr="008A2623">
        <w:rPr>
          <w:rFonts w:ascii="Aptos" w:hAnsi="Aptos" w:cs="Times New Roman"/>
        </w:rPr>
        <w:t xml:space="preserve"> (“</w:t>
      </w:r>
      <w:r w:rsidR="000C48F8" w:rsidRPr="008A2623">
        <w:rPr>
          <w:rFonts w:ascii="Aptos" w:hAnsi="Aptos" w:cs="Times New Roman"/>
          <w:b/>
          <w:bCs/>
        </w:rPr>
        <w:t>the 1990 Act</w:t>
      </w:r>
      <w:r w:rsidR="000C48F8" w:rsidRPr="008A2623">
        <w:rPr>
          <w:rFonts w:ascii="Aptos" w:hAnsi="Aptos" w:cs="Times New Roman"/>
        </w:rPr>
        <w:t>”)</w:t>
      </w:r>
      <w:r w:rsidR="00D87960" w:rsidRPr="008A2623">
        <w:rPr>
          <w:rFonts w:ascii="Aptos" w:hAnsi="Aptos" w:cs="Times New Roman"/>
        </w:rPr>
        <w:t xml:space="preserve">. Its purpose is </w:t>
      </w:r>
      <w:r w:rsidR="006F7C84" w:rsidRPr="008A2623">
        <w:rPr>
          <w:rFonts w:ascii="Aptos" w:hAnsi="Aptos" w:cstheme="minorHAnsi"/>
        </w:rPr>
        <w:t xml:space="preserve">to acquire the Order Land so that </w:t>
      </w:r>
      <w:r w:rsidR="00E849D4" w:rsidRPr="008A2623">
        <w:rPr>
          <w:rFonts w:ascii="Aptos" w:hAnsi="Aptos" w:cstheme="minorHAnsi"/>
        </w:rPr>
        <w:t>the land</w:t>
      </w:r>
      <w:r w:rsidR="006F7C84" w:rsidRPr="008A2623">
        <w:rPr>
          <w:rFonts w:ascii="Aptos" w:hAnsi="Aptos" w:cstheme="minorHAnsi"/>
        </w:rPr>
        <w:t xml:space="preserve"> can be used to provide a road access from Crooked Lane to the Scheme, the latter being the development of 15 affordable homes on land to the west of the Order Land</w:t>
      </w:r>
      <w:r w:rsidR="006F7C84" w:rsidRPr="008A2623">
        <w:rPr>
          <w:rStyle w:val="FootnoteReference"/>
          <w:rFonts w:ascii="Aptos" w:hAnsi="Aptos" w:cstheme="minorHAnsi"/>
        </w:rPr>
        <w:footnoteReference w:id="2"/>
      </w:r>
      <w:r w:rsidR="006F7C84" w:rsidRPr="008A2623">
        <w:rPr>
          <w:rFonts w:ascii="Aptos" w:hAnsi="Aptos" w:cstheme="minorHAnsi"/>
        </w:rPr>
        <w:t xml:space="preserve"> (“</w:t>
      </w:r>
      <w:r w:rsidR="006F7C84" w:rsidRPr="008A2623">
        <w:rPr>
          <w:rFonts w:ascii="Aptos" w:hAnsi="Aptos" w:cstheme="minorHAnsi"/>
          <w:b/>
          <w:bCs/>
        </w:rPr>
        <w:t>the Housing Site</w:t>
      </w:r>
      <w:r w:rsidR="006F7C84" w:rsidRPr="008A2623">
        <w:rPr>
          <w:rFonts w:ascii="Aptos" w:hAnsi="Aptos" w:cstheme="minorHAnsi"/>
        </w:rPr>
        <w:t>”).</w:t>
      </w:r>
    </w:p>
    <w:p w14:paraId="3DDA126C" w14:textId="77777777" w:rsidR="00546649" w:rsidRPr="008A2623" w:rsidRDefault="00546649" w:rsidP="006E064C">
      <w:pPr>
        <w:pStyle w:val="ListParagraph"/>
        <w:spacing w:after="0" w:line="480" w:lineRule="auto"/>
        <w:ind w:left="993"/>
        <w:contextualSpacing w:val="0"/>
        <w:jc w:val="both"/>
        <w:rPr>
          <w:rFonts w:ascii="Aptos" w:hAnsi="Aptos" w:cs="Times New Roman"/>
          <w:highlight w:val="cyan"/>
        </w:rPr>
      </w:pPr>
    </w:p>
    <w:p w14:paraId="252FBC27" w14:textId="77777777" w:rsidR="00AF0903" w:rsidRPr="008A2623" w:rsidRDefault="00546649" w:rsidP="006E064C">
      <w:pPr>
        <w:pStyle w:val="ListParagraph"/>
        <w:numPr>
          <w:ilvl w:val="0"/>
          <w:numId w:val="1"/>
        </w:numPr>
        <w:spacing w:after="0" w:line="480" w:lineRule="auto"/>
        <w:contextualSpacing w:val="0"/>
        <w:jc w:val="both"/>
        <w:rPr>
          <w:rFonts w:ascii="Aptos" w:hAnsi="Aptos" w:cs="Times New Roman"/>
        </w:rPr>
      </w:pPr>
      <w:r w:rsidRPr="008A2623">
        <w:rPr>
          <w:rFonts w:ascii="Aptos" w:hAnsi="Aptos" w:cs="Times New Roman"/>
        </w:rPr>
        <w:t>The main grounds of objection were</w:t>
      </w:r>
      <w:r w:rsidR="000F458B" w:rsidRPr="008A2623">
        <w:rPr>
          <w:rStyle w:val="FootnoteReference"/>
          <w:rFonts w:ascii="Aptos" w:hAnsi="Aptos"/>
        </w:rPr>
        <w:footnoteReference w:id="3"/>
      </w:r>
      <w:r w:rsidR="00AF0903" w:rsidRPr="008A2623">
        <w:rPr>
          <w:rFonts w:ascii="Aptos" w:hAnsi="Aptos" w:cs="Times New Roman"/>
        </w:rPr>
        <w:t>:</w:t>
      </w:r>
    </w:p>
    <w:p w14:paraId="1DDB483F" w14:textId="77777777" w:rsidR="00AF0903" w:rsidRPr="008A2623" w:rsidRDefault="00AF0903" w:rsidP="006E064C">
      <w:pPr>
        <w:pStyle w:val="ListParagraph"/>
        <w:numPr>
          <w:ilvl w:val="1"/>
          <w:numId w:val="1"/>
        </w:numPr>
        <w:spacing w:after="0" w:line="480" w:lineRule="auto"/>
        <w:ind w:left="993" w:hanging="567"/>
        <w:contextualSpacing w:val="0"/>
        <w:jc w:val="both"/>
        <w:rPr>
          <w:rFonts w:ascii="Aptos" w:hAnsi="Aptos" w:cs="Times New Roman"/>
        </w:rPr>
      </w:pPr>
      <w:r w:rsidRPr="008A2623">
        <w:rPr>
          <w:rFonts w:ascii="Aptos" w:hAnsi="Aptos"/>
        </w:rPr>
        <w:t>Inappropriate access;</w:t>
      </w:r>
    </w:p>
    <w:p w14:paraId="16ED2E20" w14:textId="240F4643" w:rsidR="00AF0903" w:rsidRPr="008A2623" w:rsidRDefault="00AF0903" w:rsidP="006E064C">
      <w:pPr>
        <w:pStyle w:val="ListParagraph"/>
        <w:numPr>
          <w:ilvl w:val="1"/>
          <w:numId w:val="1"/>
        </w:numPr>
        <w:spacing w:after="0" w:line="480" w:lineRule="auto"/>
        <w:ind w:left="993" w:hanging="567"/>
        <w:contextualSpacing w:val="0"/>
        <w:jc w:val="both"/>
        <w:rPr>
          <w:rFonts w:ascii="Aptos" w:hAnsi="Aptos" w:cs="Times New Roman"/>
        </w:rPr>
      </w:pPr>
      <w:r w:rsidRPr="008A2623">
        <w:rPr>
          <w:rFonts w:ascii="Aptos" w:hAnsi="Aptos"/>
        </w:rPr>
        <w:t>Highway safety;</w:t>
      </w:r>
    </w:p>
    <w:p w14:paraId="0AADFF5B" w14:textId="2AA72E9C" w:rsidR="00AF0903" w:rsidRPr="008A2623" w:rsidRDefault="000F458B" w:rsidP="006E064C">
      <w:pPr>
        <w:pStyle w:val="ListParagraph"/>
        <w:numPr>
          <w:ilvl w:val="1"/>
          <w:numId w:val="1"/>
        </w:numPr>
        <w:spacing w:after="0" w:line="480" w:lineRule="auto"/>
        <w:ind w:left="993" w:hanging="567"/>
        <w:contextualSpacing w:val="0"/>
        <w:jc w:val="both"/>
        <w:rPr>
          <w:rFonts w:ascii="Aptos" w:hAnsi="Aptos" w:cs="Times New Roman"/>
        </w:rPr>
      </w:pPr>
      <w:r w:rsidRPr="008A2623">
        <w:rPr>
          <w:rFonts w:ascii="Aptos" w:hAnsi="Aptos" w:cs="Times New Roman"/>
        </w:rPr>
        <w:t>Unsuitable use of Council powers</w:t>
      </w:r>
      <w:r w:rsidR="00DB7027" w:rsidRPr="008A2623">
        <w:rPr>
          <w:rFonts w:ascii="Aptos" w:hAnsi="Aptos" w:cs="Times New Roman"/>
        </w:rPr>
        <w:t>;</w:t>
      </w:r>
    </w:p>
    <w:p w14:paraId="67F00F40" w14:textId="41B9CCD4" w:rsidR="00AF0903" w:rsidRPr="008A2623" w:rsidRDefault="000F458B" w:rsidP="006E064C">
      <w:pPr>
        <w:pStyle w:val="ListParagraph"/>
        <w:numPr>
          <w:ilvl w:val="1"/>
          <w:numId w:val="1"/>
        </w:numPr>
        <w:spacing w:after="0" w:line="480" w:lineRule="auto"/>
        <w:ind w:left="993" w:hanging="567"/>
        <w:contextualSpacing w:val="0"/>
        <w:jc w:val="both"/>
        <w:rPr>
          <w:rFonts w:ascii="Aptos" w:hAnsi="Aptos" w:cs="Times New Roman"/>
        </w:rPr>
      </w:pPr>
      <w:r w:rsidRPr="008A2623">
        <w:rPr>
          <w:rFonts w:ascii="Aptos" w:hAnsi="Aptos" w:cs="Times New Roman"/>
        </w:rPr>
        <w:t>Lack of infrastructure, flooding risk, damage to nature</w:t>
      </w:r>
      <w:r w:rsidR="00DB7027" w:rsidRPr="008A2623">
        <w:rPr>
          <w:rFonts w:ascii="Aptos" w:hAnsi="Aptos" w:cs="Times New Roman"/>
        </w:rPr>
        <w:t>;</w:t>
      </w:r>
      <w:r w:rsidRPr="008A2623">
        <w:rPr>
          <w:rFonts w:ascii="Aptos" w:hAnsi="Aptos" w:cs="Times New Roman"/>
        </w:rPr>
        <w:t xml:space="preserve"> </w:t>
      </w:r>
    </w:p>
    <w:p w14:paraId="34BA509D" w14:textId="57F2A753" w:rsidR="00AF0903" w:rsidRPr="008A2623" w:rsidRDefault="000F458B" w:rsidP="006E064C">
      <w:pPr>
        <w:pStyle w:val="ListParagraph"/>
        <w:numPr>
          <w:ilvl w:val="1"/>
          <w:numId w:val="1"/>
        </w:numPr>
        <w:spacing w:after="0" w:line="480" w:lineRule="auto"/>
        <w:ind w:left="993" w:hanging="567"/>
        <w:contextualSpacing w:val="0"/>
        <w:jc w:val="both"/>
        <w:rPr>
          <w:rFonts w:ascii="Aptos" w:hAnsi="Aptos" w:cs="Times New Roman"/>
        </w:rPr>
      </w:pPr>
      <w:r w:rsidRPr="008A2623">
        <w:rPr>
          <w:rFonts w:ascii="Aptos" w:hAnsi="Aptos" w:cs="Times New Roman"/>
        </w:rPr>
        <w:t>Unsuitable location and/or no need for affordable housing</w:t>
      </w:r>
      <w:r w:rsidR="00DB7027" w:rsidRPr="008A2623">
        <w:rPr>
          <w:rFonts w:ascii="Aptos" w:hAnsi="Aptos" w:cs="Times New Roman"/>
        </w:rPr>
        <w:t>;</w:t>
      </w:r>
      <w:r w:rsidRPr="008A2623">
        <w:rPr>
          <w:rFonts w:ascii="Aptos" w:hAnsi="Aptos" w:cs="Times New Roman"/>
        </w:rPr>
        <w:t xml:space="preserve"> </w:t>
      </w:r>
    </w:p>
    <w:p w14:paraId="4EE505AD" w14:textId="02014677" w:rsidR="00AF0903" w:rsidRPr="008A2623" w:rsidRDefault="000F458B" w:rsidP="006E064C">
      <w:pPr>
        <w:pStyle w:val="ListParagraph"/>
        <w:numPr>
          <w:ilvl w:val="1"/>
          <w:numId w:val="1"/>
        </w:numPr>
        <w:spacing w:after="0" w:line="480" w:lineRule="auto"/>
        <w:ind w:left="993" w:hanging="567"/>
        <w:contextualSpacing w:val="0"/>
        <w:jc w:val="both"/>
        <w:rPr>
          <w:rFonts w:ascii="Aptos" w:hAnsi="Aptos" w:cs="Times New Roman"/>
        </w:rPr>
      </w:pPr>
      <w:r w:rsidRPr="008A2623">
        <w:rPr>
          <w:rFonts w:ascii="Aptos" w:hAnsi="Aptos" w:cs="Times New Roman"/>
        </w:rPr>
        <w:t>Affordable housing not financially viable</w:t>
      </w:r>
      <w:r w:rsidR="00DB7027" w:rsidRPr="008A2623">
        <w:rPr>
          <w:rFonts w:ascii="Aptos" w:hAnsi="Aptos" w:cs="Times New Roman"/>
        </w:rPr>
        <w:t>;</w:t>
      </w:r>
    </w:p>
    <w:p w14:paraId="5BE3DE2F" w14:textId="77B44C88" w:rsidR="00AF0903" w:rsidRPr="008A2623" w:rsidRDefault="000F458B" w:rsidP="006E064C">
      <w:pPr>
        <w:pStyle w:val="ListParagraph"/>
        <w:numPr>
          <w:ilvl w:val="1"/>
          <w:numId w:val="1"/>
        </w:numPr>
        <w:spacing w:after="0" w:line="480" w:lineRule="auto"/>
        <w:ind w:left="993" w:hanging="567"/>
        <w:contextualSpacing w:val="0"/>
        <w:jc w:val="both"/>
        <w:rPr>
          <w:rFonts w:ascii="Aptos" w:hAnsi="Aptos" w:cs="Times New Roman"/>
        </w:rPr>
      </w:pPr>
      <w:r w:rsidRPr="008A2623">
        <w:rPr>
          <w:rFonts w:ascii="Aptos" w:hAnsi="Aptos" w:cs="Times New Roman"/>
        </w:rPr>
        <w:t>Human rights</w:t>
      </w:r>
      <w:r w:rsidR="00DB7027" w:rsidRPr="008A2623">
        <w:rPr>
          <w:rFonts w:ascii="Aptos" w:hAnsi="Aptos" w:cs="Times New Roman"/>
        </w:rPr>
        <w:t>;</w:t>
      </w:r>
    </w:p>
    <w:p w14:paraId="200653A7" w14:textId="74F8FD97" w:rsidR="00AF0903" w:rsidRPr="008A2623" w:rsidRDefault="000F458B" w:rsidP="006E064C">
      <w:pPr>
        <w:pStyle w:val="ListParagraph"/>
        <w:numPr>
          <w:ilvl w:val="1"/>
          <w:numId w:val="1"/>
        </w:numPr>
        <w:spacing w:after="0" w:line="480" w:lineRule="auto"/>
        <w:ind w:left="993" w:hanging="567"/>
        <w:contextualSpacing w:val="0"/>
        <w:jc w:val="both"/>
        <w:rPr>
          <w:rFonts w:ascii="Aptos" w:hAnsi="Aptos" w:cs="Times New Roman"/>
        </w:rPr>
      </w:pPr>
      <w:r w:rsidRPr="008A2623">
        <w:rPr>
          <w:rFonts w:ascii="Aptos" w:hAnsi="Aptos" w:cs="Times New Roman"/>
        </w:rPr>
        <w:lastRenderedPageBreak/>
        <w:t>Error in Planning Permission</w:t>
      </w:r>
      <w:r w:rsidR="00DB7027" w:rsidRPr="008A2623">
        <w:rPr>
          <w:rFonts w:ascii="Aptos" w:hAnsi="Aptos" w:cs="Times New Roman"/>
        </w:rPr>
        <w:t>;</w:t>
      </w:r>
    </w:p>
    <w:p w14:paraId="66F03A0D" w14:textId="77777777" w:rsidR="00DB7027" w:rsidRPr="008A2623" w:rsidRDefault="000F458B" w:rsidP="006E064C">
      <w:pPr>
        <w:pStyle w:val="ListParagraph"/>
        <w:numPr>
          <w:ilvl w:val="1"/>
          <w:numId w:val="1"/>
        </w:numPr>
        <w:spacing w:after="0" w:line="480" w:lineRule="auto"/>
        <w:ind w:left="993" w:hanging="567"/>
        <w:contextualSpacing w:val="0"/>
        <w:jc w:val="both"/>
        <w:rPr>
          <w:rFonts w:ascii="Aptos" w:hAnsi="Aptos" w:cs="Times New Roman"/>
        </w:rPr>
      </w:pPr>
      <w:r w:rsidRPr="008A2623">
        <w:rPr>
          <w:rFonts w:ascii="Aptos" w:hAnsi="Aptos" w:cs="Times New Roman"/>
        </w:rPr>
        <w:t>No well-being benefits</w:t>
      </w:r>
      <w:r w:rsidR="00DB7027" w:rsidRPr="008A2623">
        <w:rPr>
          <w:rFonts w:ascii="Aptos" w:hAnsi="Aptos" w:cs="Times New Roman"/>
        </w:rPr>
        <w:t>; and</w:t>
      </w:r>
      <w:r w:rsidRPr="008A2623">
        <w:rPr>
          <w:rFonts w:ascii="Aptos" w:hAnsi="Aptos" w:cs="Times New Roman"/>
        </w:rPr>
        <w:t xml:space="preserve"> </w:t>
      </w:r>
    </w:p>
    <w:p w14:paraId="0E7F5EE0" w14:textId="6CA6608D" w:rsidR="000F458B" w:rsidRPr="008A2623" w:rsidRDefault="000F458B" w:rsidP="006E064C">
      <w:pPr>
        <w:pStyle w:val="ListParagraph"/>
        <w:numPr>
          <w:ilvl w:val="1"/>
          <w:numId w:val="1"/>
        </w:numPr>
        <w:spacing w:after="0" w:line="480" w:lineRule="auto"/>
        <w:ind w:left="993" w:hanging="567"/>
        <w:contextualSpacing w:val="0"/>
        <w:jc w:val="both"/>
        <w:rPr>
          <w:rFonts w:ascii="Aptos" w:hAnsi="Aptos" w:cs="Times New Roman"/>
        </w:rPr>
      </w:pPr>
      <w:r w:rsidRPr="008A2623">
        <w:rPr>
          <w:rFonts w:ascii="Aptos" w:hAnsi="Aptos" w:cs="Times New Roman"/>
        </w:rPr>
        <w:t>Error in CPO process</w:t>
      </w:r>
      <w:r w:rsidR="00DB7027" w:rsidRPr="008A2623">
        <w:rPr>
          <w:rFonts w:ascii="Aptos" w:hAnsi="Aptos" w:cs="Times New Roman"/>
        </w:rPr>
        <w:t>.</w:t>
      </w:r>
      <w:r w:rsidRPr="008A2623">
        <w:rPr>
          <w:rFonts w:ascii="Aptos" w:hAnsi="Aptos" w:cs="Times New Roman"/>
        </w:rPr>
        <w:t xml:space="preserve"> </w:t>
      </w:r>
    </w:p>
    <w:p w14:paraId="2D2464BB" w14:textId="77777777" w:rsidR="00546649" w:rsidRPr="008A2623" w:rsidRDefault="00546649" w:rsidP="006E064C">
      <w:pPr>
        <w:pStyle w:val="ListParagraph"/>
        <w:spacing w:after="0" w:line="480" w:lineRule="auto"/>
        <w:ind w:left="993"/>
        <w:contextualSpacing w:val="0"/>
        <w:jc w:val="both"/>
        <w:rPr>
          <w:rFonts w:ascii="Aptos" w:hAnsi="Aptos" w:cs="Times New Roman"/>
        </w:rPr>
      </w:pPr>
    </w:p>
    <w:p w14:paraId="3D819E12" w14:textId="362B5F14" w:rsidR="00546649" w:rsidRPr="008A2623" w:rsidRDefault="0069699F" w:rsidP="006E064C">
      <w:pPr>
        <w:pStyle w:val="ListParagraph"/>
        <w:numPr>
          <w:ilvl w:val="0"/>
          <w:numId w:val="1"/>
        </w:numPr>
        <w:spacing w:after="0" w:line="480" w:lineRule="auto"/>
        <w:contextualSpacing w:val="0"/>
        <w:jc w:val="both"/>
        <w:rPr>
          <w:rFonts w:ascii="Aptos" w:hAnsi="Aptos" w:cs="Times New Roman"/>
        </w:rPr>
      </w:pPr>
      <w:r w:rsidRPr="008A2623">
        <w:rPr>
          <w:rFonts w:ascii="Aptos" w:hAnsi="Aptos" w:cs="Times New Roman"/>
        </w:rPr>
        <w:t xml:space="preserve">At the close of the inquiry, the number of remaining objections is the same as when the inquiry opened, i.e. </w:t>
      </w:r>
      <w:r w:rsidR="00766FDA" w:rsidRPr="008A2623">
        <w:rPr>
          <w:rFonts w:ascii="Aptos" w:hAnsi="Aptos" w:cs="Times New Roman"/>
        </w:rPr>
        <w:t>five</w:t>
      </w:r>
      <w:r w:rsidR="00343FD3" w:rsidRPr="008A2623">
        <w:rPr>
          <w:rFonts w:ascii="Aptos" w:hAnsi="Aptos" w:cs="Times New Roman"/>
        </w:rPr>
        <w:t xml:space="preserve"> remaining qualifying objections and </w:t>
      </w:r>
      <w:r w:rsidR="00766FDA" w:rsidRPr="008A2623">
        <w:rPr>
          <w:rFonts w:ascii="Aptos" w:hAnsi="Aptos" w:cs="Times New Roman"/>
        </w:rPr>
        <w:t>21</w:t>
      </w:r>
      <w:r w:rsidR="00343FD3" w:rsidRPr="008A2623">
        <w:rPr>
          <w:rFonts w:ascii="Aptos" w:hAnsi="Aptos" w:cs="Times New Roman"/>
        </w:rPr>
        <w:t xml:space="preserve"> remaining non-qualifying objections. </w:t>
      </w:r>
    </w:p>
    <w:p w14:paraId="3A7DFDDA" w14:textId="77777777" w:rsidR="00236ED3" w:rsidRPr="008A2623" w:rsidRDefault="00236ED3" w:rsidP="006E064C">
      <w:pPr>
        <w:spacing w:after="0" w:line="480" w:lineRule="auto"/>
        <w:jc w:val="both"/>
        <w:rPr>
          <w:rFonts w:ascii="Aptos" w:hAnsi="Aptos" w:cs="Times New Roman"/>
          <w:highlight w:val="cyan"/>
        </w:rPr>
      </w:pPr>
    </w:p>
    <w:p w14:paraId="7724FBB9" w14:textId="48006AD1" w:rsidR="00236ED3" w:rsidRPr="008A2623" w:rsidRDefault="00236ED3" w:rsidP="006E064C">
      <w:pPr>
        <w:spacing w:after="0" w:line="480" w:lineRule="auto"/>
        <w:jc w:val="both"/>
        <w:rPr>
          <w:rFonts w:ascii="Aptos" w:hAnsi="Aptos" w:cs="Times New Roman"/>
          <w:b/>
          <w:bCs/>
          <w:u w:val="single"/>
        </w:rPr>
      </w:pPr>
      <w:r w:rsidRPr="008A2623">
        <w:rPr>
          <w:rFonts w:ascii="Aptos" w:hAnsi="Aptos" w:cs="Times New Roman"/>
          <w:b/>
          <w:bCs/>
          <w:u w:val="single"/>
        </w:rPr>
        <w:t xml:space="preserve">Procedural matters and statutory formalities </w:t>
      </w:r>
    </w:p>
    <w:p w14:paraId="37BC6241" w14:textId="196963F0" w:rsidR="005B3E9B" w:rsidRPr="008A2623" w:rsidRDefault="00F8594C" w:rsidP="006E064C">
      <w:pPr>
        <w:pStyle w:val="ListParagraph"/>
        <w:numPr>
          <w:ilvl w:val="0"/>
          <w:numId w:val="1"/>
        </w:numPr>
        <w:spacing w:after="0" w:line="480" w:lineRule="auto"/>
        <w:contextualSpacing w:val="0"/>
        <w:jc w:val="both"/>
        <w:rPr>
          <w:rFonts w:ascii="Aptos" w:hAnsi="Aptos" w:cs="Times New Roman"/>
        </w:rPr>
      </w:pPr>
      <w:r w:rsidRPr="008A2623">
        <w:rPr>
          <w:rFonts w:ascii="Aptos" w:hAnsi="Aptos" w:cs="Times New Roman"/>
        </w:rPr>
        <w:t xml:space="preserve">The </w:t>
      </w:r>
      <w:r w:rsidR="0080290A" w:rsidRPr="008A2623">
        <w:rPr>
          <w:rFonts w:ascii="Aptos" w:hAnsi="Aptos" w:cs="Times New Roman"/>
        </w:rPr>
        <w:t>Council is satisfied that the requisite statutory process was followed and that all necessary notices and advertisements were placed. Following the service of notices</w:t>
      </w:r>
      <w:r w:rsidR="00675C4C" w:rsidRPr="008A2623">
        <w:rPr>
          <w:rStyle w:val="FootnoteReference"/>
          <w:rFonts w:ascii="Aptos" w:hAnsi="Aptos" w:cs="Times New Roman"/>
        </w:rPr>
        <w:footnoteReference w:id="4"/>
      </w:r>
      <w:r w:rsidR="0080290A" w:rsidRPr="008A2623">
        <w:rPr>
          <w:rFonts w:ascii="Aptos" w:hAnsi="Aptos" w:cs="Times New Roman"/>
        </w:rPr>
        <w:t xml:space="preserve">, an affected party informed the Council that an incorrect e-mail address had been provided on the notices for the submission of objections. The Council e-mailed all affected parties to inform them and provided a correct e-mail address. Further site notices were placed around the area and the objection period was extended to 30 June 2023. Copies of the documents were available within the Council's offices </w:t>
      </w:r>
      <w:proofErr w:type="gramStart"/>
      <w:r w:rsidR="0080290A" w:rsidRPr="008A2623">
        <w:rPr>
          <w:rFonts w:ascii="Aptos" w:hAnsi="Aptos" w:cs="Times New Roman"/>
        </w:rPr>
        <w:t>and also</w:t>
      </w:r>
      <w:proofErr w:type="gramEnd"/>
      <w:r w:rsidR="0080290A" w:rsidRPr="008A2623">
        <w:rPr>
          <w:rFonts w:ascii="Aptos" w:hAnsi="Aptos" w:cs="Times New Roman"/>
        </w:rPr>
        <w:t xml:space="preserve"> online. </w:t>
      </w:r>
    </w:p>
    <w:p w14:paraId="364FCD02" w14:textId="77777777" w:rsidR="005B3E9B" w:rsidRPr="008A2623" w:rsidRDefault="005B3E9B" w:rsidP="006E064C">
      <w:pPr>
        <w:pStyle w:val="ListParagraph"/>
        <w:spacing w:after="0" w:line="480" w:lineRule="auto"/>
        <w:ind w:left="360"/>
        <w:contextualSpacing w:val="0"/>
        <w:jc w:val="both"/>
        <w:rPr>
          <w:rFonts w:ascii="Aptos" w:hAnsi="Aptos" w:cs="Times New Roman"/>
        </w:rPr>
      </w:pPr>
    </w:p>
    <w:p w14:paraId="57F9F794" w14:textId="1623494B" w:rsidR="00135899" w:rsidRDefault="001D48FF" w:rsidP="006E064C">
      <w:pPr>
        <w:pStyle w:val="ListParagraph"/>
        <w:numPr>
          <w:ilvl w:val="0"/>
          <w:numId w:val="1"/>
        </w:numPr>
        <w:spacing w:after="0" w:line="480" w:lineRule="auto"/>
        <w:contextualSpacing w:val="0"/>
        <w:jc w:val="both"/>
        <w:rPr>
          <w:rFonts w:ascii="Aptos" w:hAnsi="Aptos" w:cs="Times New Roman"/>
        </w:rPr>
      </w:pPr>
      <w:r w:rsidRPr="008A2623">
        <w:rPr>
          <w:rFonts w:ascii="Aptos" w:hAnsi="Aptos" w:cs="Times New Roman"/>
        </w:rPr>
        <w:t xml:space="preserve">At the inquiry, Mr </w:t>
      </w:r>
      <w:proofErr w:type="spellStart"/>
      <w:r w:rsidRPr="008A2623">
        <w:rPr>
          <w:rFonts w:ascii="Aptos" w:hAnsi="Aptos" w:cs="Times New Roman"/>
        </w:rPr>
        <w:t>Corkett</w:t>
      </w:r>
      <w:proofErr w:type="spellEnd"/>
      <w:r w:rsidRPr="008A2623">
        <w:rPr>
          <w:rFonts w:ascii="Aptos" w:hAnsi="Aptos" w:cs="Times New Roman"/>
        </w:rPr>
        <w:t xml:space="preserve"> queried whether the Order had been properly advertised. That point was duly addressed by the Council in its </w:t>
      </w:r>
      <w:r w:rsidRPr="008A2623">
        <w:rPr>
          <w:rFonts w:ascii="Aptos" w:hAnsi="Aptos" w:cs="Times New Roman"/>
          <w:i/>
          <w:iCs/>
        </w:rPr>
        <w:t xml:space="preserve">Note </w:t>
      </w:r>
      <w:r w:rsidR="00CF4B48" w:rsidRPr="008A2623">
        <w:rPr>
          <w:rFonts w:ascii="Aptos" w:hAnsi="Aptos" w:cs="Times New Roman"/>
          <w:i/>
          <w:iCs/>
        </w:rPr>
        <w:t>[…] Addressing Statutory Provisions in Relation to Compulsory Purchase Orders</w:t>
      </w:r>
      <w:r w:rsidR="00CF4B48" w:rsidRPr="008A2623">
        <w:rPr>
          <w:rFonts w:ascii="Aptos" w:hAnsi="Aptos" w:cs="Times New Roman"/>
        </w:rPr>
        <w:t xml:space="preserve"> (7 August 2024), submitted to the inquiry. </w:t>
      </w:r>
      <w:r w:rsidR="000078FF" w:rsidRPr="008A2623">
        <w:rPr>
          <w:rFonts w:ascii="Aptos" w:hAnsi="Aptos" w:cs="Times New Roman"/>
        </w:rPr>
        <w:t>The short point is that the Council has complied with the requirements of s. 11 of the Acquisition of Land Act 198</w:t>
      </w:r>
      <w:r w:rsidR="00ED330B" w:rsidRPr="008A2623">
        <w:rPr>
          <w:rFonts w:ascii="Aptos" w:hAnsi="Aptos" w:cs="Times New Roman"/>
        </w:rPr>
        <w:t>1</w:t>
      </w:r>
      <w:r w:rsidR="00426D75" w:rsidRPr="008A2623">
        <w:rPr>
          <w:rFonts w:ascii="Aptos" w:hAnsi="Aptos" w:cs="Times New Roman"/>
        </w:rPr>
        <w:t xml:space="preserve"> (“</w:t>
      </w:r>
      <w:r w:rsidR="00426D75" w:rsidRPr="008A2623">
        <w:rPr>
          <w:rFonts w:ascii="Aptos" w:hAnsi="Aptos" w:cs="Times New Roman"/>
          <w:b/>
          <w:bCs/>
        </w:rPr>
        <w:t>the 1981 Act</w:t>
      </w:r>
      <w:r w:rsidR="00426D75" w:rsidRPr="008A2623">
        <w:rPr>
          <w:rFonts w:ascii="Aptos" w:hAnsi="Aptos" w:cs="Times New Roman"/>
        </w:rPr>
        <w:t>”)</w:t>
      </w:r>
      <w:r w:rsidR="00ED330B" w:rsidRPr="008A2623">
        <w:rPr>
          <w:rFonts w:ascii="Aptos" w:hAnsi="Aptos" w:cs="Times New Roman"/>
        </w:rPr>
        <w:t>; the inclusion of an e-mail address was over and above those requirements. Moreover, as Ms Blackman explained</w:t>
      </w:r>
      <w:r w:rsidR="00D33C79" w:rsidRPr="008A2623">
        <w:rPr>
          <w:rFonts w:ascii="Aptos" w:hAnsi="Aptos" w:cs="Times New Roman"/>
        </w:rPr>
        <w:t>, any person who submitted an objection to the e-mail address provided</w:t>
      </w:r>
      <w:r w:rsidR="00135899" w:rsidRPr="008A2623">
        <w:rPr>
          <w:rFonts w:ascii="Aptos" w:hAnsi="Aptos" w:cs="Times New Roman"/>
        </w:rPr>
        <w:t xml:space="preserve"> </w:t>
      </w:r>
      <w:r w:rsidR="00D33C79" w:rsidRPr="008A2623">
        <w:rPr>
          <w:rFonts w:ascii="Aptos" w:hAnsi="Aptos" w:cs="Times New Roman"/>
        </w:rPr>
        <w:t xml:space="preserve">will have received a “non-delivery/failure” notification and will </w:t>
      </w:r>
      <w:r w:rsidR="00D33C79" w:rsidRPr="008A2623">
        <w:rPr>
          <w:rFonts w:ascii="Aptos" w:hAnsi="Aptos" w:cs="Times New Roman"/>
        </w:rPr>
        <w:lastRenderedPageBreak/>
        <w:t>then have had the opportunity to submit an objection to the Department of Levelling Up etc. by post, in the usual way.</w:t>
      </w:r>
    </w:p>
    <w:p w14:paraId="4A809712" w14:textId="77777777" w:rsidR="005C6607" w:rsidRPr="005C6607" w:rsidRDefault="005C6607" w:rsidP="006E064C">
      <w:pPr>
        <w:pStyle w:val="ListParagraph"/>
        <w:spacing w:after="0" w:line="480" w:lineRule="auto"/>
        <w:contextualSpacing w:val="0"/>
        <w:rPr>
          <w:rFonts w:ascii="Aptos" w:hAnsi="Aptos" w:cs="Times New Roman"/>
        </w:rPr>
      </w:pPr>
    </w:p>
    <w:p w14:paraId="3D92F9A9" w14:textId="593A2F22" w:rsidR="005C6607" w:rsidRDefault="0070282D" w:rsidP="006E064C">
      <w:pPr>
        <w:pStyle w:val="ListParagraph"/>
        <w:numPr>
          <w:ilvl w:val="0"/>
          <w:numId w:val="1"/>
        </w:numPr>
        <w:spacing w:after="0" w:line="480" w:lineRule="auto"/>
        <w:contextualSpacing w:val="0"/>
        <w:jc w:val="both"/>
        <w:rPr>
          <w:rFonts w:ascii="Aptos" w:hAnsi="Aptos" w:cs="Times New Roman"/>
        </w:rPr>
      </w:pPr>
      <w:r>
        <w:rPr>
          <w:rFonts w:ascii="Aptos" w:hAnsi="Aptos" w:cs="Times New Roman"/>
        </w:rPr>
        <w:t>A</w:t>
      </w:r>
      <w:r w:rsidR="00E44942">
        <w:rPr>
          <w:rFonts w:ascii="Aptos" w:hAnsi="Aptos" w:cs="Times New Roman"/>
        </w:rPr>
        <w:t>t</w:t>
      </w:r>
      <w:r>
        <w:rPr>
          <w:rFonts w:ascii="Aptos" w:hAnsi="Aptos" w:cs="Times New Roman"/>
        </w:rPr>
        <w:t xml:space="preserve"> the inquiry, </w:t>
      </w:r>
      <w:r w:rsidR="005C6607">
        <w:rPr>
          <w:rFonts w:ascii="Aptos" w:hAnsi="Aptos" w:cs="Times New Roman"/>
        </w:rPr>
        <w:t>Ms (Sally Anne) Evans</w:t>
      </w:r>
      <w:r w:rsidR="005878B6">
        <w:rPr>
          <w:rFonts w:ascii="Aptos" w:hAnsi="Aptos" w:cs="Times New Roman"/>
        </w:rPr>
        <w:t xml:space="preserve"> queried whether the Bishop of Chichester ought to have been </w:t>
      </w:r>
      <w:r w:rsidR="001E0F18">
        <w:rPr>
          <w:rFonts w:ascii="Aptos" w:hAnsi="Aptos" w:cs="Times New Roman"/>
        </w:rPr>
        <w:t xml:space="preserve">personally notified. However, </w:t>
      </w:r>
      <w:r w:rsidR="00123A0C">
        <w:rPr>
          <w:rFonts w:ascii="Aptos" w:hAnsi="Aptos" w:cs="Times New Roman"/>
        </w:rPr>
        <w:t xml:space="preserve">specialist land </w:t>
      </w:r>
      <w:proofErr w:type="spellStart"/>
      <w:r w:rsidR="00123A0C">
        <w:rPr>
          <w:rFonts w:ascii="Aptos" w:hAnsi="Aptos" w:cs="Times New Roman"/>
        </w:rPr>
        <w:t>referencers</w:t>
      </w:r>
      <w:proofErr w:type="spellEnd"/>
      <w:r w:rsidR="00123A0C">
        <w:rPr>
          <w:rFonts w:ascii="Aptos" w:hAnsi="Aptos" w:cs="Times New Roman"/>
        </w:rPr>
        <w:t xml:space="preserve"> did not identify the Bishop as holding any right or interest in the Order Lane.</w:t>
      </w:r>
      <w:r w:rsidR="003C2676">
        <w:rPr>
          <w:rFonts w:ascii="Aptos" w:hAnsi="Aptos" w:cs="Times New Roman"/>
        </w:rPr>
        <w:t xml:space="preserve"> The purpose of the site notice and the press notice is to bring the Order to the attention of parties not so identified (and thus not personally notified). </w:t>
      </w:r>
    </w:p>
    <w:p w14:paraId="18CA3321" w14:textId="77777777" w:rsidR="0070282D" w:rsidRPr="0070282D" w:rsidRDefault="0070282D" w:rsidP="006E064C">
      <w:pPr>
        <w:spacing w:after="0" w:line="480" w:lineRule="auto"/>
        <w:jc w:val="both"/>
        <w:rPr>
          <w:rFonts w:ascii="Aptos" w:hAnsi="Aptos" w:cs="Times New Roman"/>
        </w:rPr>
      </w:pPr>
    </w:p>
    <w:p w14:paraId="7C0EEABB" w14:textId="77777777" w:rsidR="00426D75" w:rsidRPr="008A2623" w:rsidRDefault="0080290A" w:rsidP="006E064C">
      <w:pPr>
        <w:pStyle w:val="ListParagraph"/>
        <w:numPr>
          <w:ilvl w:val="0"/>
          <w:numId w:val="1"/>
        </w:numPr>
        <w:spacing w:after="0" w:line="480" w:lineRule="auto"/>
        <w:contextualSpacing w:val="0"/>
        <w:jc w:val="both"/>
        <w:rPr>
          <w:rFonts w:ascii="Aptos" w:hAnsi="Aptos" w:cs="Times New Roman"/>
        </w:rPr>
      </w:pPr>
      <w:r w:rsidRPr="008A2623">
        <w:rPr>
          <w:rFonts w:ascii="Aptos" w:hAnsi="Aptos" w:cs="Times New Roman"/>
        </w:rPr>
        <w:t>The Council is satisfied that the compulsory purchase process has been carried out properly and effectively; and that all affected parties have had a reasonable time to consider the impact on them or their property and to make an objection if they so wished.</w:t>
      </w:r>
    </w:p>
    <w:p w14:paraId="64DC6795" w14:textId="77777777" w:rsidR="00426D75" w:rsidRPr="008A2623" w:rsidRDefault="00426D75" w:rsidP="006E064C">
      <w:pPr>
        <w:spacing w:after="0" w:line="480" w:lineRule="auto"/>
        <w:jc w:val="both"/>
        <w:rPr>
          <w:rFonts w:ascii="Aptos" w:hAnsi="Aptos" w:cs="Times New Roman"/>
        </w:rPr>
      </w:pPr>
    </w:p>
    <w:p w14:paraId="767EAFAB" w14:textId="5327991F" w:rsidR="00426D75" w:rsidRPr="008A2623" w:rsidRDefault="00426D75" w:rsidP="006E064C">
      <w:pPr>
        <w:spacing w:after="0" w:line="480" w:lineRule="auto"/>
        <w:jc w:val="both"/>
        <w:rPr>
          <w:rFonts w:ascii="Aptos" w:hAnsi="Aptos" w:cs="Times New Roman"/>
          <w:b/>
          <w:bCs/>
          <w:u w:val="single"/>
        </w:rPr>
      </w:pPr>
      <w:r w:rsidRPr="008A2623">
        <w:rPr>
          <w:rFonts w:ascii="Aptos" w:hAnsi="Aptos" w:cs="Times New Roman"/>
          <w:b/>
          <w:bCs/>
          <w:u w:val="single"/>
        </w:rPr>
        <w:t>The Order Land and surroundings</w:t>
      </w:r>
      <w:r w:rsidR="005C4E13" w:rsidRPr="008A2623">
        <w:rPr>
          <w:rStyle w:val="FootnoteReference"/>
          <w:rFonts w:ascii="Aptos" w:hAnsi="Aptos" w:cs="Times New Roman"/>
          <w:b/>
          <w:bCs/>
          <w:u w:val="single"/>
        </w:rPr>
        <w:footnoteReference w:id="5"/>
      </w:r>
    </w:p>
    <w:p w14:paraId="20C420BA" w14:textId="56E05D35" w:rsidR="005C4E13" w:rsidRPr="008A2623" w:rsidRDefault="004651A7" w:rsidP="006E064C">
      <w:pPr>
        <w:pStyle w:val="ListParagraph"/>
        <w:numPr>
          <w:ilvl w:val="0"/>
          <w:numId w:val="1"/>
        </w:numPr>
        <w:spacing w:after="0" w:line="480" w:lineRule="auto"/>
        <w:contextualSpacing w:val="0"/>
        <w:jc w:val="both"/>
        <w:rPr>
          <w:rFonts w:ascii="Aptos" w:hAnsi="Aptos" w:cs="Times New Roman"/>
        </w:rPr>
      </w:pPr>
      <w:r w:rsidRPr="008A2623">
        <w:rPr>
          <w:rFonts w:ascii="Aptos" w:hAnsi="Aptos"/>
        </w:rPr>
        <w:t xml:space="preserve">The Order Land </w:t>
      </w:r>
      <w:r w:rsidR="00231EA9" w:rsidRPr="008A2623">
        <w:rPr>
          <w:rFonts w:ascii="Aptos" w:hAnsi="Aptos"/>
        </w:rPr>
        <w:t>is shown coloured pink on the Order map. It</w:t>
      </w:r>
      <w:r w:rsidR="001A4C01" w:rsidRPr="008A2623">
        <w:rPr>
          <w:rFonts w:ascii="Aptos" w:hAnsi="Aptos"/>
        </w:rPr>
        <w:t xml:space="preserve"> is situated within the administrative area of the Council and</w:t>
      </w:r>
      <w:r w:rsidR="00231EA9" w:rsidRPr="008A2623">
        <w:rPr>
          <w:rFonts w:ascii="Aptos" w:hAnsi="Aptos"/>
        </w:rPr>
        <w:t xml:space="preserve"> </w:t>
      </w:r>
      <w:r w:rsidRPr="008A2623">
        <w:rPr>
          <w:rFonts w:ascii="Aptos" w:hAnsi="Aptos"/>
        </w:rPr>
        <w:t xml:space="preserve">comprises an access track </w:t>
      </w:r>
      <w:r w:rsidR="005C4E13" w:rsidRPr="008A2623">
        <w:rPr>
          <w:rFonts w:ascii="Aptos" w:hAnsi="Aptos"/>
        </w:rPr>
        <w:t>that</w:t>
      </w:r>
      <w:r w:rsidRPr="008A2623">
        <w:rPr>
          <w:rFonts w:ascii="Aptos" w:hAnsi="Aptos"/>
        </w:rPr>
        <w:t xml:space="preserve"> runs between the site boundaries of two properties fronting Crooked Lane, Birdham. The two properties are </w:t>
      </w:r>
      <w:proofErr w:type="spellStart"/>
      <w:r w:rsidRPr="008A2623">
        <w:rPr>
          <w:rFonts w:ascii="Aptos" w:hAnsi="Aptos"/>
        </w:rPr>
        <w:t>Copperfields</w:t>
      </w:r>
      <w:proofErr w:type="spellEnd"/>
      <w:r w:rsidRPr="008A2623">
        <w:rPr>
          <w:rFonts w:ascii="Aptos" w:hAnsi="Aptos"/>
        </w:rPr>
        <w:t xml:space="preserve"> to the north and </w:t>
      </w:r>
      <w:proofErr w:type="spellStart"/>
      <w:r w:rsidRPr="008A2623">
        <w:rPr>
          <w:rFonts w:ascii="Aptos" w:hAnsi="Aptos"/>
        </w:rPr>
        <w:t>Hedgecox</w:t>
      </w:r>
      <w:proofErr w:type="spellEnd"/>
      <w:r w:rsidRPr="008A2623">
        <w:rPr>
          <w:rFonts w:ascii="Aptos" w:hAnsi="Aptos"/>
        </w:rPr>
        <w:t xml:space="preserve"> to the south. The access track sits at a lower level than the adjacent properties. </w:t>
      </w:r>
    </w:p>
    <w:p w14:paraId="68C470C8" w14:textId="77777777" w:rsidR="005C4E13" w:rsidRPr="008A2623" w:rsidRDefault="005C4E13" w:rsidP="006E064C">
      <w:pPr>
        <w:pStyle w:val="ListParagraph"/>
        <w:spacing w:after="0" w:line="480" w:lineRule="auto"/>
        <w:ind w:left="360"/>
        <w:contextualSpacing w:val="0"/>
        <w:jc w:val="both"/>
        <w:rPr>
          <w:rFonts w:ascii="Aptos" w:hAnsi="Aptos" w:cs="Times New Roman"/>
        </w:rPr>
      </w:pPr>
    </w:p>
    <w:p w14:paraId="17D983AA" w14:textId="77777777" w:rsidR="001A4C01" w:rsidRPr="008A2623" w:rsidRDefault="004651A7" w:rsidP="006E064C">
      <w:pPr>
        <w:pStyle w:val="ListParagraph"/>
        <w:numPr>
          <w:ilvl w:val="0"/>
          <w:numId w:val="1"/>
        </w:numPr>
        <w:spacing w:after="0" w:line="480" w:lineRule="auto"/>
        <w:contextualSpacing w:val="0"/>
        <w:jc w:val="both"/>
        <w:rPr>
          <w:rFonts w:ascii="Aptos" w:hAnsi="Aptos" w:cs="Times New Roman"/>
        </w:rPr>
      </w:pPr>
      <w:r w:rsidRPr="008A2623">
        <w:rPr>
          <w:rFonts w:ascii="Aptos" w:hAnsi="Aptos"/>
        </w:rPr>
        <w:t xml:space="preserve">The Order Land extends from a point on the north-eastern boundary of the </w:t>
      </w:r>
      <w:r w:rsidR="00913385" w:rsidRPr="008A2623">
        <w:rPr>
          <w:rFonts w:ascii="Aptos" w:hAnsi="Aptos"/>
        </w:rPr>
        <w:t>Housing</w:t>
      </w:r>
      <w:r w:rsidRPr="008A2623">
        <w:rPr>
          <w:rFonts w:ascii="Aptos" w:hAnsi="Aptos"/>
        </w:rPr>
        <w:t xml:space="preserve"> Site, eastwards for </w:t>
      </w:r>
      <w:proofErr w:type="gramStart"/>
      <w:r w:rsidRPr="008A2623">
        <w:rPr>
          <w:rFonts w:ascii="Aptos" w:hAnsi="Aptos"/>
        </w:rPr>
        <w:t>a distance of approximately</w:t>
      </w:r>
      <w:proofErr w:type="gramEnd"/>
      <w:r w:rsidRPr="008A2623">
        <w:rPr>
          <w:rFonts w:ascii="Aptos" w:hAnsi="Aptos"/>
        </w:rPr>
        <w:t xml:space="preserve"> 100 metres to its junction with Crooked Lane. Crooked Lane is a highway maintainable at the public expense</w:t>
      </w:r>
      <w:r w:rsidR="001A4C01" w:rsidRPr="008A2623">
        <w:rPr>
          <w:rFonts w:ascii="Aptos" w:hAnsi="Aptos"/>
        </w:rPr>
        <w:t>, for which the local highway authority is West Sussex County Council (“</w:t>
      </w:r>
      <w:r w:rsidR="001A4C01" w:rsidRPr="008A2623">
        <w:rPr>
          <w:rFonts w:ascii="Aptos" w:hAnsi="Aptos"/>
          <w:b/>
          <w:bCs/>
        </w:rPr>
        <w:t>WSCC</w:t>
      </w:r>
      <w:r w:rsidR="001A4C01" w:rsidRPr="008A2623">
        <w:rPr>
          <w:rFonts w:ascii="Aptos" w:hAnsi="Aptos"/>
        </w:rPr>
        <w:t xml:space="preserve">”). </w:t>
      </w:r>
    </w:p>
    <w:p w14:paraId="0E9CCF7A" w14:textId="77777777" w:rsidR="001A4C01" w:rsidRPr="008A2623" w:rsidRDefault="001A4C01" w:rsidP="006E064C">
      <w:pPr>
        <w:pStyle w:val="ListParagraph"/>
        <w:spacing w:after="0" w:line="480" w:lineRule="auto"/>
        <w:contextualSpacing w:val="0"/>
        <w:jc w:val="both"/>
        <w:rPr>
          <w:rFonts w:ascii="Aptos" w:hAnsi="Aptos"/>
        </w:rPr>
      </w:pPr>
    </w:p>
    <w:p w14:paraId="04C339CB" w14:textId="77777777" w:rsidR="00A3411F" w:rsidRPr="008A2623" w:rsidRDefault="001A4C01" w:rsidP="006E064C">
      <w:pPr>
        <w:pStyle w:val="ListParagraph"/>
        <w:numPr>
          <w:ilvl w:val="0"/>
          <w:numId w:val="1"/>
        </w:numPr>
        <w:spacing w:after="0" w:line="480" w:lineRule="auto"/>
        <w:contextualSpacing w:val="0"/>
        <w:jc w:val="both"/>
        <w:rPr>
          <w:rFonts w:ascii="Aptos" w:hAnsi="Aptos" w:cs="Times New Roman"/>
        </w:rPr>
      </w:pPr>
      <w:r w:rsidRPr="008A2623">
        <w:rPr>
          <w:rFonts w:ascii="Aptos" w:hAnsi="Aptos"/>
        </w:rPr>
        <w:lastRenderedPageBreak/>
        <w:t>T</w:t>
      </w:r>
      <w:r w:rsidR="004651A7" w:rsidRPr="008A2623">
        <w:rPr>
          <w:rFonts w:ascii="Aptos" w:hAnsi="Aptos"/>
        </w:rPr>
        <w:t xml:space="preserve">he Order Land has, in the past, been used as a vehicular access track from Crooked Lane to adjacent farmland. In addition, part of the Order Land (nearest Crooked Lane) is used as a means of access by the owners of </w:t>
      </w:r>
      <w:proofErr w:type="spellStart"/>
      <w:r w:rsidR="004651A7" w:rsidRPr="008A2623">
        <w:rPr>
          <w:rFonts w:ascii="Aptos" w:hAnsi="Aptos"/>
        </w:rPr>
        <w:t>Copperfields</w:t>
      </w:r>
      <w:proofErr w:type="spellEnd"/>
      <w:r w:rsidR="004651A7" w:rsidRPr="008A2623">
        <w:rPr>
          <w:rFonts w:ascii="Aptos" w:hAnsi="Aptos"/>
        </w:rPr>
        <w:t xml:space="preserve">, to gain access to and from their property, from and to Crooked Lane. </w:t>
      </w:r>
    </w:p>
    <w:p w14:paraId="508CD007" w14:textId="77777777" w:rsidR="00A3411F" w:rsidRPr="008A2623" w:rsidRDefault="00A3411F" w:rsidP="006E064C">
      <w:pPr>
        <w:pStyle w:val="ListParagraph"/>
        <w:spacing w:after="0" w:line="480" w:lineRule="auto"/>
        <w:contextualSpacing w:val="0"/>
        <w:jc w:val="both"/>
        <w:rPr>
          <w:rFonts w:ascii="Aptos" w:hAnsi="Aptos"/>
        </w:rPr>
      </w:pPr>
    </w:p>
    <w:p w14:paraId="29928078" w14:textId="32462D79" w:rsidR="004651A7" w:rsidRPr="008A2623" w:rsidRDefault="004651A7" w:rsidP="006E064C">
      <w:pPr>
        <w:pStyle w:val="ListParagraph"/>
        <w:numPr>
          <w:ilvl w:val="0"/>
          <w:numId w:val="1"/>
        </w:numPr>
        <w:spacing w:after="0" w:line="480" w:lineRule="auto"/>
        <w:contextualSpacing w:val="0"/>
        <w:jc w:val="both"/>
        <w:rPr>
          <w:rFonts w:ascii="Aptos" w:hAnsi="Aptos" w:cs="Times New Roman"/>
        </w:rPr>
      </w:pPr>
      <w:r w:rsidRPr="008A2623">
        <w:rPr>
          <w:rFonts w:ascii="Aptos" w:hAnsi="Aptos"/>
        </w:rPr>
        <w:t xml:space="preserve">The Order Land lies within the Chichester Harbour </w:t>
      </w:r>
      <w:r w:rsidR="00A3411F" w:rsidRPr="008A2623">
        <w:rPr>
          <w:rFonts w:ascii="Aptos" w:hAnsi="Aptos"/>
        </w:rPr>
        <w:t>National Landscape (formerly “</w:t>
      </w:r>
      <w:r w:rsidRPr="008A2623">
        <w:rPr>
          <w:rFonts w:ascii="Aptos" w:hAnsi="Aptos"/>
        </w:rPr>
        <w:t>Area of Outstanding Natural Beauty</w:t>
      </w:r>
      <w:r w:rsidR="00A3411F" w:rsidRPr="008A2623">
        <w:rPr>
          <w:rFonts w:ascii="Aptos" w:hAnsi="Aptos"/>
        </w:rPr>
        <w:t>”: “</w:t>
      </w:r>
      <w:r w:rsidR="00A3411F" w:rsidRPr="008A2623">
        <w:rPr>
          <w:rFonts w:ascii="Aptos" w:hAnsi="Aptos"/>
          <w:b/>
          <w:bCs/>
        </w:rPr>
        <w:t>the AONB</w:t>
      </w:r>
      <w:r w:rsidR="00A3411F" w:rsidRPr="008A2623">
        <w:rPr>
          <w:rFonts w:ascii="Aptos" w:hAnsi="Aptos"/>
        </w:rPr>
        <w:t xml:space="preserve">”). </w:t>
      </w:r>
      <w:r w:rsidRPr="008A2623">
        <w:rPr>
          <w:rFonts w:ascii="Aptos" w:hAnsi="Aptos"/>
        </w:rPr>
        <w:t>Otherwise, no part of the Order Land lies within any area designated for nature conservation</w:t>
      </w:r>
      <w:r w:rsidR="00770002" w:rsidRPr="008A2623">
        <w:rPr>
          <w:rFonts w:ascii="Aptos" w:hAnsi="Aptos"/>
        </w:rPr>
        <w:t xml:space="preserve"> (e.g.</w:t>
      </w:r>
      <w:r w:rsidRPr="008A2623">
        <w:rPr>
          <w:rFonts w:ascii="Aptos" w:hAnsi="Aptos"/>
        </w:rPr>
        <w:t xml:space="preserve"> a Site of Special Scientific Interest, a Special Area of Conservation or a Special Protection Area</w:t>
      </w:r>
      <w:r w:rsidR="00770002" w:rsidRPr="008A2623">
        <w:rPr>
          <w:rFonts w:ascii="Aptos" w:hAnsi="Aptos"/>
        </w:rPr>
        <w:t>)</w:t>
      </w:r>
      <w:r w:rsidRPr="008A2623">
        <w:rPr>
          <w:rFonts w:ascii="Aptos" w:hAnsi="Aptos"/>
        </w:rPr>
        <w:t>. In addition, no part of the Order Land is within any Local Landscape Area</w:t>
      </w:r>
      <w:r w:rsidR="00770002" w:rsidRPr="008A2623">
        <w:rPr>
          <w:rFonts w:ascii="Aptos" w:hAnsi="Aptos"/>
        </w:rPr>
        <w:t>; and</w:t>
      </w:r>
      <w:r w:rsidRPr="008A2623">
        <w:rPr>
          <w:rFonts w:ascii="Aptos" w:hAnsi="Aptos"/>
        </w:rPr>
        <w:t xml:space="preserve"> no part of the Order Land is included within any World Heritage Site, Registered Battlefield, Listed Building, Registered Park or Garden, Common, Village Green or Public Open Space. </w:t>
      </w:r>
    </w:p>
    <w:p w14:paraId="339A3BB9" w14:textId="77777777" w:rsidR="00177892" w:rsidRPr="008A2623" w:rsidRDefault="00177892" w:rsidP="006E064C">
      <w:pPr>
        <w:pStyle w:val="ListParagraph"/>
        <w:spacing w:after="0" w:line="480" w:lineRule="auto"/>
        <w:contextualSpacing w:val="0"/>
        <w:jc w:val="both"/>
        <w:rPr>
          <w:rFonts w:ascii="Aptos" w:hAnsi="Aptos" w:cs="Times New Roman"/>
        </w:rPr>
      </w:pPr>
    </w:p>
    <w:p w14:paraId="7E47AADA" w14:textId="5FDDD54B" w:rsidR="00761788" w:rsidRPr="008A2623" w:rsidRDefault="00177892" w:rsidP="006E064C">
      <w:pPr>
        <w:pStyle w:val="ListParagraph"/>
        <w:numPr>
          <w:ilvl w:val="0"/>
          <w:numId w:val="1"/>
        </w:numPr>
        <w:spacing w:after="0" w:line="480" w:lineRule="auto"/>
        <w:contextualSpacing w:val="0"/>
        <w:jc w:val="both"/>
        <w:rPr>
          <w:rFonts w:ascii="Aptos" w:hAnsi="Aptos" w:cs="Times New Roman"/>
        </w:rPr>
      </w:pPr>
      <w:r w:rsidRPr="008A2623">
        <w:rPr>
          <w:rFonts w:ascii="Aptos" w:hAnsi="Aptos" w:cs="Times New Roman"/>
        </w:rPr>
        <w:t>As regards the current ownership of the Order Land, t</w:t>
      </w:r>
      <w:r w:rsidR="004651A7" w:rsidRPr="008A2623">
        <w:rPr>
          <w:rFonts w:ascii="Aptos" w:hAnsi="Aptos"/>
        </w:rPr>
        <w:t xml:space="preserve">he </w:t>
      </w:r>
      <w:r w:rsidRPr="008A2623">
        <w:rPr>
          <w:rFonts w:ascii="Aptos" w:hAnsi="Aptos"/>
        </w:rPr>
        <w:t>s</w:t>
      </w:r>
      <w:r w:rsidR="004651A7" w:rsidRPr="008A2623">
        <w:rPr>
          <w:rFonts w:ascii="Aptos" w:hAnsi="Aptos"/>
        </w:rPr>
        <w:t>chedule to the Order identifies those parties with a known or claimed interest or known or claimed rights in or over the Order Land</w:t>
      </w:r>
      <w:r w:rsidRPr="008A2623">
        <w:rPr>
          <w:rFonts w:ascii="Aptos" w:hAnsi="Aptos"/>
        </w:rPr>
        <w:t>,</w:t>
      </w:r>
      <w:r w:rsidR="004651A7" w:rsidRPr="008A2623">
        <w:rPr>
          <w:rFonts w:ascii="Aptos" w:hAnsi="Aptos"/>
        </w:rPr>
        <w:t xml:space="preserve"> including areas of unknown ownership (as recommended in para</w:t>
      </w:r>
      <w:r w:rsidRPr="008A2623">
        <w:rPr>
          <w:rFonts w:ascii="Aptos" w:hAnsi="Aptos"/>
        </w:rPr>
        <w:t>.</w:t>
      </w:r>
      <w:r w:rsidR="004651A7" w:rsidRPr="008A2623">
        <w:rPr>
          <w:rFonts w:ascii="Aptos" w:hAnsi="Aptos"/>
        </w:rPr>
        <w:t xml:space="preserve"> 217 of the </w:t>
      </w:r>
      <w:r w:rsidRPr="008A2623">
        <w:rPr>
          <w:rFonts w:ascii="Aptos" w:hAnsi="Aptos"/>
        </w:rPr>
        <w:t xml:space="preserve">2019 </w:t>
      </w:r>
      <w:r w:rsidR="004651A7" w:rsidRPr="008A2623">
        <w:rPr>
          <w:rFonts w:ascii="Aptos" w:hAnsi="Aptos"/>
        </w:rPr>
        <w:t>Guidance</w:t>
      </w:r>
      <w:r w:rsidRPr="008A2623">
        <w:rPr>
          <w:rStyle w:val="FootnoteReference"/>
          <w:rFonts w:ascii="Aptos" w:hAnsi="Aptos"/>
        </w:rPr>
        <w:footnoteReference w:id="6"/>
      </w:r>
      <w:r w:rsidR="004651A7" w:rsidRPr="008A2623">
        <w:rPr>
          <w:rFonts w:ascii="Aptos" w:hAnsi="Aptos"/>
        </w:rPr>
        <w:t xml:space="preserve">). The </w:t>
      </w:r>
      <w:r w:rsidRPr="008A2623">
        <w:rPr>
          <w:rFonts w:ascii="Aptos" w:hAnsi="Aptos"/>
        </w:rPr>
        <w:t>s</w:t>
      </w:r>
      <w:r w:rsidR="004651A7" w:rsidRPr="008A2623">
        <w:rPr>
          <w:rFonts w:ascii="Aptos" w:hAnsi="Aptos"/>
        </w:rPr>
        <w:t>chedule has been prepared based on information gathered through inspection of Land Registry title documents, further land searches and enquiries, site inspections and the responses to notices issued under s</w:t>
      </w:r>
      <w:r w:rsidR="00C33CAD" w:rsidRPr="008A2623">
        <w:rPr>
          <w:rFonts w:ascii="Aptos" w:hAnsi="Aptos"/>
        </w:rPr>
        <w:t>.</w:t>
      </w:r>
      <w:r w:rsidR="004651A7" w:rsidRPr="008A2623">
        <w:rPr>
          <w:rFonts w:ascii="Aptos" w:hAnsi="Aptos"/>
        </w:rPr>
        <w:t xml:space="preserve"> 5A of the </w:t>
      </w:r>
      <w:r w:rsidR="00C33CAD" w:rsidRPr="008A2623">
        <w:rPr>
          <w:rFonts w:ascii="Aptos" w:hAnsi="Aptos"/>
        </w:rPr>
        <w:t>1981 Act.</w:t>
      </w:r>
    </w:p>
    <w:p w14:paraId="5CAF7D66" w14:textId="77777777" w:rsidR="004651A7" w:rsidRPr="008A2623" w:rsidRDefault="004651A7" w:rsidP="006E064C">
      <w:pPr>
        <w:spacing w:after="0" w:line="480" w:lineRule="auto"/>
        <w:jc w:val="both"/>
        <w:rPr>
          <w:rFonts w:ascii="Aptos" w:hAnsi="Aptos" w:cs="Times New Roman"/>
        </w:rPr>
      </w:pPr>
    </w:p>
    <w:p w14:paraId="62CCB851" w14:textId="2F1CC635" w:rsidR="00761788" w:rsidRPr="008A2623" w:rsidRDefault="00761788" w:rsidP="006E064C">
      <w:pPr>
        <w:spacing w:after="0" w:line="480" w:lineRule="auto"/>
        <w:jc w:val="both"/>
        <w:rPr>
          <w:rFonts w:ascii="Aptos" w:hAnsi="Aptos" w:cs="Times New Roman"/>
          <w:b/>
          <w:bCs/>
          <w:u w:val="single"/>
        </w:rPr>
      </w:pPr>
      <w:r w:rsidRPr="008A2623">
        <w:rPr>
          <w:rFonts w:ascii="Aptos" w:hAnsi="Aptos" w:cs="Times New Roman"/>
          <w:b/>
          <w:bCs/>
          <w:u w:val="single"/>
        </w:rPr>
        <w:t>The Scheme</w:t>
      </w:r>
    </w:p>
    <w:p w14:paraId="4174B6A5" w14:textId="31AA1AA9" w:rsidR="00DA0A62" w:rsidRPr="008A2623" w:rsidRDefault="00DA0A62" w:rsidP="006E064C">
      <w:pPr>
        <w:pStyle w:val="ListParagraph"/>
        <w:numPr>
          <w:ilvl w:val="0"/>
          <w:numId w:val="1"/>
        </w:numPr>
        <w:spacing w:after="0" w:line="480" w:lineRule="auto"/>
        <w:ind w:left="426" w:hanging="426"/>
        <w:contextualSpacing w:val="0"/>
        <w:jc w:val="both"/>
        <w:rPr>
          <w:rFonts w:ascii="Aptos" w:hAnsi="Aptos" w:cs="Times New Roman"/>
        </w:rPr>
      </w:pPr>
      <w:r w:rsidRPr="008A2623">
        <w:rPr>
          <w:rFonts w:ascii="Aptos" w:hAnsi="Aptos" w:cstheme="minorHAnsi"/>
        </w:rPr>
        <w:t>The Order is necessary to enable delivery of the Scheme. If the Order is confirmed, the freehold owner of the Housing Site (Martlet Homes Limited: “</w:t>
      </w:r>
      <w:r w:rsidRPr="008A2623">
        <w:rPr>
          <w:rFonts w:ascii="Aptos" w:hAnsi="Aptos" w:cstheme="minorHAnsi"/>
          <w:b/>
          <w:bCs/>
        </w:rPr>
        <w:t>Martlet</w:t>
      </w:r>
      <w:r w:rsidRPr="008A2623">
        <w:rPr>
          <w:rFonts w:ascii="Aptos" w:hAnsi="Aptos" w:cstheme="minorHAnsi"/>
        </w:rPr>
        <w:t>”</w:t>
      </w:r>
      <w:r w:rsidRPr="008A2623">
        <w:rPr>
          <w:rStyle w:val="FootnoteReference"/>
          <w:rFonts w:ascii="Aptos" w:hAnsi="Aptos" w:cstheme="minorHAnsi"/>
        </w:rPr>
        <w:footnoteReference w:id="7"/>
      </w:r>
      <w:r w:rsidRPr="008A2623">
        <w:rPr>
          <w:rFonts w:ascii="Aptos" w:hAnsi="Aptos" w:cstheme="minorHAnsi"/>
        </w:rPr>
        <w:t xml:space="preserve">, a Registered </w:t>
      </w:r>
      <w:r w:rsidRPr="008A2623">
        <w:rPr>
          <w:rFonts w:ascii="Aptos" w:hAnsi="Aptos" w:cstheme="minorHAnsi"/>
        </w:rPr>
        <w:lastRenderedPageBreak/>
        <w:t xml:space="preserve">Provider of affordable housing) will construct the 15 affordable homes together with the access road. Each of the affordable homes will be let at a social rent.  </w:t>
      </w:r>
    </w:p>
    <w:p w14:paraId="496FED62" w14:textId="77777777" w:rsidR="001C3804" w:rsidRPr="008A2623" w:rsidRDefault="001C3804" w:rsidP="006E064C">
      <w:pPr>
        <w:spacing w:after="0" w:line="480" w:lineRule="auto"/>
        <w:jc w:val="both"/>
        <w:rPr>
          <w:rFonts w:ascii="Aptos" w:hAnsi="Aptos" w:cs="Times New Roman"/>
        </w:rPr>
      </w:pPr>
    </w:p>
    <w:p w14:paraId="2F92884B" w14:textId="358AB649" w:rsidR="001C3804" w:rsidRPr="008A2623" w:rsidRDefault="00F02E2B" w:rsidP="006E064C">
      <w:pPr>
        <w:spacing w:after="0" w:line="480" w:lineRule="auto"/>
        <w:jc w:val="both"/>
        <w:rPr>
          <w:rFonts w:ascii="Aptos" w:hAnsi="Aptos" w:cs="Times New Roman"/>
          <w:b/>
          <w:bCs/>
          <w:u w:val="single"/>
        </w:rPr>
      </w:pPr>
      <w:r w:rsidRPr="008A2623">
        <w:rPr>
          <w:rFonts w:ascii="Aptos" w:hAnsi="Aptos" w:cs="Times New Roman"/>
          <w:b/>
          <w:bCs/>
          <w:u w:val="single"/>
        </w:rPr>
        <w:t>The purpose pursued fits in with the adopted Local Plan and the NPPF</w:t>
      </w:r>
    </w:p>
    <w:p w14:paraId="61E936AF" w14:textId="5BDF1C96" w:rsidR="00B60195" w:rsidRPr="008A2623" w:rsidRDefault="00D64AEF" w:rsidP="006E064C">
      <w:pPr>
        <w:pStyle w:val="ListParagraph"/>
        <w:numPr>
          <w:ilvl w:val="0"/>
          <w:numId w:val="1"/>
        </w:numPr>
        <w:spacing w:after="0" w:line="480" w:lineRule="auto"/>
        <w:contextualSpacing w:val="0"/>
        <w:jc w:val="both"/>
        <w:rPr>
          <w:rFonts w:ascii="Aptos" w:hAnsi="Aptos" w:cs="Times New Roman"/>
        </w:rPr>
      </w:pPr>
      <w:r w:rsidRPr="008A2623">
        <w:rPr>
          <w:rFonts w:ascii="Aptos" w:hAnsi="Aptos" w:cstheme="minorHAnsi"/>
        </w:rPr>
        <w:t>In satisfaction of the 2019 Guidance</w:t>
      </w:r>
      <w:r w:rsidRPr="008A2623">
        <w:rPr>
          <w:rStyle w:val="FootnoteReference"/>
          <w:rFonts w:ascii="Aptos" w:hAnsi="Aptos" w:cstheme="minorHAnsi"/>
        </w:rPr>
        <w:footnoteReference w:id="8"/>
      </w:r>
      <w:r w:rsidRPr="008A2623">
        <w:rPr>
          <w:rFonts w:ascii="Aptos" w:hAnsi="Aptos" w:cstheme="minorHAnsi"/>
        </w:rPr>
        <w:t>, the Council has a clear idea of how it intends to use the Order Land.</w:t>
      </w:r>
      <w:r w:rsidR="00CC12E2" w:rsidRPr="008A2623">
        <w:rPr>
          <w:rFonts w:ascii="Aptos" w:hAnsi="Aptos" w:cstheme="minorHAnsi"/>
        </w:rPr>
        <w:t xml:space="preserve"> As Mr Bristow explains at Section 8 of his proof of evidence</w:t>
      </w:r>
      <w:r w:rsidR="00CC12E2" w:rsidRPr="008A2623">
        <w:rPr>
          <w:rStyle w:val="FootnoteReference"/>
          <w:rFonts w:ascii="Aptos" w:hAnsi="Aptos" w:cstheme="minorHAnsi"/>
        </w:rPr>
        <w:footnoteReference w:id="9"/>
      </w:r>
      <w:r w:rsidR="00CC12E2" w:rsidRPr="008A2623">
        <w:rPr>
          <w:rFonts w:ascii="Aptos" w:hAnsi="Aptos" w:cstheme="minorHAnsi"/>
        </w:rPr>
        <w:t>, t</w:t>
      </w:r>
      <w:r w:rsidR="00DA1684" w:rsidRPr="008A2623">
        <w:rPr>
          <w:rFonts w:ascii="Aptos" w:hAnsi="Aptos" w:cstheme="minorHAnsi"/>
        </w:rPr>
        <w:t>he purpose pursued by the Council in making the Order fits in with both the Council’s adopted Local Plan and with the NPPF</w:t>
      </w:r>
      <w:r w:rsidR="00DA1684" w:rsidRPr="008A2623">
        <w:rPr>
          <w:rStyle w:val="FootnoteReference"/>
          <w:rFonts w:ascii="Aptos" w:hAnsi="Aptos" w:cstheme="minorHAnsi"/>
        </w:rPr>
        <w:footnoteReference w:id="10"/>
      </w:r>
      <w:r w:rsidR="00DA1684" w:rsidRPr="008A2623">
        <w:rPr>
          <w:rFonts w:ascii="Aptos" w:hAnsi="Aptos" w:cstheme="minorHAnsi"/>
        </w:rPr>
        <w:t xml:space="preserve">. That point is evidenced </w:t>
      </w:r>
      <w:r w:rsidR="00DA1684" w:rsidRPr="008A2623">
        <w:rPr>
          <w:rFonts w:ascii="Aptos" w:hAnsi="Aptos" w:cstheme="minorHAnsi"/>
          <w:i/>
          <w:iCs/>
        </w:rPr>
        <w:t>inter alia</w:t>
      </w:r>
      <w:r w:rsidR="00DA1684" w:rsidRPr="008A2623">
        <w:rPr>
          <w:rFonts w:ascii="Aptos" w:hAnsi="Aptos" w:cstheme="minorHAnsi"/>
        </w:rPr>
        <w:t xml:space="preserve"> by the fact that the Council granted full planning permission for the Scheme in 2013</w:t>
      </w:r>
      <w:r w:rsidR="00DA1684" w:rsidRPr="008A2623">
        <w:rPr>
          <w:rStyle w:val="FootnoteReference"/>
          <w:rFonts w:ascii="Aptos" w:hAnsi="Aptos" w:cstheme="minorHAnsi"/>
        </w:rPr>
        <w:footnoteReference w:id="11"/>
      </w:r>
      <w:r w:rsidR="00DA1684" w:rsidRPr="008A2623">
        <w:rPr>
          <w:rFonts w:ascii="Aptos" w:hAnsi="Aptos" w:cstheme="minorHAnsi"/>
        </w:rPr>
        <w:t xml:space="preserve"> and again in 2016 (under s. 73 of the 1990 Act: “</w:t>
      </w:r>
      <w:r w:rsidR="00DA1684" w:rsidRPr="008A2623">
        <w:rPr>
          <w:rFonts w:ascii="Aptos" w:hAnsi="Aptos" w:cstheme="minorHAnsi"/>
          <w:b/>
          <w:bCs/>
        </w:rPr>
        <w:t>the Planning Permission</w:t>
      </w:r>
      <w:r w:rsidR="00DA1684" w:rsidRPr="008A2623">
        <w:rPr>
          <w:rFonts w:ascii="Aptos" w:hAnsi="Aptos" w:cstheme="minorHAnsi"/>
        </w:rPr>
        <w:t>”</w:t>
      </w:r>
      <w:r w:rsidR="00DA1684" w:rsidRPr="008A2623">
        <w:rPr>
          <w:rStyle w:val="FootnoteReference"/>
          <w:rFonts w:ascii="Aptos" w:hAnsi="Aptos" w:cstheme="minorHAnsi"/>
        </w:rPr>
        <w:footnoteReference w:id="12"/>
      </w:r>
      <w:r w:rsidR="00DA1684" w:rsidRPr="008A2623">
        <w:rPr>
          <w:rFonts w:ascii="Aptos" w:hAnsi="Aptos" w:cstheme="minorHAnsi"/>
        </w:rPr>
        <w:t>). The Planning Permission has been lawfully implemented and remains extant, as certified by the lawful development certificate granted by the Council on 25 July 2017</w:t>
      </w:r>
      <w:r w:rsidR="00DA1684" w:rsidRPr="008A2623">
        <w:rPr>
          <w:rStyle w:val="FootnoteReference"/>
          <w:rFonts w:ascii="Aptos" w:hAnsi="Aptos" w:cstheme="minorHAnsi"/>
        </w:rPr>
        <w:footnoteReference w:id="13"/>
      </w:r>
      <w:r w:rsidR="00B60195" w:rsidRPr="008A2623">
        <w:rPr>
          <w:rFonts w:ascii="Aptos" w:hAnsi="Aptos" w:cstheme="minorHAnsi"/>
        </w:rPr>
        <w:t>.</w:t>
      </w:r>
      <w:r w:rsidR="006A1A0B">
        <w:rPr>
          <w:rFonts w:ascii="Aptos" w:hAnsi="Aptos" w:cstheme="minorHAnsi"/>
        </w:rPr>
        <w:t xml:space="preserve"> </w:t>
      </w:r>
      <w:r w:rsidR="004544D6">
        <w:rPr>
          <w:rFonts w:ascii="Aptos" w:hAnsi="Aptos" w:cstheme="minorHAnsi"/>
        </w:rPr>
        <w:t>That is a complete answer to the “Error in Planning Permission” ground of objection.</w:t>
      </w:r>
    </w:p>
    <w:p w14:paraId="3687344A" w14:textId="77777777" w:rsidR="00B60195" w:rsidRPr="008A2623" w:rsidRDefault="00B60195" w:rsidP="006E064C">
      <w:pPr>
        <w:spacing w:after="0" w:line="480" w:lineRule="auto"/>
        <w:jc w:val="both"/>
        <w:rPr>
          <w:rFonts w:ascii="Aptos" w:hAnsi="Aptos" w:cs="Times New Roman"/>
        </w:rPr>
      </w:pPr>
    </w:p>
    <w:p w14:paraId="7BEDDC49" w14:textId="77777777" w:rsidR="00B60195" w:rsidRPr="008A2623" w:rsidRDefault="00B60195" w:rsidP="006E064C">
      <w:pPr>
        <w:spacing w:after="0" w:line="480" w:lineRule="auto"/>
        <w:jc w:val="both"/>
        <w:rPr>
          <w:rFonts w:ascii="Aptos" w:hAnsi="Aptos" w:cs="Times New Roman"/>
          <w:u w:val="single"/>
        </w:rPr>
      </w:pPr>
      <w:r w:rsidRPr="008A2623">
        <w:rPr>
          <w:rFonts w:ascii="Aptos" w:hAnsi="Aptos" w:cs="Times New Roman"/>
          <w:u w:val="single"/>
        </w:rPr>
        <w:t>The Local Plan</w:t>
      </w:r>
    </w:p>
    <w:p w14:paraId="0E7AF488" w14:textId="77777777" w:rsidR="00B60195" w:rsidRPr="008A2623" w:rsidRDefault="00B60195" w:rsidP="006E064C">
      <w:pPr>
        <w:pStyle w:val="ListParagraph"/>
        <w:numPr>
          <w:ilvl w:val="0"/>
          <w:numId w:val="1"/>
        </w:numPr>
        <w:spacing w:after="0" w:line="480" w:lineRule="auto"/>
        <w:contextualSpacing w:val="0"/>
        <w:jc w:val="both"/>
        <w:rPr>
          <w:rFonts w:ascii="Aptos" w:hAnsi="Aptos" w:cs="Times New Roman"/>
          <w:i/>
          <w:iCs/>
        </w:rPr>
      </w:pPr>
      <w:r w:rsidRPr="008A2623">
        <w:rPr>
          <w:rFonts w:ascii="Aptos" w:hAnsi="Aptos" w:cstheme="minorHAnsi"/>
        </w:rPr>
        <w:t>The Council’s adopted Local Plan (“</w:t>
      </w:r>
      <w:r w:rsidRPr="008A2623">
        <w:rPr>
          <w:rFonts w:ascii="Aptos" w:hAnsi="Aptos" w:cstheme="minorHAnsi"/>
          <w:b/>
          <w:bCs/>
        </w:rPr>
        <w:t>the Local Plan</w:t>
      </w:r>
      <w:r w:rsidRPr="008A2623">
        <w:rPr>
          <w:rFonts w:ascii="Aptos" w:hAnsi="Aptos" w:cstheme="minorHAnsi"/>
        </w:rPr>
        <w:t>”)</w:t>
      </w:r>
      <w:r w:rsidRPr="008A2623">
        <w:rPr>
          <w:rFonts w:ascii="Aptos" w:hAnsi="Aptos" w:cstheme="minorHAnsi"/>
          <w:b/>
          <w:bCs/>
        </w:rPr>
        <w:t xml:space="preserve"> </w:t>
      </w:r>
      <w:r w:rsidR="00C841EE" w:rsidRPr="008A2623">
        <w:rPr>
          <w:rFonts w:ascii="Aptos" w:hAnsi="Aptos" w:cstheme="minorHAnsi"/>
        </w:rPr>
        <w:t xml:space="preserve">is the </w:t>
      </w:r>
      <w:r w:rsidR="00C841EE" w:rsidRPr="008A2623">
        <w:rPr>
          <w:rFonts w:ascii="Aptos" w:hAnsi="Aptos" w:cstheme="minorHAnsi"/>
          <w:i/>
          <w:iCs/>
        </w:rPr>
        <w:t>Chichester Local Plan: Key</w:t>
      </w:r>
      <w:r w:rsidRPr="008A2623">
        <w:rPr>
          <w:rFonts w:ascii="Aptos" w:hAnsi="Aptos" w:cstheme="minorHAnsi"/>
          <w:i/>
          <w:iCs/>
        </w:rPr>
        <w:t xml:space="preserve"> </w:t>
      </w:r>
      <w:r w:rsidR="00C841EE" w:rsidRPr="008A2623">
        <w:rPr>
          <w:rFonts w:ascii="Aptos" w:hAnsi="Aptos" w:cstheme="minorHAnsi"/>
          <w:i/>
          <w:iCs/>
        </w:rPr>
        <w:t>Policies</w:t>
      </w:r>
      <w:r w:rsidRPr="008A2623">
        <w:rPr>
          <w:rFonts w:ascii="Aptos" w:hAnsi="Aptos" w:cstheme="minorHAnsi"/>
          <w:i/>
          <w:iCs/>
        </w:rPr>
        <w:t xml:space="preserve"> </w:t>
      </w:r>
      <w:r w:rsidR="00C841EE" w:rsidRPr="008A2623">
        <w:rPr>
          <w:rFonts w:ascii="Aptos" w:hAnsi="Aptos" w:cstheme="minorHAnsi"/>
          <w:i/>
          <w:iCs/>
        </w:rPr>
        <w:t>2014-2029</w:t>
      </w:r>
      <w:r w:rsidRPr="008A2623">
        <w:rPr>
          <w:rFonts w:ascii="Aptos" w:hAnsi="Aptos" w:cstheme="minorHAnsi"/>
        </w:rPr>
        <w:t xml:space="preserve">, which was </w:t>
      </w:r>
      <w:r w:rsidR="00C841EE" w:rsidRPr="008A2623">
        <w:rPr>
          <w:rFonts w:ascii="Aptos" w:hAnsi="Aptos" w:cstheme="minorHAnsi"/>
        </w:rPr>
        <w:t>adopted by the Council on 14 July 2015.</w:t>
      </w:r>
    </w:p>
    <w:p w14:paraId="0E09BC99" w14:textId="77777777" w:rsidR="00B60195" w:rsidRPr="008A2623" w:rsidRDefault="00B60195" w:rsidP="006E064C">
      <w:pPr>
        <w:pStyle w:val="ListParagraph"/>
        <w:spacing w:after="0" w:line="480" w:lineRule="auto"/>
        <w:ind w:left="360"/>
        <w:contextualSpacing w:val="0"/>
        <w:jc w:val="both"/>
        <w:rPr>
          <w:rFonts w:ascii="Aptos" w:hAnsi="Aptos" w:cs="Times New Roman"/>
          <w:i/>
          <w:iCs/>
        </w:rPr>
      </w:pPr>
    </w:p>
    <w:p w14:paraId="7707E000" w14:textId="77777777" w:rsidR="00110CE6" w:rsidRPr="008A2623" w:rsidRDefault="00C841EE" w:rsidP="006E064C">
      <w:pPr>
        <w:pStyle w:val="ListParagraph"/>
        <w:numPr>
          <w:ilvl w:val="0"/>
          <w:numId w:val="1"/>
        </w:numPr>
        <w:spacing w:after="0" w:line="480" w:lineRule="auto"/>
        <w:contextualSpacing w:val="0"/>
        <w:jc w:val="both"/>
        <w:rPr>
          <w:rFonts w:ascii="Aptos" w:hAnsi="Aptos" w:cs="Times New Roman"/>
          <w:i/>
          <w:iCs/>
        </w:rPr>
      </w:pPr>
      <w:r w:rsidRPr="008A2623">
        <w:rPr>
          <w:rFonts w:ascii="Aptos" w:hAnsi="Aptos" w:cstheme="minorHAnsi"/>
        </w:rPr>
        <w:t>Policy 4 of the Local Plan makes provision for the Council to deliver 7,388 homes</w:t>
      </w:r>
      <w:r w:rsidR="00B60195" w:rsidRPr="008A2623">
        <w:rPr>
          <w:rFonts w:ascii="Aptos" w:hAnsi="Aptos" w:cstheme="minorHAnsi"/>
        </w:rPr>
        <w:t xml:space="preserve"> </w:t>
      </w:r>
      <w:r w:rsidRPr="008A2623">
        <w:rPr>
          <w:rFonts w:ascii="Aptos" w:hAnsi="Aptos" w:cstheme="minorHAnsi"/>
        </w:rPr>
        <w:t>over the period 2012–2029. Strategic development locations are allocated in the</w:t>
      </w:r>
      <w:r w:rsidR="00B60195" w:rsidRPr="008A2623">
        <w:rPr>
          <w:rFonts w:ascii="Aptos" w:hAnsi="Aptos" w:cstheme="minorHAnsi"/>
        </w:rPr>
        <w:t xml:space="preserve"> Local </w:t>
      </w:r>
      <w:r w:rsidRPr="008A2623">
        <w:rPr>
          <w:rFonts w:ascii="Aptos" w:hAnsi="Aptos" w:cstheme="minorHAnsi"/>
        </w:rPr>
        <w:t>Plan to accommodate 3,250 homes. The remaining requirement was to be</w:t>
      </w:r>
      <w:r w:rsidR="00110CE6" w:rsidRPr="008A2623">
        <w:rPr>
          <w:rFonts w:ascii="Aptos" w:hAnsi="Aptos" w:cstheme="minorHAnsi"/>
        </w:rPr>
        <w:t xml:space="preserve"> </w:t>
      </w:r>
      <w:r w:rsidRPr="008A2623">
        <w:rPr>
          <w:rFonts w:ascii="Aptos" w:hAnsi="Aptos" w:cstheme="minorHAnsi"/>
        </w:rPr>
        <w:t>allocated in subsequent Development Plan Documents and Neighbourhood Plans.</w:t>
      </w:r>
    </w:p>
    <w:p w14:paraId="042961EE" w14:textId="77777777" w:rsidR="00110CE6" w:rsidRPr="008A2623" w:rsidRDefault="00110CE6" w:rsidP="006E064C">
      <w:pPr>
        <w:pStyle w:val="ListParagraph"/>
        <w:spacing w:after="0" w:line="480" w:lineRule="auto"/>
        <w:contextualSpacing w:val="0"/>
        <w:jc w:val="both"/>
        <w:rPr>
          <w:rFonts w:ascii="Aptos" w:hAnsi="Aptos" w:cstheme="minorHAnsi"/>
        </w:rPr>
      </w:pPr>
    </w:p>
    <w:p w14:paraId="567A2508" w14:textId="77777777" w:rsidR="008D22BD" w:rsidRPr="008A2623" w:rsidRDefault="00C841EE" w:rsidP="006E064C">
      <w:pPr>
        <w:pStyle w:val="ListParagraph"/>
        <w:numPr>
          <w:ilvl w:val="0"/>
          <w:numId w:val="1"/>
        </w:numPr>
        <w:spacing w:after="0" w:line="480" w:lineRule="auto"/>
        <w:contextualSpacing w:val="0"/>
        <w:jc w:val="both"/>
        <w:rPr>
          <w:rFonts w:ascii="Aptos" w:hAnsi="Aptos" w:cs="Times New Roman"/>
          <w:i/>
          <w:iCs/>
        </w:rPr>
      </w:pPr>
      <w:r w:rsidRPr="008A2623">
        <w:rPr>
          <w:rFonts w:ascii="Aptos" w:hAnsi="Aptos" w:cstheme="minorHAnsi"/>
        </w:rPr>
        <w:t>Policy 5 of the Local Plan requires small scale housing sites to be identified within</w:t>
      </w:r>
      <w:r w:rsidR="00110CE6" w:rsidRPr="008A2623">
        <w:rPr>
          <w:rFonts w:ascii="Aptos" w:hAnsi="Aptos" w:cstheme="minorHAnsi"/>
        </w:rPr>
        <w:t xml:space="preserve"> </w:t>
      </w:r>
      <w:r w:rsidRPr="008A2623">
        <w:rPr>
          <w:rFonts w:ascii="Aptos" w:hAnsi="Aptos" w:cstheme="minorHAnsi"/>
        </w:rPr>
        <w:t xml:space="preserve">Parishes. In the case of Birdham, a requirement for 50 homes </w:t>
      </w:r>
      <w:r w:rsidR="00F33EC5" w:rsidRPr="008A2623">
        <w:rPr>
          <w:rFonts w:ascii="Aptos" w:hAnsi="Aptos" w:cstheme="minorHAnsi"/>
        </w:rPr>
        <w:t>is</w:t>
      </w:r>
      <w:r w:rsidRPr="008A2623">
        <w:rPr>
          <w:rFonts w:ascii="Aptos" w:hAnsi="Aptos" w:cstheme="minorHAnsi"/>
        </w:rPr>
        <w:t xml:space="preserve"> identified.</w:t>
      </w:r>
      <w:r w:rsidR="00110CE6" w:rsidRPr="008A2623">
        <w:rPr>
          <w:rFonts w:ascii="Aptos" w:hAnsi="Aptos" w:cstheme="minorHAnsi"/>
        </w:rPr>
        <w:t xml:space="preserve"> </w:t>
      </w:r>
      <w:r w:rsidRPr="008A2623">
        <w:rPr>
          <w:rFonts w:ascii="Aptos" w:hAnsi="Aptos" w:cstheme="minorHAnsi"/>
        </w:rPr>
        <w:t xml:space="preserve">The Scheme satisfies part of </w:t>
      </w:r>
      <w:r w:rsidR="00F33EC5" w:rsidRPr="008A2623">
        <w:rPr>
          <w:rFonts w:ascii="Aptos" w:hAnsi="Aptos" w:cstheme="minorHAnsi"/>
        </w:rPr>
        <w:t>that requirement</w:t>
      </w:r>
      <w:r w:rsidRPr="008A2623">
        <w:rPr>
          <w:rFonts w:ascii="Aptos" w:hAnsi="Aptos" w:cstheme="minorHAnsi"/>
        </w:rPr>
        <w:t>.</w:t>
      </w:r>
    </w:p>
    <w:p w14:paraId="26EB79C7" w14:textId="77777777" w:rsidR="008D22BD" w:rsidRPr="008A2623" w:rsidRDefault="008D22BD" w:rsidP="006E064C">
      <w:pPr>
        <w:pStyle w:val="ListParagraph"/>
        <w:spacing w:after="0" w:line="480" w:lineRule="auto"/>
        <w:contextualSpacing w:val="0"/>
        <w:jc w:val="both"/>
        <w:rPr>
          <w:rFonts w:ascii="Aptos" w:hAnsi="Aptos" w:cstheme="minorHAnsi"/>
        </w:rPr>
      </w:pPr>
    </w:p>
    <w:p w14:paraId="069BA3D3" w14:textId="77777777" w:rsidR="00DE5AE2" w:rsidRPr="008A2623" w:rsidRDefault="00C841EE" w:rsidP="006E064C">
      <w:pPr>
        <w:pStyle w:val="ListParagraph"/>
        <w:numPr>
          <w:ilvl w:val="0"/>
          <w:numId w:val="1"/>
        </w:numPr>
        <w:spacing w:after="0" w:line="480" w:lineRule="auto"/>
        <w:contextualSpacing w:val="0"/>
        <w:jc w:val="both"/>
        <w:rPr>
          <w:rFonts w:ascii="Aptos" w:hAnsi="Aptos" w:cs="Times New Roman"/>
          <w:i/>
          <w:iCs/>
        </w:rPr>
      </w:pPr>
      <w:r w:rsidRPr="008A2623">
        <w:rPr>
          <w:rFonts w:ascii="Aptos" w:hAnsi="Aptos" w:cstheme="minorHAnsi"/>
        </w:rPr>
        <w:t>Policy 35 of the Local Plan deals with Affordable Housing Exception Sites. Th</w:t>
      </w:r>
      <w:r w:rsidR="008D22BD" w:rsidRPr="008A2623">
        <w:rPr>
          <w:rFonts w:ascii="Aptos" w:hAnsi="Aptos" w:cstheme="minorHAnsi"/>
        </w:rPr>
        <w:t xml:space="preserve">e policy </w:t>
      </w:r>
      <w:r w:rsidRPr="008A2623">
        <w:rPr>
          <w:rFonts w:ascii="Aptos" w:hAnsi="Aptos" w:cstheme="minorHAnsi"/>
        </w:rPr>
        <w:t>provides that where there are no available and deliverable sites within a settlement,</w:t>
      </w:r>
      <w:r w:rsidR="008D22BD" w:rsidRPr="008A2623">
        <w:rPr>
          <w:rFonts w:ascii="Aptos" w:hAnsi="Aptos" w:cstheme="minorHAnsi"/>
        </w:rPr>
        <w:t xml:space="preserve"> </w:t>
      </w:r>
      <w:r w:rsidRPr="008A2623">
        <w:rPr>
          <w:rFonts w:ascii="Aptos" w:hAnsi="Aptos" w:cstheme="minorHAnsi"/>
        </w:rPr>
        <w:t>affordable housing may be permitted on exception sites outside of settlement</w:t>
      </w:r>
      <w:r w:rsidR="008D22BD" w:rsidRPr="008A2623">
        <w:rPr>
          <w:rFonts w:ascii="Aptos" w:hAnsi="Aptos" w:cstheme="minorHAnsi"/>
        </w:rPr>
        <w:t xml:space="preserve"> </w:t>
      </w:r>
      <w:r w:rsidRPr="008A2623">
        <w:rPr>
          <w:rFonts w:ascii="Aptos" w:hAnsi="Aptos" w:cstheme="minorHAnsi"/>
        </w:rPr>
        <w:t>boundaries, provid</w:t>
      </w:r>
      <w:r w:rsidR="00DE5AE2" w:rsidRPr="008A2623">
        <w:rPr>
          <w:rFonts w:ascii="Aptos" w:hAnsi="Aptos" w:cstheme="minorHAnsi"/>
        </w:rPr>
        <w:t>ed that</w:t>
      </w:r>
      <w:r w:rsidRPr="008A2623">
        <w:rPr>
          <w:rFonts w:ascii="Aptos" w:hAnsi="Aptos" w:cstheme="minorHAnsi"/>
        </w:rPr>
        <w:t xml:space="preserve"> certain criteria are met. In cases where a settlement has a</w:t>
      </w:r>
      <w:r w:rsidR="008D22BD" w:rsidRPr="008A2623">
        <w:rPr>
          <w:rFonts w:ascii="Aptos" w:hAnsi="Aptos" w:cstheme="minorHAnsi"/>
        </w:rPr>
        <w:t xml:space="preserve"> </w:t>
      </w:r>
      <w:r w:rsidRPr="008A2623">
        <w:rPr>
          <w:rFonts w:ascii="Aptos" w:hAnsi="Aptos" w:cstheme="minorHAnsi"/>
        </w:rPr>
        <w:t>defined boundary (as is the case in Birdham) th</w:t>
      </w:r>
      <w:r w:rsidR="00DE5AE2" w:rsidRPr="008A2623">
        <w:rPr>
          <w:rFonts w:ascii="Aptos" w:hAnsi="Aptos" w:cstheme="minorHAnsi"/>
        </w:rPr>
        <w:t>o</w:t>
      </w:r>
      <w:r w:rsidRPr="008A2623">
        <w:rPr>
          <w:rFonts w:ascii="Aptos" w:hAnsi="Aptos" w:cstheme="minorHAnsi"/>
        </w:rPr>
        <w:t xml:space="preserve">se criteria </w:t>
      </w:r>
      <w:proofErr w:type="gramStart"/>
      <w:r w:rsidRPr="008A2623">
        <w:rPr>
          <w:rFonts w:ascii="Aptos" w:hAnsi="Aptos" w:cstheme="minorHAnsi"/>
        </w:rPr>
        <w:t>include:</w:t>
      </w:r>
      <w:proofErr w:type="gramEnd"/>
      <w:r w:rsidRPr="008A2623">
        <w:rPr>
          <w:rFonts w:ascii="Aptos" w:hAnsi="Aptos" w:cstheme="minorHAnsi"/>
        </w:rPr>
        <w:t xml:space="preserve"> that the scheme</w:t>
      </w:r>
      <w:r w:rsidR="008D22BD" w:rsidRPr="008A2623">
        <w:rPr>
          <w:rFonts w:ascii="Aptos" w:hAnsi="Aptos" w:cstheme="minorHAnsi"/>
        </w:rPr>
        <w:t xml:space="preserve"> </w:t>
      </w:r>
      <w:r w:rsidRPr="008A2623">
        <w:rPr>
          <w:rFonts w:ascii="Aptos" w:hAnsi="Aptos" w:cstheme="minorHAnsi"/>
        </w:rPr>
        <w:t>provides 100% affordable housing; meets an identified local need by households with a ‘local connection’ to the parish; there are insufficient sites available and</w:t>
      </w:r>
      <w:r w:rsidR="008D22BD" w:rsidRPr="008A2623">
        <w:rPr>
          <w:rFonts w:ascii="Aptos" w:hAnsi="Aptos" w:cstheme="minorHAnsi"/>
        </w:rPr>
        <w:t xml:space="preserve"> </w:t>
      </w:r>
      <w:r w:rsidRPr="008A2623">
        <w:rPr>
          <w:rFonts w:ascii="Aptos" w:hAnsi="Aptos" w:cstheme="minorHAnsi"/>
        </w:rPr>
        <w:t>deliverable within the settlement boundary; and the proposed scheme is</w:t>
      </w:r>
      <w:r w:rsidR="008D22BD" w:rsidRPr="008A2623">
        <w:rPr>
          <w:rFonts w:ascii="Aptos" w:hAnsi="Aptos" w:cstheme="minorHAnsi"/>
        </w:rPr>
        <w:t xml:space="preserve"> </w:t>
      </w:r>
      <w:r w:rsidRPr="008A2623">
        <w:rPr>
          <w:rFonts w:ascii="Aptos" w:hAnsi="Aptos" w:cstheme="minorHAnsi"/>
        </w:rPr>
        <w:t>deliverable and will be properly managed by a Registered Provider. The Housing</w:t>
      </w:r>
      <w:r w:rsidR="00DE5AE2" w:rsidRPr="008A2623">
        <w:rPr>
          <w:rFonts w:ascii="Aptos" w:hAnsi="Aptos" w:cstheme="minorHAnsi"/>
        </w:rPr>
        <w:t xml:space="preserve"> </w:t>
      </w:r>
      <w:r w:rsidRPr="008A2623">
        <w:rPr>
          <w:rFonts w:ascii="Aptos" w:hAnsi="Aptos" w:cstheme="minorHAnsi"/>
        </w:rPr>
        <w:t>Site meets th</w:t>
      </w:r>
      <w:r w:rsidR="00DE5AE2" w:rsidRPr="008A2623">
        <w:rPr>
          <w:rFonts w:ascii="Aptos" w:hAnsi="Aptos" w:cstheme="minorHAnsi"/>
        </w:rPr>
        <w:t>o</w:t>
      </w:r>
      <w:r w:rsidRPr="008A2623">
        <w:rPr>
          <w:rFonts w:ascii="Aptos" w:hAnsi="Aptos" w:cstheme="minorHAnsi"/>
        </w:rPr>
        <w:t xml:space="preserve">se criteria and has been accepted </w:t>
      </w:r>
      <w:r w:rsidR="00DE5AE2" w:rsidRPr="008A2623">
        <w:rPr>
          <w:rFonts w:ascii="Aptos" w:hAnsi="Aptos" w:cstheme="minorHAnsi"/>
        </w:rPr>
        <w:t xml:space="preserve">by the Council </w:t>
      </w:r>
      <w:r w:rsidRPr="008A2623">
        <w:rPr>
          <w:rFonts w:ascii="Aptos" w:hAnsi="Aptos" w:cstheme="minorHAnsi"/>
        </w:rPr>
        <w:t>as a Rural Exception Site.</w:t>
      </w:r>
    </w:p>
    <w:p w14:paraId="1BE87DBE" w14:textId="77777777" w:rsidR="00DE5AE2" w:rsidRPr="008A2623" w:rsidRDefault="00DE5AE2" w:rsidP="006E064C">
      <w:pPr>
        <w:pStyle w:val="ListParagraph"/>
        <w:spacing w:after="0" w:line="480" w:lineRule="auto"/>
        <w:contextualSpacing w:val="0"/>
        <w:jc w:val="both"/>
        <w:rPr>
          <w:rFonts w:ascii="Aptos" w:hAnsi="Aptos" w:cstheme="minorHAnsi"/>
        </w:rPr>
      </w:pPr>
    </w:p>
    <w:p w14:paraId="15BB4FAD" w14:textId="0C3C19E0" w:rsidR="00C841EE" w:rsidRPr="008A2623" w:rsidRDefault="00C841EE" w:rsidP="006E064C">
      <w:pPr>
        <w:pStyle w:val="ListParagraph"/>
        <w:numPr>
          <w:ilvl w:val="0"/>
          <w:numId w:val="1"/>
        </w:numPr>
        <w:spacing w:after="0" w:line="480" w:lineRule="auto"/>
        <w:contextualSpacing w:val="0"/>
        <w:jc w:val="both"/>
        <w:rPr>
          <w:rFonts w:ascii="Aptos" w:hAnsi="Aptos" w:cs="Times New Roman"/>
          <w:i/>
          <w:iCs/>
        </w:rPr>
      </w:pPr>
      <w:r w:rsidRPr="008A2623">
        <w:rPr>
          <w:rFonts w:ascii="Aptos" w:hAnsi="Aptos" w:cstheme="minorHAnsi"/>
        </w:rPr>
        <w:t xml:space="preserve">The Scheme </w:t>
      </w:r>
      <w:r w:rsidR="006F760E" w:rsidRPr="008A2623">
        <w:rPr>
          <w:rFonts w:ascii="Aptos" w:hAnsi="Aptos" w:cstheme="minorHAnsi"/>
        </w:rPr>
        <w:t xml:space="preserve">accords </w:t>
      </w:r>
      <w:r w:rsidRPr="008A2623">
        <w:rPr>
          <w:rFonts w:ascii="Aptos" w:hAnsi="Aptos" w:cstheme="minorHAnsi"/>
        </w:rPr>
        <w:t xml:space="preserve">with the relevant housing policies </w:t>
      </w:r>
      <w:r w:rsidR="006F760E" w:rsidRPr="008A2623">
        <w:rPr>
          <w:rFonts w:ascii="Aptos" w:hAnsi="Aptos" w:cstheme="minorHAnsi"/>
        </w:rPr>
        <w:t xml:space="preserve">of the </w:t>
      </w:r>
      <w:r w:rsidRPr="008A2623">
        <w:rPr>
          <w:rFonts w:ascii="Aptos" w:hAnsi="Aptos" w:cstheme="minorHAnsi"/>
        </w:rPr>
        <w:t>Local Plan.</w:t>
      </w:r>
    </w:p>
    <w:p w14:paraId="5A23A4CF" w14:textId="77777777" w:rsidR="006F760E" w:rsidRPr="008A2623" w:rsidRDefault="006F760E" w:rsidP="006E064C">
      <w:pPr>
        <w:pStyle w:val="ListParagraph"/>
        <w:spacing w:after="0" w:line="480" w:lineRule="auto"/>
        <w:contextualSpacing w:val="0"/>
        <w:jc w:val="both"/>
        <w:rPr>
          <w:rFonts w:ascii="Aptos" w:hAnsi="Aptos" w:cs="Times New Roman"/>
          <w:i/>
          <w:iCs/>
        </w:rPr>
      </w:pPr>
    </w:p>
    <w:p w14:paraId="1F6CDAC1" w14:textId="4A824D2B" w:rsidR="00C841EE" w:rsidRPr="008A2623" w:rsidRDefault="006F760E" w:rsidP="006E064C">
      <w:pPr>
        <w:pStyle w:val="ListParagraph"/>
        <w:numPr>
          <w:ilvl w:val="0"/>
          <w:numId w:val="1"/>
        </w:numPr>
        <w:spacing w:after="0" w:line="480" w:lineRule="auto"/>
        <w:contextualSpacing w:val="0"/>
        <w:jc w:val="both"/>
        <w:rPr>
          <w:rFonts w:ascii="Aptos" w:hAnsi="Aptos" w:cs="Times New Roman"/>
          <w:i/>
          <w:iCs/>
        </w:rPr>
      </w:pPr>
      <w:r w:rsidRPr="008A2623">
        <w:rPr>
          <w:rFonts w:ascii="Aptos" w:hAnsi="Aptos" w:cs="Times New Roman"/>
        </w:rPr>
        <w:t xml:space="preserve">Turning to </w:t>
      </w:r>
      <w:r w:rsidR="00856B2D" w:rsidRPr="008A2623">
        <w:rPr>
          <w:rFonts w:ascii="Aptos" w:hAnsi="Aptos" w:cs="Times New Roman"/>
        </w:rPr>
        <w:t xml:space="preserve">the AONB, </w:t>
      </w:r>
      <w:r w:rsidR="00C841EE" w:rsidRPr="008A2623">
        <w:rPr>
          <w:rFonts w:ascii="Aptos" w:hAnsi="Aptos" w:cstheme="minorHAnsi"/>
        </w:rPr>
        <w:t>Policy 43 of the Local Plan provides that the impact of individual proposals and</w:t>
      </w:r>
      <w:r w:rsidR="00856B2D" w:rsidRPr="008A2623">
        <w:rPr>
          <w:rFonts w:ascii="Aptos" w:hAnsi="Aptos" w:cstheme="minorHAnsi"/>
        </w:rPr>
        <w:t xml:space="preserve"> </w:t>
      </w:r>
      <w:r w:rsidR="00C841EE" w:rsidRPr="008A2623">
        <w:rPr>
          <w:rFonts w:ascii="Aptos" w:hAnsi="Aptos" w:cstheme="minorHAnsi"/>
        </w:rPr>
        <w:t xml:space="preserve">their cumulative effect on </w:t>
      </w:r>
      <w:r w:rsidR="00856B2D" w:rsidRPr="008A2623">
        <w:rPr>
          <w:rFonts w:ascii="Aptos" w:hAnsi="Aptos" w:cstheme="minorHAnsi"/>
        </w:rPr>
        <w:t>the</w:t>
      </w:r>
      <w:r w:rsidR="00C841EE" w:rsidRPr="008A2623">
        <w:rPr>
          <w:rFonts w:ascii="Aptos" w:hAnsi="Aptos" w:cstheme="minorHAnsi"/>
        </w:rPr>
        <w:t xml:space="preserve"> AONB and its setting will be carefully</w:t>
      </w:r>
      <w:r w:rsidR="00856B2D" w:rsidRPr="008A2623">
        <w:rPr>
          <w:rFonts w:ascii="Aptos" w:hAnsi="Aptos" w:cstheme="minorHAnsi"/>
        </w:rPr>
        <w:t xml:space="preserve"> </w:t>
      </w:r>
      <w:r w:rsidR="00C841EE" w:rsidRPr="008A2623">
        <w:rPr>
          <w:rFonts w:ascii="Aptos" w:hAnsi="Aptos" w:cstheme="minorHAnsi"/>
        </w:rPr>
        <w:t>assessed. Planning permission will be granted where certain criteria have been</w:t>
      </w:r>
      <w:r w:rsidR="00856B2D" w:rsidRPr="008A2623">
        <w:rPr>
          <w:rFonts w:ascii="Aptos" w:hAnsi="Aptos" w:cstheme="minorHAnsi"/>
        </w:rPr>
        <w:t xml:space="preserve"> </w:t>
      </w:r>
      <w:r w:rsidR="00C841EE" w:rsidRPr="008A2623">
        <w:rPr>
          <w:rFonts w:ascii="Aptos" w:hAnsi="Aptos" w:cstheme="minorHAnsi"/>
        </w:rPr>
        <w:t>met including: the natural beauty and locally distinctive features of the AONB are</w:t>
      </w:r>
      <w:r w:rsidR="00856B2D" w:rsidRPr="008A2623">
        <w:rPr>
          <w:rFonts w:ascii="Aptos" w:hAnsi="Aptos" w:cstheme="minorHAnsi"/>
        </w:rPr>
        <w:t xml:space="preserve"> </w:t>
      </w:r>
      <w:r w:rsidR="00C841EE" w:rsidRPr="008A2623">
        <w:rPr>
          <w:rFonts w:ascii="Aptos" w:hAnsi="Aptos" w:cstheme="minorHAnsi"/>
        </w:rPr>
        <w:t>conserved and enhanced; proposals reinforce rather than detract from the</w:t>
      </w:r>
      <w:r w:rsidR="00856B2D" w:rsidRPr="008A2623">
        <w:rPr>
          <w:rFonts w:ascii="Aptos" w:hAnsi="Aptos" w:cstheme="minorHAnsi"/>
        </w:rPr>
        <w:t xml:space="preserve"> </w:t>
      </w:r>
      <w:r w:rsidR="00C841EE" w:rsidRPr="008A2623">
        <w:rPr>
          <w:rFonts w:ascii="Aptos" w:hAnsi="Aptos" w:cstheme="minorHAnsi"/>
        </w:rPr>
        <w:t>distinctive character and special qualities of the AONB; development does not</w:t>
      </w:r>
      <w:r w:rsidR="00856B2D" w:rsidRPr="008A2623">
        <w:rPr>
          <w:rFonts w:ascii="Aptos" w:hAnsi="Aptos" w:cstheme="minorHAnsi"/>
        </w:rPr>
        <w:t xml:space="preserve"> </w:t>
      </w:r>
      <w:r w:rsidR="00C841EE" w:rsidRPr="008A2623">
        <w:rPr>
          <w:rFonts w:ascii="Aptos" w:hAnsi="Aptos" w:cstheme="minorHAnsi"/>
        </w:rPr>
        <w:t>lead to the coalescence of settlements or undermine the integrity or predominantly</w:t>
      </w:r>
      <w:r w:rsidR="00856B2D" w:rsidRPr="008A2623">
        <w:rPr>
          <w:rFonts w:ascii="Aptos" w:hAnsi="Aptos" w:cstheme="minorHAnsi"/>
        </w:rPr>
        <w:t xml:space="preserve"> </w:t>
      </w:r>
      <w:r w:rsidR="00C841EE" w:rsidRPr="008A2623">
        <w:rPr>
          <w:rFonts w:ascii="Aptos" w:hAnsi="Aptos" w:cstheme="minorHAnsi"/>
        </w:rPr>
        <w:t>open and undeveloped rural character of the AONB and its setting; and the</w:t>
      </w:r>
      <w:r w:rsidR="00214F14" w:rsidRPr="008A2623">
        <w:rPr>
          <w:rFonts w:ascii="Aptos" w:hAnsi="Aptos" w:cstheme="minorHAnsi"/>
        </w:rPr>
        <w:t xml:space="preserve"> </w:t>
      </w:r>
      <w:r w:rsidR="00C841EE" w:rsidRPr="008A2623">
        <w:rPr>
          <w:rFonts w:ascii="Aptos" w:hAnsi="Aptos" w:cstheme="minorHAnsi"/>
        </w:rPr>
        <w:t>scheme is appropriate to the economic, social and environmental well-being of the</w:t>
      </w:r>
      <w:r w:rsidR="00214F14" w:rsidRPr="008A2623">
        <w:rPr>
          <w:rFonts w:ascii="Aptos" w:hAnsi="Aptos" w:cstheme="minorHAnsi"/>
        </w:rPr>
        <w:t xml:space="preserve"> </w:t>
      </w:r>
      <w:r w:rsidR="00C841EE" w:rsidRPr="008A2623">
        <w:rPr>
          <w:rFonts w:ascii="Aptos" w:hAnsi="Aptos" w:cstheme="minorHAnsi"/>
        </w:rPr>
        <w:t>area</w:t>
      </w:r>
      <w:r w:rsidR="00214F14" w:rsidRPr="008A2623">
        <w:rPr>
          <w:rFonts w:ascii="Aptos" w:hAnsi="Aptos" w:cstheme="minorHAnsi"/>
        </w:rPr>
        <w:t xml:space="preserve">. Mr Bristow’s evidence is that the Scheme is consistent with Policy 43, which </w:t>
      </w:r>
      <w:r w:rsidR="00214F14" w:rsidRPr="008A2623">
        <w:rPr>
          <w:rFonts w:ascii="Aptos" w:hAnsi="Aptos" w:cstheme="minorHAnsi"/>
        </w:rPr>
        <w:lastRenderedPageBreak/>
        <w:t xml:space="preserve">policy was </w:t>
      </w:r>
      <w:r w:rsidR="00C841EE" w:rsidRPr="008A2623">
        <w:rPr>
          <w:rFonts w:ascii="Aptos" w:hAnsi="Aptos" w:cstheme="minorHAnsi"/>
        </w:rPr>
        <w:t xml:space="preserve">considered and </w:t>
      </w:r>
      <w:proofErr w:type="gramStart"/>
      <w:r w:rsidR="00C841EE" w:rsidRPr="008A2623">
        <w:rPr>
          <w:rFonts w:ascii="Aptos" w:hAnsi="Aptos" w:cstheme="minorHAnsi"/>
        </w:rPr>
        <w:t>taken</w:t>
      </w:r>
      <w:r w:rsidR="00214F14" w:rsidRPr="008A2623">
        <w:rPr>
          <w:rFonts w:ascii="Aptos" w:hAnsi="Aptos" w:cstheme="minorHAnsi"/>
        </w:rPr>
        <w:t xml:space="preserve"> </w:t>
      </w:r>
      <w:r w:rsidR="00C841EE" w:rsidRPr="008A2623">
        <w:rPr>
          <w:rFonts w:ascii="Aptos" w:hAnsi="Aptos" w:cstheme="minorHAnsi"/>
        </w:rPr>
        <w:t>into account</w:t>
      </w:r>
      <w:proofErr w:type="gramEnd"/>
      <w:r w:rsidR="00C841EE" w:rsidRPr="008A2623">
        <w:rPr>
          <w:rFonts w:ascii="Aptos" w:hAnsi="Aptos" w:cstheme="minorHAnsi"/>
        </w:rPr>
        <w:t xml:space="preserve"> by the Council during the consideration and determination of the</w:t>
      </w:r>
      <w:r w:rsidR="00214F14" w:rsidRPr="008A2623">
        <w:rPr>
          <w:rFonts w:ascii="Aptos" w:hAnsi="Aptos" w:cstheme="minorHAnsi"/>
        </w:rPr>
        <w:t xml:space="preserve"> </w:t>
      </w:r>
      <w:r w:rsidR="00C841EE" w:rsidRPr="008A2623">
        <w:rPr>
          <w:rFonts w:ascii="Aptos" w:hAnsi="Aptos" w:cstheme="minorHAnsi"/>
        </w:rPr>
        <w:t xml:space="preserve">planning applications </w:t>
      </w:r>
      <w:r w:rsidR="00214F14" w:rsidRPr="008A2623">
        <w:rPr>
          <w:rFonts w:ascii="Aptos" w:hAnsi="Aptos" w:cstheme="minorHAnsi"/>
        </w:rPr>
        <w:t>for</w:t>
      </w:r>
      <w:r w:rsidR="00C841EE" w:rsidRPr="008A2623">
        <w:rPr>
          <w:rFonts w:ascii="Aptos" w:hAnsi="Aptos" w:cstheme="minorHAnsi"/>
        </w:rPr>
        <w:t xml:space="preserve"> the Housing Site.</w:t>
      </w:r>
    </w:p>
    <w:p w14:paraId="1B475637" w14:textId="77777777" w:rsidR="00A16924" w:rsidRPr="008A2623" w:rsidRDefault="00A16924" w:rsidP="006E064C">
      <w:pPr>
        <w:spacing w:after="0" w:line="480" w:lineRule="auto"/>
        <w:jc w:val="both"/>
        <w:rPr>
          <w:rFonts w:ascii="Aptos" w:hAnsi="Aptos" w:cs="Times New Roman"/>
          <w:i/>
          <w:iCs/>
        </w:rPr>
      </w:pPr>
    </w:p>
    <w:p w14:paraId="16B9EE0D" w14:textId="43BB1AC0" w:rsidR="00A16924" w:rsidRPr="008A2623" w:rsidRDefault="00A16924" w:rsidP="006E064C">
      <w:pPr>
        <w:spacing w:after="0" w:line="480" w:lineRule="auto"/>
        <w:jc w:val="both"/>
        <w:rPr>
          <w:rFonts w:ascii="Aptos" w:hAnsi="Aptos" w:cs="Times New Roman"/>
          <w:u w:val="single"/>
        </w:rPr>
      </w:pPr>
      <w:r w:rsidRPr="008A2623">
        <w:rPr>
          <w:rFonts w:ascii="Aptos" w:hAnsi="Aptos" w:cs="Times New Roman"/>
          <w:u w:val="single"/>
        </w:rPr>
        <w:t>Emerging Local Plan 2021 - 2039</w:t>
      </w:r>
    </w:p>
    <w:p w14:paraId="23677354" w14:textId="77777777" w:rsidR="00F103BF" w:rsidRPr="008A2623" w:rsidRDefault="00A16924" w:rsidP="006E064C">
      <w:pPr>
        <w:pStyle w:val="ListParagraph"/>
        <w:numPr>
          <w:ilvl w:val="0"/>
          <w:numId w:val="1"/>
        </w:numPr>
        <w:spacing w:after="0" w:line="480" w:lineRule="auto"/>
        <w:contextualSpacing w:val="0"/>
        <w:jc w:val="both"/>
        <w:rPr>
          <w:rFonts w:ascii="Aptos" w:hAnsi="Aptos" w:cs="Times New Roman"/>
          <w:i/>
          <w:iCs/>
        </w:rPr>
      </w:pPr>
      <w:r w:rsidRPr="008A2623">
        <w:rPr>
          <w:rFonts w:ascii="Aptos" w:hAnsi="Aptos" w:cs="Times New Roman"/>
        </w:rPr>
        <w:t xml:space="preserve">The Local Plan is currently under review and </w:t>
      </w:r>
      <w:r w:rsidR="00462D25" w:rsidRPr="008A2623">
        <w:rPr>
          <w:rFonts w:ascii="Aptos" w:hAnsi="Aptos" w:cs="Times New Roman"/>
        </w:rPr>
        <w:t xml:space="preserve">the emerging Local Plan </w:t>
      </w:r>
      <w:r w:rsidR="00C841EE" w:rsidRPr="008A2623">
        <w:rPr>
          <w:rFonts w:ascii="Aptos" w:hAnsi="Aptos" w:cstheme="minorHAnsi"/>
        </w:rPr>
        <w:t>was submitted to the Planning Inspectorate for</w:t>
      </w:r>
      <w:r w:rsidR="00462D25" w:rsidRPr="008A2623">
        <w:rPr>
          <w:rFonts w:ascii="Aptos" w:hAnsi="Aptos" w:cstheme="minorHAnsi"/>
        </w:rPr>
        <w:t xml:space="preserve"> </w:t>
      </w:r>
      <w:r w:rsidR="00C841EE" w:rsidRPr="008A2623">
        <w:rPr>
          <w:rFonts w:ascii="Aptos" w:hAnsi="Aptos" w:cstheme="minorHAnsi"/>
        </w:rPr>
        <w:t>examination in May 2024.</w:t>
      </w:r>
      <w:r w:rsidR="00462D25" w:rsidRPr="008A2623">
        <w:rPr>
          <w:rFonts w:ascii="Aptos" w:hAnsi="Aptos" w:cstheme="minorHAnsi"/>
        </w:rPr>
        <w:t xml:space="preserve"> The Local Plan </w:t>
      </w:r>
      <w:r w:rsidR="00C841EE" w:rsidRPr="008A2623">
        <w:rPr>
          <w:rFonts w:ascii="Aptos" w:hAnsi="Aptos" w:cstheme="minorHAnsi"/>
        </w:rPr>
        <w:t>review increases the overall level of housing (and affordable housing)</w:t>
      </w:r>
      <w:r w:rsidR="00462D25" w:rsidRPr="008A2623">
        <w:rPr>
          <w:rFonts w:ascii="Aptos" w:hAnsi="Aptos" w:cstheme="minorHAnsi"/>
        </w:rPr>
        <w:t xml:space="preserve"> </w:t>
      </w:r>
      <w:r w:rsidR="00C841EE" w:rsidRPr="008A2623">
        <w:rPr>
          <w:rFonts w:ascii="Aptos" w:hAnsi="Aptos" w:cstheme="minorHAnsi"/>
        </w:rPr>
        <w:t xml:space="preserve">allocations across the </w:t>
      </w:r>
      <w:r w:rsidR="00462D25" w:rsidRPr="008A2623">
        <w:rPr>
          <w:rFonts w:ascii="Aptos" w:hAnsi="Aptos" w:cstheme="minorHAnsi"/>
        </w:rPr>
        <w:t>p</w:t>
      </w:r>
      <w:r w:rsidR="00C841EE" w:rsidRPr="008A2623">
        <w:rPr>
          <w:rFonts w:ascii="Aptos" w:hAnsi="Aptos" w:cstheme="minorHAnsi"/>
        </w:rPr>
        <w:t>lan area. It also continues the existing Rural Exception</w:t>
      </w:r>
      <w:r w:rsidR="00462D25" w:rsidRPr="008A2623">
        <w:rPr>
          <w:rFonts w:ascii="Aptos" w:hAnsi="Aptos" w:cstheme="minorHAnsi"/>
        </w:rPr>
        <w:t xml:space="preserve"> </w:t>
      </w:r>
      <w:r w:rsidR="00C841EE" w:rsidRPr="008A2623">
        <w:rPr>
          <w:rFonts w:ascii="Aptos" w:hAnsi="Aptos" w:cstheme="minorHAnsi"/>
        </w:rPr>
        <w:t xml:space="preserve">Sites policy. </w:t>
      </w:r>
      <w:r w:rsidR="00462D25" w:rsidRPr="008A2623">
        <w:rPr>
          <w:rFonts w:ascii="Aptos" w:hAnsi="Aptos" w:cstheme="minorHAnsi"/>
        </w:rPr>
        <w:t xml:space="preserve">It </w:t>
      </w:r>
      <w:r w:rsidR="00C841EE" w:rsidRPr="008A2623">
        <w:rPr>
          <w:rFonts w:ascii="Aptos" w:hAnsi="Aptos" w:cstheme="minorHAnsi"/>
        </w:rPr>
        <w:t>does not propose any further development in Birdham.</w:t>
      </w:r>
    </w:p>
    <w:p w14:paraId="1753FCDF" w14:textId="77777777" w:rsidR="00F103BF" w:rsidRPr="008A2623" w:rsidRDefault="00F103BF" w:rsidP="006E064C">
      <w:pPr>
        <w:spacing w:after="0" w:line="480" w:lineRule="auto"/>
        <w:jc w:val="both"/>
        <w:rPr>
          <w:rFonts w:ascii="Aptos" w:hAnsi="Aptos" w:cstheme="minorHAnsi"/>
        </w:rPr>
      </w:pPr>
    </w:p>
    <w:p w14:paraId="01D39382" w14:textId="29A1FF65" w:rsidR="00C841EE" w:rsidRPr="008A2623" w:rsidRDefault="00F103BF" w:rsidP="006E064C">
      <w:pPr>
        <w:spacing w:after="0" w:line="480" w:lineRule="auto"/>
        <w:jc w:val="both"/>
        <w:rPr>
          <w:rFonts w:ascii="Aptos" w:hAnsi="Aptos" w:cs="Times New Roman"/>
          <w:i/>
          <w:iCs/>
        </w:rPr>
      </w:pPr>
      <w:r w:rsidRPr="008A2623">
        <w:rPr>
          <w:rFonts w:ascii="Aptos" w:hAnsi="Aptos" w:cstheme="minorHAnsi"/>
          <w:u w:val="single"/>
        </w:rPr>
        <w:t>Birdham Parish Neighbourhood Plan</w:t>
      </w:r>
      <w:r w:rsidR="00C841EE" w:rsidRPr="008A2623">
        <w:rPr>
          <w:rFonts w:ascii="Aptos" w:hAnsi="Aptos" w:cstheme="minorHAnsi"/>
        </w:rPr>
        <w:t xml:space="preserve">  </w:t>
      </w:r>
    </w:p>
    <w:p w14:paraId="4DE0F90E" w14:textId="3BF4B334" w:rsidR="00F103BF" w:rsidRPr="008A2623" w:rsidRDefault="00F103BF" w:rsidP="006E064C">
      <w:pPr>
        <w:pStyle w:val="ListParagraph"/>
        <w:numPr>
          <w:ilvl w:val="0"/>
          <w:numId w:val="1"/>
        </w:numPr>
        <w:spacing w:after="0" w:line="480" w:lineRule="auto"/>
        <w:contextualSpacing w:val="0"/>
        <w:jc w:val="both"/>
        <w:rPr>
          <w:rFonts w:ascii="Aptos" w:hAnsi="Aptos" w:cs="Times New Roman"/>
        </w:rPr>
      </w:pPr>
      <w:r w:rsidRPr="008A2623">
        <w:rPr>
          <w:rFonts w:ascii="Aptos" w:hAnsi="Aptos" w:cstheme="minorHAnsi"/>
        </w:rPr>
        <w:t>As well as according with the Council’s adopted Local Plan (and with the NPPF – see below), the Scheme accords with the Birdham Parish Neighbourhood Plan (“</w:t>
      </w:r>
      <w:r w:rsidRPr="008A2623">
        <w:rPr>
          <w:rFonts w:ascii="Aptos" w:hAnsi="Aptos" w:cstheme="minorHAnsi"/>
          <w:b/>
          <w:bCs/>
        </w:rPr>
        <w:t>the Neighbourhood Plan</w:t>
      </w:r>
      <w:r w:rsidRPr="008A2623">
        <w:rPr>
          <w:rFonts w:ascii="Aptos" w:hAnsi="Aptos" w:cstheme="minorHAnsi"/>
        </w:rPr>
        <w:t>”</w:t>
      </w:r>
      <w:r w:rsidR="009E583D" w:rsidRPr="008A2623">
        <w:rPr>
          <w:rStyle w:val="FootnoteReference"/>
          <w:rFonts w:ascii="Aptos" w:hAnsi="Aptos" w:cstheme="minorHAnsi"/>
        </w:rPr>
        <w:footnoteReference w:id="14"/>
      </w:r>
      <w:r w:rsidRPr="008A2623">
        <w:rPr>
          <w:rFonts w:ascii="Aptos" w:hAnsi="Aptos" w:cstheme="minorHAnsi"/>
        </w:rPr>
        <w:t>), which identifies</w:t>
      </w:r>
      <w:r w:rsidRPr="008A2623">
        <w:rPr>
          <w:rStyle w:val="FootnoteReference"/>
          <w:rFonts w:ascii="Aptos" w:hAnsi="Aptos" w:cstheme="minorHAnsi"/>
        </w:rPr>
        <w:footnoteReference w:id="15"/>
      </w:r>
      <w:r w:rsidRPr="008A2623">
        <w:rPr>
          <w:rFonts w:ascii="Aptos" w:hAnsi="Aptos" w:cstheme="minorHAnsi"/>
        </w:rPr>
        <w:t xml:space="preserve"> the Housing Site as one of four sites with planning permission</w:t>
      </w:r>
      <w:r w:rsidRPr="008A2623">
        <w:rPr>
          <w:rStyle w:val="FootnoteReference"/>
          <w:rFonts w:ascii="Aptos" w:hAnsi="Aptos" w:cstheme="minorHAnsi"/>
        </w:rPr>
        <w:footnoteReference w:id="16"/>
      </w:r>
      <w:r w:rsidRPr="008A2623">
        <w:rPr>
          <w:rFonts w:ascii="Aptos" w:hAnsi="Aptos" w:cstheme="minorHAnsi"/>
        </w:rPr>
        <w:t xml:space="preserve"> that will enable the indicative </w:t>
      </w:r>
      <w:proofErr w:type="gramStart"/>
      <w:r w:rsidRPr="008A2623">
        <w:rPr>
          <w:rFonts w:ascii="Aptos" w:hAnsi="Aptos" w:cstheme="minorHAnsi"/>
        </w:rPr>
        <w:t>50 unit</w:t>
      </w:r>
      <w:proofErr w:type="gramEnd"/>
      <w:r w:rsidRPr="008A2623">
        <w:rPr>
          <w:rFonts w:ascii="Aptos" w:hAnsi="Aptos" w:cstheme="minorHAnsi"/>
        </w:rPr>
        <w:t xml:space="preserve"> housing number that is stated for Birdham in the Council’s Local Plan</w:t>
      </w:r>
      <w:r w:rsidRPr="008A2623">
        <w:rPr>
          <w:rStyle w:val="FootnoteReference"/>
          <w:rFonts w:ascii="Aptos" w:hAnsi="Aptos" w:cstheme="minorHAnsi"/>
        </w:rPr>
        <w:footnoteReference w:id="17"/>
      </w:r>
      <w:r w:rsidRPr="008A2623">
        <w:rPr>
          <w:rFonts w:ascii="Aptos" w:hAnsi="Aptos" w:cstheme="minorHAnsi"/>
        </w:rPr>
        <w:t xml:space="preserve"> to be met.</w:t>
      </w:r>
      <w:r w:rsidR="009E583D" w:rsidRPr="008A2623">
        <w:rPr>
          <w:rFonts w:ascii="Aptos" w:hAnsi="Aptos" w:cstheme="minorHAnsi"/>
        </w:rPr>
        <w:t xml:space="preserve"> Policy 17 of the Neighbourhood Plan</w:t>
      </w:r>
      <w:r w:rsidR="00AA0AA5" w:rsidRPr="008A2623">
        <w:rPr>
          <w:rStyle w:val="FootnoteReference"/>
          <w:rFonts w:ascii="Aptos" w:hAnsi="Aptos" w:cstheme="minorHAnsi"/>
        </w:rPr>
        <w:footnoteReference w:id="18"/>
      </w:r>
      <w:r w:rsidR="00D33804" w:rsidRPr="008A2623">
        <w:rPr>
          <w:rFonts w:ascii="Aptos" w:hAnsi="Aptos" w:cstheme="minorHAnsi"/>
        </w:rPr>
        <w:t xml:space="preserve"> (“Housing Need”) also requires social and affordable housing to be allocated in accordance with the Council’s Allocations Scheme. </w:t>
      </w:r>
    </w:p>
    <w:p w14:paraId="63090DCF" w14:textId="77777777" w:rsidR="00D33804" w:rsidRPr="008A2623" w:rsidRDefault="00D33804" w:rsidP="006E064C">
      <w:pPr>
        <w:spacing w:after="0" w:line="480" w:lineRule="auto"/>
        <w:jc w:val="both"/>
        <w:rPr>
          <w:rFonts w:ascii="Aptos" w:hAnsi="Aptos" w:cs="Times New Roman"/>
        </w:rPr>
      </w:pPr>
    </w:p>
    <w:p w14:paraId="54DE096D" w14:textId="659684E5" w:rsidR="00D33804" w:rsidRPr="008A2623" w:rsidRDefault="00D33804" w:rsidP="006E064C">
      <w:pPr>
        <w:spacing w:after="0" w:line="480" w:lineRule="auto"/>
        <w:jc w:val="both"/>
        <w:rPr>
          <w:rFonts w:ascii="Aptos" w:hAnsi="Aptos" w:cs="Times New Roman"/>
          <w:u w:val="single"/>
        </w:rPr>
      </w:pPr>
      <w:r w:rsidRPr="008A2623">
        <w:rPr>
          <w:rFonts w:ascii="Aptos" w:hAnsi="Aptos" w:cs="Times New Roman"/>
          <w:u w:val="single"/>
        </w:rPr>
        <w:t>The NPPF</w:t>
      </w:r>
    </w:p>
    <w:p w14:paraId="02BD3FE0" w14:textId="4BBA0679" w:rsidR="00CC12E2" w:rsidRPr="008A2623" w:rsidRDefault="00CC12E2" w:rsidP="006E064C">
      <w:pPr>
        <w:pStyle w:val="ListParagraph"/>
        <w:numPr>
          <w:ilvl w:val="0"/>
          <w:numId w:val="1"/>
        </w:numPr>
        <w:spacing w:after="0" w:line="480" w:lineRule="auto"/>
        <w:contextualSpacing w:val="0"/>
        <w:jc w:val="both"/>
        <w:rPr>
          <w:rFonts w:ascii="Aptos" w:hAnsi="Aptos" w:cstheme="minorHAnsi"/>
        </w:rPr>
      </w:pPr>
      <w:r w:rsidRPr="008A2623">
        <w:rPr>
          <w:rFonts w:ascii="Aptos" w:hAnsi="Aptos" w:cstheme="minorHAnsi"/>
        </w:rPr>
        <w:t>The National Planning Policy Framework (“NPPF”) was updated in December 2023</w:t>
      </w:r>
      <w:r w:rsidR="00957F05" w:rsidRPr="008A2623">
        <w:rPr>
          <w:rFonts w:ascii="Aptos" w:hAnsi="Aptos" w:cstheme="minorHAnsi"/>
        </w:rPr>
        <w:t xml:space="preserve"> </w:t>
      </w:r>
      <w:r w:rsidRPr="008A2623">
        <w:rPr>
          <w:rFonts w:ascii="Aptos" w:hAnsi="Aptos" w:cstheme="minorHAnsi"/>
        </w:rPr>
        <w:t>and provides a framework within which locally prepared plans can provide for</w:t>
      </w:r>
      <w:r w:rsidR="00957F05" w:rsidRPr="008A2623">
        <w:rPr>
          <w:rFonts w:ascii="Aptos" w:hAnsi="Aptos" w:cstheme="minorHAnsi"/>
        </w:rPr>
        <w:t xml:space="preserve"> </w:t>
      </w:r>
      <w:r w:rsidRPr="008A2623">
        <w:rPr>
          <w:rFonts w:ascii="Aptos" w:hAnsi="Aptos" w:cstheme="minorHAnsi"/>
        </w:rPr>
        <w:t>sufficient housing and other development in a sustainable manner. It sets out a</w:t>
      </w:r>
      <w:r w:rsidR="00957F05" w:rsidRPr="008A2623">
        <w:rPr>
          <w:rFonts w:ascii="Aptos" w:hAnsi="Aptos" w:cstheme="minorHAnsi"/>
        </w:rPr>
        <w:t xml:space="preserve"> </w:t>
      </w:r>
      <w:r w:rsidRPr="008A2623">
        <w:rPr>
          <w:rFonts w:ascii="Aptos" w:hAnsi="Aptos" w:cstheme="minorHAnsi"/>
        </w:rPr>
        <w:t xml:space="preserve">presumption in favour of </w:t>
      </w:r>
      <w:r w:rsidRPr="008A2623">
        <w:rPr>
          <w:rFonts w:ascii="Aptos" w:hAnsi="Aptos" w:cstheme="minorHAnsi"/>
        </w:rPr>
        <w:lastRenderedPageBreak/>
        <w:t>sustainable development and promotes the creation of</w:t>
      </w:r>
      <w:r w:rsidR="00957F05" w:rsidRPr="008A2623">
        <w:rPr>
          <w:rFonts w:ascii="Aptos" w:hAnsi="Aptos" w:cstheme="minorHAnsi"/>
        </w:rPr>
        <w:t xml:space="preserve"> </w:t>
      </w:r>
      <w:r w:rsidRPr="008A2623">
        <w:rPr>
          <w:rFonts w:ascii="Aptos" w:hAnsi="Aptos" w:cstheme="minorHAnsi"/>
        </w:rPr>
        <w:t>sustainable inclusive and mixed communities</w:t>
      </w:r>
      <w:r w:rsidR="00CA05A5" w:rsidRPr="008A2623">
        <w:rPr>
          <w:rFonts w:ascii="Aptos" w:hAnsi="Aptos" w:cstheme="minorHAnsi"/>
        </w:rPr>
        <w:t xml:space="preserve">. It provides </w:t>
      </w:r>
      <w:r w:rsidRPr="008A2623">
        <w:rPr>
          <w:rFonts w:ascii="Aptos" w:hAnsi="Aptos" w:cstheme="minorHAnsi"/>
        </w:rPr>
        <w:t>that planning policies should make sufficient provision for housing</w:t>
      </w:r>
      <w:r w:rsidR="00CA05A5" w:rsidRPr="008A2623">
        <w:rPr>
          <w:rFonts w:ascii="Aptos" w:hAnsi="Aptos" w:cstheme="minorHAnsi"/>
        </w:rPr>
        <w:t xml:space="preserve"> </w:t>
      </w:r>
      <w:r w:rsidRPr="008A2623">
        <w:rPr>
          <w:rFonts w:ascii="Aptos" w:hAnsi="Aptos" w:cstheme="minorHAnsi"/>
        </w:rPr>
        <w:t xml:space="preserve">(including affordable housing). </w:t>
      </w:r>
      <w:r w:rsidR="00CA05A5" w:rsidRPr="008A2623">
        <w:rPr>
          <w:rFonts w:ascii="Aptos" w:hAnsi="Aptos" w:cstheme="minorHAnsi"/>
        </w:rPr>
        <w:t>In more detail:</w:t>
      </w:r>
    </w:p>
    <w:p w14:paraId="7B132CB7" w14:textId="77777777" w:rsidR="00790EB9" w:rsidRPr="008A2623" w:rsidRDefault="00790EB9" w:rsidP="006E064C">
      <w:pPr>
        <w:pStyle w:val="ListParagraph"/>
        <w:spacing w:after="0" w:line="480" w:lineRule="auto"/>
        <w:ind w:left="360"/>
        <w:contextualSpacing w:val="0"/>
        <w:jc w:val="both"/>
        <w:rPr>
          <w:rFonts w:ascii="Aptos" w:hAnsi="Aptos" w:cstheme="minorHAnsi"/>
        </w:rPr>
      </w:pPr>
    </w:p>
    <w:p w14:paraId="6FF200FA" w14:textId="77777777" w:rsidR="00790EB9" w:rsidRPr="008A2623" w:rsidRDefault="00CA05A5" w:rsidP="006E064C">
      <w:pPr>
        <w:pStyle w:val="ListParagraph"/>
        <w:numPr>
          <w:ilvl w:val="1"/>
          <w:numId w:val="1"/>
        </w:numPr>
        <w:spacing w:after="0" w:line="480" w:lineRule="auto"/>
        <w:ind w:left="993" w:hanging="567"/>
        <w:contextualSpacing w:val="0"/>
        <w:jc w:val="both"/>
        <w:rPr>
          <w:rFonts w:ascii="Aptos" w:hAnsi="Aptos" w:cstheme="minorHAnsi"/>
        </w:rPr>
      </w:pPr>
      <w:r w:rsidRPr="008A2623">
        <w:rPr>
          <w:rFonts w:ascii="Aptos" w:hAnsi="Aptos" w:cstheme="minorHAnsi"/>
        </w:rPr>
        <w:t xml:space="preserve">Para. </w:t>
      </w:r>
      <w:r w:rsidR="00CC12E2" w:rsidRPr="008A2623">
        <w:rPr>
          <w:rFonts w:ascii="Aptos" w:hAnsi="Aptos" w:cstheme="minorHAnsi"/>
        </w:rPr>
        <w:t>60 of the NPPF states that to support the Government’s objective of</w:t>
      </w:r>
      <w:r w:rsidRPr="008A2623">
        <w:rPr>
          <w:rFonts w:ascii="Aptos" w:hAnsi="Aptos" w:cstheme="minorHAnsi"/>
        </w:rPr>
        <w:t xml:space="preserve"> </w:t>
      </w:r>
      <w:r w:rsidR="00CC12E2" w:rsidRPr="008A2623">
        <w:rPr>
          <w:rFonts w:ascii="Aptos" w:hAnsi="Aptos" w:cstheme="minorHAnsi"/>
        </w:rPr>
        <w:t>significantly boosting the supply of homes it is important that a sufficient amount</w:t>
      </w:r>
      <w:r w:rsidRPr="008A2623">
        <w:rPr>
          <w:rFonts w:ascii="Aptos" w:hAnsi="Aptos" w:cstheme="minorHAnsi"/>
        </w:rPr>
        <w:t xml:space="preserve"> </w:t>
      </w:r>
      <w:r w:rsidR="00CC12E2" w:rsidRPr="008A2623">
        <w:rPr>
          <w:rFonts w:ascii="Aptos" w:hAnsi="Aptos" w:cstheme="minorHAnsi"/>
        </w:rPr>
        <w:t>and variety of land can come forward where it is needed, that the needs of groups</w:t>
      </w:r>
      <w:r w:rsidRPr="008A2623">
        <w:rPr>
          <w:rFonts w:ascii="Aptos" w:hAnsi="Aptos" w:cstheme="minorHAnsi"/>
        </w:rPr>
        <w:t xml:space="preserve"> </w:t>
      </w:r>
      <w:r w:rsidR="00CC12E2" w:rsidRPr="008A2623">
        <w:rPr>
          <w:rFonts w:ascii="Aptos" w:hAnsi="Aptos" w:cstheme="minorHAnsi"/>
        </w:rPr>
        <w:t>with specific housing requirements are addressed, and that land with permission</w:t>
      </w:r>
      <w:r w:rsidRPr="008A2623">
        <w:rPr>
          <w:rFonts w:ascii="Aptos" w:hAnsi="Aptos" w:cstheme="minorHAnsi"/>
        </w:rPr>
        <w:t xml:space="preserve"> </w:t>
      </w:r>
      <w:r w:rsidR="00CC12E2" w:rsidRPr="008A2623">
        <w:rPr>
          <w:rFonts w:ascii="Aptos" w:hAnsi="Aptos" w:cstheme="minorHAnsi"/>
        </w:rPr>
        <w:t>is developed without unnecessary delay.</w:t>
      </w:r>
    </w:p>
    <w:p w14:paraId="09AD0BE4" w14:textId="77777777" w:rsidR="00790EB9" w:rsidRPr="008A2623" w:rsidRDefault="00790EB9" w:rsidP="006E064C">
      <w:pPr>
        <w:pStyle w:val="ListParagraph"/>
        <w:spacing w:after="0" w:line="480" w:lineRule="auto"/>
        <w:ind w:left="993"/>
        <w:contextualSpacing w:val="0"/>
        <w:jc w:val="both"/>
        <w:rPr>
          <w:rFonts w:ascii="Aptos" w:hAnsi="Aptos" w:cstheme="minorHAnsi"/>
        </w:rPr>
      </w:pPr>
    </w:p>
    <w:p w14:paraId="232D6293" w14:textId="77777777" w:rsidR="00790EB9" w:rsidRPr="008A2623" w:rsidRDefault="00CA05A5" w:rsidP="006E064C">
      <w:pPr>
        <w:pStyle w:val="ListParagraph"/>
        <w:numPr>
          <w:ilvl w:val="1"/>
          <w:numId w:val="1"/>
        </w:numPr>
        <w:spacing w:after="0" w:line="480" w:lineRule="auto"/>
        <w:ind w:left="993" w:hanging="567"/>
        <w:contextualSpacing w:val="0"/>
        <w:jc w:val="both"/>
        <w:rPr>
          <w:rFonts w:ascii="Aptos" w:hAnsi="Aptos" w:cstheme="minorHAnsi"/>
        </w:rPr>
      </w:pPr>
      <w:r w:rsidRPr="008A2623">
        <w:rPr>
          <w:rFonts w:ascii="Aptos" w:hAnsi="Aptos" w:cstheme="minorHAnsi"/>
        </w:rPr>
        <w:t xml:space="preserve">Para. </w:t>
      </w:r>
      <w:r w:rsidR="00CC12E2" w:rsidRPr="008A2623">
        <w:rPr>
          <w:rFonts w:ascii="Aptos" w:hAnsi="Aptos" w:cstheme="minorHAnsi"/>
        </w:rPr>
        <w:t>64 provides that where a need for affordable housing is identified,</w:t>
      </w:r>
      <w:r w:rsidRPr="008A2623">
        <w:rPr>
          <w:rFonts w:ascii="Aptos" w:hAnsi="Aptos" w:cstheme="minorHAnsi"/>
        </w:rPr>
        <w:t xml:space="preserve"> </w:t>
      </w:r>
      <w:r w:rsidR="00CC12E2" w:rsidRPr="008A2623">
        <w:rPr>
          <w:rFonts w:ascii="Aptos" w:hAnsi="Aptos" w:cstheme="minorHAnsi"/>
        </w:rPr>
        <w:t>planning policies should specify the type of affordable housing required.</w:t>
      </w:r>
    </w:p>
    <w:p w14:paraId="232DEE24" w14:textId="77777777" w:rsidR="00790EB9" w:rsidRPr="008A2623" w:rsidRDefault="00790EB9" w:rsidP="006E064C">
      <w:pPr>
        <w:pStyle w:val="ListParagraph"/>
        <w:spacing w:after="0" w:line="480" w:lineRule="auto"/>
        <w:ind w:left="993"/>
        <w:contextualSpacing w:val="0"/>
        <w:jc w:val="both"/>
        <w:rPr>
          <w:rFonts w:ascii="Aptos" w:hAnsi="Aptos" w:cstheme="minorHAnsi"/>
        </w:rPr>
      </w:pPr>
    </w:p>
    <w:p w14:paraId="6F5F69AA" w14:textId="77777777" w:rsidR="00790EB9" w:rsidRPr="008A2623" w:rsidRDefault="00CA05A5" w:rsidP="006E064C">
      <w:pPr>
        <w:pStyle w:val="ListParagraph"/>
        <w:numPr>
          <w:ilvl w:val="1"/>
          <w:numId w:val="1"/>
        </w:numPr>
        <w:spacing w:after="0" w:line="480" w:lineRule="auto"/>
        <w:ind w:left="993" w:hanging="567"/>
        <w:contextualSpacing w:val="0"/>
        <w:jc w:val="both"/>
        <w:rPr>
          <w:rFonts w:ascii="Aptos" w:hAnsi="Aptos" w:cstheme="minorHAnsi"/>
        </w:rPr>
      </w:pPr>
      <w:r w:rsidRPr="008A2623">
        <w:rPr>
          <w:rFonts w:ascii="Aptos" w:hAnsi="Aptos" w:cstheme="minorHAnsi"/>
        </w:rPr>
        <w:t xml:space="preserve">Para. </w:t>
      </w:r>
      <w:r w:rsidR="00CC12E2" w:rsidRPr="008A2623">
        <w:rPr>
          <w:rFonts w:ascii="Aptos" w:hAnsi="Aptos" w:cstheme="minorHAnsi"/>
        </w:rPr>
        <w:t>67 provides that strategic policy making authorities should establish a</w:t>
      </w:r>
      <w:r w:rsidRPr="008A2623">
        <w:rPr>
          <w:rFonts w:ascii="Aptos" w:hAnsi="Aptos" w:cstheme="minorHAnsi"/>
        </w:rPr>
        <w:t xml:space="preserve"> </w:t>
      </w:r>
      <w:r w:rsidR="00CC12E2" w:rsidRPr="008A2623">
        <w:rPr>
          <w:rFonts w:ascii="Aptos" w:hAnsi="Aptos" w:cstheme="minorHAnsi"/>
        </w:rPr>
        <w:t>housing requirement figure for their whole area, which shows the extent to which</w:t>
      </w:r>
      <w:r w:rsidRPr="008A2623">
        <w:rPr>
          <w:rFonts w:ascii="Aptos" w:hAnsi="Aptos" w:cstheme="minorHAnsi"/>
        </w:rPr>
        <w:t xml:space="preserve"> </w:t>
      </w:r>
      <w:r w:rsidR="00CC12E2" w:rsidRPr="008A2623">
        <w:rPr>
          <w:rFonts w:ascii="Aptos" w:hAnsi="Aptos" w:cstheme="minorHAnsi"/>
        </w:rPr>
        <w:t>their identified housing need can be met over the plan period.</w:t>
      </w:r>
    </w:p>
    <w:p w14:paraId="3A658CFA" w14:textId="77777777" w:rsidR="00790EB9" w:rsidRPr="008A2623" w:rsidRDefault="00790EB9" w:rsidP="006E064C">
      <w:pPr>
        <w:pStyle w:val="ListParagraph"/>
        <w:spacing w:after="0" w:line="480" w:lineRule="auto"/>
        <w:contextualSpacing w:val="0"/>
        <w:jc w:val="both"/>
        <w:rPr>
          <w:rFonts w:ascii="Aptos" w:hAnsi="Aptos" w:cstheme="minorHAnsi"/>
        </w:rPr>
      </w:pPr>
    </w:p>
    <w:p w14:paraId="1CCBD972" w14:textId="77777777" w:rsidR="00790EB9" w:rsidRPr="008A2623" w:rsidRDefault="00FE240D" w:rsidP="006E064C">
      <w:pPr>
        <w:pStyle w:val="ListParagraph"/>
        <w:numPr>
          <w:ilvl w:val="1"/>
          <w:numId w:val="1"/>
        </w:numPr>
        <w:spacing w:after="0" w:line="480" w:lineRule="auto"/>
        <w:ind w:left="993" w:hanging="567"/>
        <w:contextualSpacing w:val="0"/>
        <w:jc w:val="both"/>
        <w:rPr>
          <w:rFonts w:ascii="Aptos" w:hAnsi="Aptos" w:cstheme="minorHAnsi"/>
        </w:rPr>
      </w:pPr>
      <w:r w:rsidRPr="008A2623">
        <w:rPr>
          <w:rFonts w:ascii="Aptos" w:hAnsi="Aptos" w:cstheme="minorHAnsi"/>
        </w:rPr>
        <w:t xml:space="preserve">Para. </w:t>
      </w:r>
      <w:r w:rsidR="00CC12E2" w:rsidRPr="008A2623">
        <w:rPr>
          <w:rFonts w:ascii="Aptos" w:hAnsi="Aptos" w:cstheme="minorHAnsi"/>
        </w:rPr>
        <w:t>69 states that strategic policy-making authorities should have a clear</w:t>
      </w:r>
      <w:r w:rsidR="00790EB9" w:rsidRPr="008A2623">
        <w:rPr>
          <w:rFonts w:ascii="Aptos" w:hAnsi="Aptos" w:cstheme="minorHAnsi"/>
        </w:rPr>
        <w:t xml:space="preserve"> </w:t>
      </w:r>
      <w:r w:rsidR="00CC12E2" w:rsidRPr="008A2623">
        <w:rPr>
          <w:rFonts w:ascii="Aptos" w:hAnsi="Aptos" w:cstheme="minorHAnsi"/>
        </w:rPr>
        <w:t>understanding of the land available in their area through the preparation of a</w:t>
      </w:r>
      <w:r w:rsidR="00790EB9" w:rsidRPr="008A2623">
        <w:rPr>
          <w:rFonts w:ascii="Aptos" w:hAnsi="Aptos" w:cstheme="minorHAnsi"/>
        </w:rPr>
        <w:t xml:space="preserve"> </w:t>
      </w:r>
      <w:r w:rsidR="00CC12E2" w:rsidRPr="008A2623">
        <w:rPr>
          <w:rFonts w:ascii="Aptos" w:hAnsi="Aptos" w:cstheme="minorHAnsi"/>
        </w:rPr>
        <w:t>strategic housing land availability assessment. From this, planning policies should</w:t>
      </w:r>
      <w:r w:rsidR="00790EB9" w:rsidRPr="008A2623">
        <w:rPr>
          <w:rFonts w:ascii="Aptos" w:hAnsi="Aptos" w:cstheme="minorHAnsi"/>
        </w:rPr>
        <w:t xml:space="preserve"> </w:t>
      </w:r>
      <w:r w:rsidR="00CC12E2" w:rsidRPr="008A2623">
        <w:rPr>
          <w:rFonts w:ascii="Aptos" w:hAnsi="Aptos" w:cstheme="minorHAnsi"/>
        </w:rPr>
        <w:t xml:space="preserve">identify a sufficient supply and mix of sites </w:t>
      </w:r>
      <w:proofErr w:type="gramStart"/>
      <w:r w:rsidR="00CC12E2" w:rsidRPr="008A2623">
        <w:rPr>
          <w:rFonts w:ascii="Aptos" w:hAnsi="Aptos" w:cstheme="minorHAnsi"/>
        </w:rPr>
        <w:t>taking into account</w:t>
      </w:r>
      <w:proofErr w:type="gramEnd"/>
      <w:r w:rsidR="00CC12E2" w:rsidRPr="008A2623">
        <w:rPr>
          <w:rFonts w:ascii="Aptos" w:hAnsi="Aptos" w:cstheme="minorHAnsi"/>
        </w:rPr>
        <w:t xml:space="preserve"> their availability,</w:t>
      </w:r>
      <w:r w:rsidR="00790EB9" w:rsidRPr="008A2623">
        <w:rPr>
          <w:rFonts w:ascii="Aptos" w:hAnsi="Aptos" w:cstheme="minorHAnsi"/>
        </w:rPr>
        <w:t xml:space="preserve"> </w:t>
      </w:r>
      <w:r w:rsidR="00CC12E2" w:rsidRPr="008A2623">
        <w:rPr>
          <w:rFonts w:ascii="Aptos" w:hAnsi="Aptos" w:cstheme="minorHAnsi"/>
        </w:rPr>
        <w:t>suitability and likely economic viability.</w:t>
      </w:r>
    </w:p>
    <w:p w14:paraId="5361A1B6" w14:textId="77777777" w:rsidR="00790EB9" w:rsidRPr="008A2623" w:rsidRDefault="00790EB9" w:rsidP="006E064C">
      <w:pPr>
        <w:pStyle w:val="ListParagraph"/>
        <w:spacing w:after="0" w:line="480" w:lineRule="auto"/>
        <w:contextualSpacing w:val="0"/>
        <w:jc w:val="both"/>
        <w:rPr>
          <w:rFonts w:ascii="Aptos" w:hAnsi="Aptos" w:cstheme="minorHAnsi"/>
        </w:rPr>
      </w:pPr>
    </w:p>
    <w:p w14:paraId="6FA60AEA" w14:textId="77777777" w:rsidR="00790EB9" w:rsidRPr="008A2623" w:rsidRDefault="00790EB9" w:rsidP="006E064C">
      <w:pPr>
        <w:pStyle w:val="ListParagraph"/>
        <w:numPr>
          <w:ilvl w:val="1"/>
          <w:numId w:val="1"/>
        </w:numPr>
        <w:spacing w:after="0" w:line="480" w:lineRule="auto"/>
        <w:ind w:left="993" w:hanging="567"/>
        <w:contextualSpacing w:val="0"/>
        <w:jc w:val="both"/>
        <w:rPr>
          <w:rFonts w:ascii="Aptos" w:hAnsi="Aptos" w:cstheme="minorHAnsi"/>
        </w:rPr>
      </w:pPr>
      <w:r w:rsidRPr="008A2623">
        <w:rPr>
          <w:rFonts w:ascii="Aptos" w:hAnsi="Aptos" w:cstheme="minorHAnsi"/>
        </w:rPr>
        <w:t>Para. 7</w:t>
      </w:r>
      <w:r w:rsidR="00CC12E2" w:rsidRPr="008A2623">
        <w:rPr>
          <w:rFonts w:ascii="Aptos" w:hAnsi="Aptos" w:cstheme="minorHAnsi"/>
        </w:rPr>
        <w:t>0 provides that small and medium sized sites can make an important</w:t>
      </w:r>
      <w:r w:rsidRPr="008A2623">
        <w:rPr>
          <w:rFonts w:ascii="Aptos" w:hAnsi="Aptos" w:cstheme="minorHAnsi"/>
        </w:rPr>
        <w:t xml:space="preserve"> </w:t>
      </w:r>
      <w:r w:rsidR="00CC12E2" w:rsidRPr="008A2623">
        <w:rPr>
          <w:rFonts w:ascii="Aptos" w:hAnsi="Aptos" w:cstheme="minorHAnsi"/>
        </w:rPr>
        <w:t>contribution to meeting the housing requirement of an area.</w:t>
      </w:r>
    </w:p>
    <w:p w14:paraId="4FFDB66E" w14:textId="77777777" w:rsidR="00790EB9" w:rsidRPr="008A2623" w:rsidRDefault="00790EB9" w:rsidP="006E064C">
      <w:pPr>
        <w:pStyle w:val="ListParagraph"/>
        <w:spacing w:after="0" w:line="480" w:lineRule="auto"/>
        <w:contextualSpacing w:val="0"/>
        <w:jc w:val="both"/>
        <w:rPr>
          <w:rFonts w:ascii="Aptos" w:hAnsi="Aptos" w:cstheme="minorHAnsi"/>
        </w:rPr>
      </w:pPr>
    </w:p>
    <w:p w14:paraId="124E01B6" w14:textId="20A646EE" w:rsidR="00790EB9" w:rsidRPr="008A2623" w:rsidRDefault="00790EB9" w:rsidP="006E064C">
      <w:pPr>
        <w:pStyle w:val="ListParagraph"/>
        <w:numPr>
          <w:ilvl w:val="1"/>
          <w:numId w:val="1"/>
        </w:numPr>
        <w:spacing w:after="0" w:line="480" w:lineRule="auto"/>
        <w:ind w:left="993" w:hanging="567"/>
        <w:contextualSpacing w:val="0"/>
        <w:jc w:val="both"/>
        <w:rPr>
          <w:rFonts w:ascii="Aptos" w:hAnsi="Aptos" w:cstheme="minorHAnsi"/>
        </w:rPr>
      </w:pPr>
      <w:r w:rsidRPr="008A2623">
        <w:rPr>
          <w:rFonts w:ascii="Aptos" w:hAnsi="Aptos" w:cstheme="minorHAnsi"/>
        </w:rPr>
        <w:lastRenderedPageBreak/>
        <w:t xml:space="preserve">Para. </w:t>
      </w:r>
      <w:r w:rsidR="00CC12E2" w:rsidRPr="008A2623">
        <w:rPr>
          <w:rFonts w:ascii="Aptos" w:hAnsi="Aptos" w:cstheme="minorHAnsi"/>
        </w:rPr>
        <w:t>82 provides that in rural areas, planning policies and</w:t>
      </w:r>
      <w:r w:rsidRPr="008A2623">
        <w:rPr>
          <w:rFonts w:ascii="Aptos" w:hAnsi="Aptos" w:cstheme="minorHAnsi"/>
        </w:rPr>
        <w:t xml:space="preserve"> </w:t>
      </w:r>
      <w:r w:rsidR="00CC12E2" w:rsidRPr="008A2623">
        <w:rPr>
          <w:rFonts w:ascii="Aptos" w:hAnsi="Aptos" w:cstheme="minorHAnsi"/>
        </w:rPr>
        <w:t>decisions should be responsive to local circumstances and support housing</w:t>
      </w:r>
      <w:r w:rsidRPr="008A2623">
        <w:rPr>
          <w:rFonts w:ascii="Aptos" w:hAnsi="Aptos" w:cstheme="minorHAnsi"/>
        </w:rPr>
        <w:t xml:space="preserve"> </w:t>
      </w:r>
      <w:r w:rsidR="00CC12E2" w:rsidRPr="008A2623">
        <w:rPr>
          <w:rFonts w:ascii="Aptos" w:hAnsi="Aptos" w:cstheme="minorHAnsi"/>
        </w:rPr>
        <w:t>developments that reflect local needs, including proposals for community-led</w:t>
      </w:r>
      <w:r w:rsidRPr="008A2623">
        <w:rPr>
          <w:rFonts w:ascii="Aptos" w:hAnsi="Aptos" w:cstheme="minorHAnsi"/>
        </w:rPr>
        <w:t xml:space="preserve"> </w:t>
      </w:r>
      <w:r w:rsidR="00CC12E2" w:rsidRPr="008A2623">
        <w:rPr>
          <w:rFonts w:ascii="Aptos" w:hAnsi="Aptos" w:cstheme="minorHAnsi"/>
        </w:rPr>
        <w:t>development for housing. Further, local planning authorities should support</w:t>
      </w:r>
      <w:r w:rsidRPr="008A2623">
        <w:rPr>
          <w:rFonts w:ascii="Aptos" w:hAnsi="Aptos" w:cstheme="minorHAnsi"/>
        </w:rPr>
        <w:t xml:space="preserve"> </w:t>
      </w:r>
      <w:r w:rsidR="00CC12E2" w:rsidRPr="008A2623">
        <w:rPr>
          <w:rFonts w:ascii="Aptos" w:hAnsi="Aptos" w:cstheme="minorHAnsi"/>
        </w:rPr>
        <w:t>opportunities to bring forward rural exception sites that will provide affordable</w:t>
      </w:r>
      <w:r w:rsidRPr="008A2623">
        <w:rPr>
          <w:rFonts w:ascii="Aptos" w:hAnsi="Aptos" w:cstheme="minorHAnsi"/>
        </w:rPr>
        <w:t xml:space="preserve"> </w:t>
      </w:r>
      <w:r w:rsidR="00CC12E2" w:rsidRPr="008A2623">
        <w:rPr>
          <w:rFonts w:ascii="Aptos" w:hAnsi="Aptos" w:cstheme="minorHAnsi"/>
        </w:rPr>
        <w:t xml:space="preserve">housing to meet identified local </w:t>
      </w:r>
      <w:proofErr w:type="gramStart"/>
      <w:r w:rsidR="00CC12E2" w:rsidRPr="008A2623">
        <w:rPr>
          <w:rFonts w:ascii="Aptos" w:hAnsi="Aptos" w:cstheme="minorHAnsi"/>
        </w:rPr>
        <w:t>needs, and</w:t>
      </w:r>
      <w:proofErr w:type="gramEnd"/>
      <w:r w:rsidR="00CC12E2" w:rsidRPr="008A2623">
        <w:rPr>
          <w:rFonts w:ascii="Aptos" w:hAnsi="Aptos" w:cstheme="minorHAnsi"/>
        </w:rPr>
        <w:t xml:space="preserve"> consider whether allowing some market</w:t>
      </w:r>
      <w:r w:rsidRPr="008A2623">
        <w:rPr>
          <w:rFonts w:ascii="Aptos" w:hAnsi="Aptos" w:cstheme="minorHAnsi"/>
        </w:rPr>
        <w:t xml:space="preserve"> </w:t>
      </w:r>
      <w:r w:rsidR="00CC12E2" w:rsidRPr="008A2623">
        <w:rPr>
          <w:rFonts w:ascii="Aptos" w:hAnsi="Aptos" w:cstheme="minorHAnsi"/>
        </w:rPr>
        <w:t>housing on these sites would help to facilitate this.</w:t>
      </w:r>
    </w:p>
    <w:p w14:paraId="55A452FF" w14:textId="77777777" w:rsidR="00790EB9" w:rsidRPr="008A2623" w:rsidRDefault="00790EB9" w:rsidP="006E064C">
      <w:pPr>
        <w:pStyle w:val="ListParagraph"/>
        <w:spacing w:after="0" w:line="480" w:lineRule="auto"/>
        <w:contextualSpacing w:val="0"/>
        <w:jc w:val="both"/>
        <w:rPr>
          <w:rFonts w:ascii="Aptos" w:hAnsi="Aptos" w:cstheme="minorHAnsi"/>
        </w:rPr>
      </w:pPr>
    </w:p>
    <w:p w14:paraId="5DC6DE20" w14:textId="45E23668" w:rsidR="00CC12E2" w:rsidRPr="008A2623" w:rsidRDefault="00CC12E2" w:rsidP="006E064C">
      <w:pPr>
        <w:pStyle w:val="ListParagraph"/>
        <w:numPr>
          <w:ilvl w:val="1"/>
          <w:numId w:val="1"/>
        </w:numPr>
        <w:spacing w:after="0" w:line="480" w:lineRule="auto"/>
        <w:ind w:left="993" w:hanging="567"/>
        <w:contextualSpacing w:val="0"/>
        <w:jc w:val="both"/>
        <w:rPr>
          <w:rFonts w:ascii="Aptos" w:hAnsi="Aptos" w:cstheme="minorHAnsi"/>
        </w:rPr>
      </w:pPr>
      <w:r w:rsidRPr="008A2623">
        <w:rPr>
          <w:rFonts w:ascii="Aptos" w:hAnsi="Aptos" w:cstheme="minorHAnsi"/>
        </w:rPr>
        <w:t>Finally, para</w:t>
      </w:r>
      <w:r w:rsidR="00790EB9" w:rsidRPr="008A2623">
        <w:rPr>
          <w:rFonts w:ascii="Aptos" w:hAnsi="Aptos" w:cstheme="minorHAnsi"/>
        </w:rPr>
        <w:t>.</w:t>
      </w:r>
      <w:r w:rsidRPr="008A2623">
        <w:rPr>
          <w:rFonts w:ascii="Aptos" w:hAnsi="Aptos" w:cstheme="minorHAnsi"/>
        </w:rPr>
        <w:t xml:space="preserve"> 83 states that to promote sustainable development in rural</w:t>
      </w:r>
      <w:r w:rsidR="00790EB9" w:rsidRPr="008A2623">
        <w:rPr>
          <w:rFonts w:ascii="Aptos" w:hAnsi="Aptos" w:cstheme="minorHAnsi"/>
        </w:rPr>
        <w:t xml:space="preserve"> </w:t>
      </w:r>
      <w:r w:rsidRPr="008A2623">
        <w:rPr>
          <w:rFonts w:ascii="Aptos" w:hAnsi="Aptos" w:cstheme="minorHAnsi"/>
        </w:rPr>
        <w:t>areas, housing should be located where it will enhance or maintain the vitality of</w:t>
      </w:r>
      <w:r w:rsidR="00790EB9" w:rsidRPr="008A2623">
        <w:rPr>
          <w:rFonts w:ascii="Aptos" w:hAnsi="Aptos" w:cstheme="minorHAnsi"/>
        </w:rPr>
        <w:t xml:space="preserve"> </w:t>
      </w:r>
      <w:r w:rsidRPr="008A2623">
        <w:rPr>
          <w:rFonts w:ascii="Aptos" w:hAnsi="Aptos" w:cstheme="minorHAnsi"/>
        </w:rPr>
        <w:t>rural communities. Planning policies should identify opportunities for villages to</w:t>
      </w:r>
      <w:r w:rsidR="00790EB9" w:rsidRPr="008A2623">
        <w:rPr>
          <w:rFonts w:ascii="Aptos" w:hAnsi="Aptos" w:cstheme="minorHAnsi"/>
        </w:rPr>
        <w:t xml:space="preserve"> </w:t>
      </w:r>
      <w:r w:rsidRPr="008A2623">
        <w:rPr>
          <w:rFonts w:ascii="Aptos" w:hAnsi="Aptos" w:cstheme="minorHAnsi"/>
        </w:rPr>
        <w:t>grow and thrive, especially where this will support local services</w:t>
      </w:r>
      <w:r w:rsidR="00790EB9" w:rsidRPr="008A2623">
        <w:rPr>
          <w:rFonts w:ascii="Aptos" w:hAnsi="Aptos" w:cstheme="minorHAnsi"/>
        </w:rPr>
        <w:t>.</w:t>
      </w:r>
    </w:p>
    <w:p w14:paraId="31B6F642" w14:textId="77777777" w:rsidR="007D6B67" w:rsidRPr="008A2623" w:rsidRDefault="007D6B67" w:rsidP="006E064C">
      <w:pPr>
        <w:pStyle w:val="ListParagraph"/>
        <w:spacing w:after="0" w:line="480" w:lineRule="auto"/>
        <w:contextualSpacing w:val="0"/>
        <w:jc w:val="both"/>
        <w:rPr>
          <w:rFonts w:ascii="Aptos" w:hAnsi="Aptos" w:cstheme="minorHAnsi"/>
        </w:rPr>
      </w:pPr>
    </w:p>
    <w:p w14:paraId="5F2536DF" w14:textId="0243AD58" w:rsidR="007D6B67" w:rsidRDefault="007D6B67" w:rsidP="006E064C">
      <w:pPr>
        <w:pStyle w:val="ListParagraph"/>
        <w:numPr>
          <w:ilvl w:val="0"/>
          <w:numId w:val="1"/>
        </w:numPr>
        <w:spacing w:after="0" w:line="480" w:lineRule="auto"/>
        <w:contextualSpacing w:val="0"/>
        <w:jc w:val="both"/>
        <w:rPr>
          <w:rFonts w:ascii="Aptos" w:hAnsi="Aptos" w:cstheme="minorHAnsi"/>
        </w:rPr>
      </w:pPr>
      <w:r w:rsidRPr="008A2623">
        <w:rPr>
          <w:rFonts w:ascii="Aptos" w:hAnsi="Aptos" w:cstheme="minorHAnsi"/>
        </w:rPr>
        <w:t xml:space="preserve">Mr Bristow’s evidence is that the Scheme is in conformity with the housing policies of the NPPF. </w:t>
      </w:r>
    </w:p>
    <w:p w14:paraId="6798ED70" w14:textId="77777777" w:rsidR="008A2623" w:rsidRPr="008A2623" w:rsidRDefault="008A2623" w:rsidP="006E064C">
      <w:pPr>
        <w:pStyle w:val="ListParagraph"/>
        <w:spacing w:after="0" w:line="480" w:lineRule="auto"/>
        <w:ind w:left="360"/>
        <w:contextualSpacing w:val="0"/>
        <w:jc w:val="both"/>
        <w:rPr>
          <w:rFonts w:ascii="Aptos" w:hAnsi="Aptos" w:cstheme="minorHAnsi"/>
        </w:rPr>
      </w:pPr>
    </w:p>
    <w:p w14:paraId="3CFD5339" w14:textId="069DAF8E" w:rsidR="00CC12E2" w:rsidRPr="008A2623" w:rsidRDefault="007D6B67" w:rsidP="006E064C">
      <w:pPr>
        <w:pStyle w:val="ListParagraph"/>
        <w:numPr>
          <w:ilvl w:val="0"/>
          <w:numId w:val="1"/>
        </w:numPr>
        <w:spacing w:after="0" w:line="480" w:lineRule="auto"/>
        <w:contextualSpacing w:val="0"/>
        <w:jc w:val="both"/>
        <w:rPr>
          <w:rFonts w:ascii="Aptos" w:hAnsi="Aptos" w:cstheme="minorHAnsi"/>
        </w:rPr>
      </w:pPr>
      <w:r w:rsidRPr="008A2623">
        <w:rPr>
          <w:rFonts w:ascii="Aptos" w:hAnsi="Aptos" w:cstheme="minorHAnsi"/>
        </w:rPr>
        <w:t xml:space="preserve">Turning to national policy in relation to AONBs, para. </w:t>
      </w:r>
      <w:r w:rsidR="00CC12E2" w:rsidRPr="008A2623">
        <w:rPr>
          <w:rFonts w:ascii="Aptos" w:hAnsi="Aptos" w:cstheme="minorHAnsi"/>
        </w:rPr>
        <w:t>182 provides that great weight should be given to conserving and</w:t>
      </w:r>
      <w:r w:rsidRPr="008A2623">
        <w:rPr>
          <w:rFonts w:ascii="Aptos" w:hAnsi="Aptos" w:cstheme="minorHAnsi"/>
        </w:rPr>
        <w:t xml:space="preserve"> </w:t>
      </w:r>
      <w:r w:rsidR="00CC12E2" w:rsidRPr="008A2623">
        <w:rPr>
          <w:rFonts w:ascii="Aptos" w:hAnsi="Aptos" w:cstheme="minorHAnsi"/>
        </w:rPr>
        <w:t xml:space="preserve">enhancing landscape and scenic beauty in </w:t>
      </w:r>
      <w:r w:rsidRPr="008A2623">
        <w:rPr>
          <w:rFonts w:ascii="Aptos" w:hAnsi="Aptos" w:cstheme="minorHAnsi"/>
        </w:rPr>
        <w:t>AONBs</w:t>
      </w:r>
      <w:r w:rsidR="00D51BD0" w:rsidRPr="008A2623">
        <w:rPr>
          <w:rFonts w:ascii="Aptos" w:hAnsi="Aptos" w:cstheme="minorHAnsi"/>
        </w:rPr>
        <w:t>; and t</w:t>
      </w:r>
      <w:r w:rsidR="00CC12E2" w:rsidRPr="008A2623">
        <w:rPr>
          <w:rFonts w:ascii="Aptos" w:hAnsi="Aptos" w:cstheme="minorHAnsi"/>
        </w:rPr>
        <w:t>hat the scale and extent of development within</w:t>
      </w:r>
      <w:r w:rsidR="00A4419D" w:rsidRPr="008A2623">
        <w:rPr>
          <w:rFonts w:ascii="Aptos" w:hAnsi="Aptos" w:cstheme="minorHAnsi"/>
        </w:rPr>
        <w:t xml:space="preserve"> AONBs</w:t>
      </w:r>
      <w:r w:rsidR="00CC12E2" w:rsidRPr="008A2623">
        <w:rPr>
          <w:rFonts w:ascii="Aptos" w:hAnsi="Aptos" w:cstheme="minorHAnsi"/>
        </w:rPr>
        <w:t xml:space="preserve"> should be limited</w:t>
      </w:r>
      <w:r w:rsidR="00D51BD0" w:rsidRPr="008A2623">
        <w:rPr>
          <w:rFonts w:ascii="Aptos" w:hAnsi="Aptos" w:cstheme="minorHAnsi"/>
        </w:rPr>
        <w:t xml:space="preserve">. Para. </w:t>
      </w:r>
      <w:r w:rsidR="00CC12E2" w:rsidRPr="008A2623">
        <w:rPr>
          <w:rFonts w:ascii="Aptos" w:hAnsi="Aptos" w:cstheme="minorHAnsi"/>
        </w:rPr>
        <w:t>183 provides that when considering applications for development within</w:t>
      </w:r>
      <w:r w:rsidR="00D51BD0" w:rsidRPr="008A2623">
        <w:rPr>
          <w:rFonts w:ascii="Aptos" w:hAnsi="Aptos" w:cstheme="minorHAnsi"/>
        </w:rPr>
        <w:t xml:space="preserve"> AONBs, planning </w:t>
      </w:r>
      <w:r w:rsidR="00CC12E2" w:rsidRPr="008A2623">
        <w:rPr>
          <w:rFonts w:ascii="Aptos" w:hAnsi="Aptos" w:cstheme="minorHAnsi"/>
        </w:rPr>
        <w:t>permission should be refused for major</w:t>
      </w:r>
      <w:r w:rsidR="00D51BD0" w:rsidRPr="008A2623">
        <w:rPr>
          <w:rFonts w:ascii="Aptos" w:hAnsi="Aptos" w:cstheme="minorHAnsi"/>
        </w:rPr>
        <w:t xml:space="preserve"> </w:t>
      </w:r>
      <w:r w:rsidR="00CC12E2" w:rsidRPr="008A2623">
        <w:rPr>
          <w:rFonts w:ascii="Aptos" w:hAnsi="Aptos" w:cstheme="minorHAnsi"/>
        </w:rPr>
        <w:t>development other than in exceptional circumstances and where it can be</w:t>
      </w:r>
      <w:r w:rsidR="00D51BD0" w:rsidRPr="008A2623">
        <w:rPr>
          <w:rFonts w:ascii="Aptos" w:hAnsi="Aptos" w:cstheme="minorHAnsi"/>
        </w:rPr>
        <w:t xml:space="preserve"> </w:t>
      </w:r>
      <w:r w:rsidR="00CC12E2" w:rsidRPr="008A2623">
        <w:rPr>
          <w:rFonts w:ascii="Aptos" w:hAnsi="Aptos" w:cstheme="minorHAnsi"/>
        </w:rPr>
        <w:t>demonstrated that the development is in the public interest. In considering such</w:t>
      </w:r>
      <w:r w:rsidR="00D51BD0" w:rsidRPr="008A2623">
        <w:rPr>
          <w:rFonts w:ascii="Aptos" w:hAnsi="Aptos" w:cstheme="minorHAnsi"/>
        </w:rPr>
        <w:t xml:space="preserve"> </w:t>
      </w:r>
      <w:r w:rsidR="00CC12E2" w:rsidRPr="008A2623">
        <w:rPr>
          <w:rFonts w:ascii="Aptos" w:hAnsi="Aptos" w:cstheme="minorHAnsi"/>
        </w:rPr>
        <w:t>applications local planning authorities should include an assessment of the need</w:t>
      </w:r>
      <w:r w:rsidR="00D51BD0" w:rsidRPr="008A2623">
        <w:rPr>
          <w:rFonts w:ascii="Aptos" w:hAnsi="Aptos" w:cstheme="minorHAnsi"/>
        </w:rPr>
        <w:t xml:space="preserve"> </w:t>
      </w:r>
      <w:r w:rsidR="00CC12E2" w:rsidRPr="008A2623">
        <w:rPr>
          <w:rFonts w:ascii="Aptos" w:hAnsi="Aptos" w:cstheme="minorHAnsi"/>
        </w:rPr>
        <w:t>for the development</w:t>
      </w:r>
      <w:r w:rsidR="00D51BD0" w:rsidRPr="008A2623">
        <w:rPr>
          <w:rFonts w:ascii="Aptos" w:hAnsi="Aptos" w:cstheme="minorHAnsi"/>
        </w:rPr>
        <w:t>.</w:t>
      </w:r>
      <w:r w:rsidR="004C7643" w:rsidRPr="008A2623">
        <w:rPr>
          <w:rFonts w:ascii="Aptos" w:hAnsi="Aptos" w:cstheme="minorHAnsi"/>
        </w:rPr>
        <w:t xml:space="preserve"> Mr Bristow’s evidence is that t</w:t>
      </w:r>
      <w:r w:rsidR="00CC12E2" w:rsidRPr="008A2623">
        <w:rPr>
          <w:rFonts w:ascii="Aptos" w:hAnsi="Aptos" w:cstheme="minorHAnsi"/>
        </w:rPr>
        <w:t xml:space="preserve">he Scheme is consistent with these policies, which were </w:t>
      </w:r>
      <w:proofErr w:type="gramStart"/>
      <w:r w:rsidR="00CC12E2" w:rsidRPr="008A2623">
        <w:rPr>
          <w:rFonts w:ascii="Aptos" w:hAnsi="Aptos" w:cstheme="minorHAnsi"/>
        </w:rPr>
        <w:t>taken into account</w:t>
      </w:r>
      <w:proofErr w:type="gramEnd"/>
      <w:r w:rsidR="00CC12E2" w:rsidRPr="008A2623">
        <w:rPr>
          <w:rFonts w:ascii="Aptos" w:hAnsi="Aptos" w:cstheme="minorHAnsi"/>
        </w:rPr>
        <w:t xml:space="preserve"> by</w:t>
      </w:r>
      <w:r w:rsidR="004C7643" w:rsidRPr="008A2623">
        <w:rPr>
          <w:rFonts w:ascii="Aptos" w:hAnsi="Aptos" w:cstheme="minorHAnsi"/>
        </w:rPr>
        <w:t xml:space="preserve"> </w:t>
      </w:r>
      <w:r w:rsidR="00CC12E2" w:rsidRPr="008A2623">
        <w:rPr>
          <w:rFonts w:ascii="Aptos" w:hAnsi="Aptos" w:cstheme="minorHAnsi"/>
        </w:rPr>
        <w:t>the Council, during the consideration and determination of the planning</w:t>
      </w:r>
      <w:r w:rsidR="004C7643" w:rsidRPr="008A2623">
        <w:rPr>
          <w:rFonts w:ascii="Aptos" w:hAnsi="Aptos" w:cstheme="minorHAnsi"/>
        </w:rPr>
        <w:t xml:space="preserve"> </w:t>
      </w:r>
      <w:r w:rsidR="00CC12E2" w:rsidRPr="008A2623">
        <w:rPr>
          <w:rFonts w:ascii="Aptos" w:hAnsi="Aptos" w:cstheme="minorHAnsi"/>
        </w:rPr>
        <w:t xml:space="preserve">applications </w:t>
      </w:r>
      <w:r w:rsidR="004C7643" w:rsidRPr="008A2623">
        <w:rPr>
          <w:rFonts w:ascii="Aptos" w:hAnsi="Aptos" w:cstheme="minorHAnsi"/>
        </w:rPr>
        <w:t>for</w:t>
      </w:r>
      <w:r w:rsidR="00CC12E2" w:rsidRPr="008A2623">
        <w:rPr>
          <w:rFonts w:ascii="Aptos" w:hAnsi="Aptos" w:cstheme="minorHAnsi"/>
        </w:rPr>
        <w:t xml:space="preserve"> the Housing Site.</w:t>
      </w:r>
    </w:p>
    <w:p w14:paraId="43944059" w14:textId="77777777" w:rsidR="004C7643" w:rsidRPr="008A2623" w:rsidRDefault="004C7643" w:rsidP="006E064C">
      <w:pPr>
        <w:pStyle w:val="ListParagraph"/>
        <w:spacing w:after="0" w:line="480" w:lineRule="auto"/>
        <w:ind w:left="360"/>
        <w:contextualSpacing w:val="0"/>
        <w:jc w:val="both"/>
        <w:rPr>
          <w:rFonts w:ascii="Aptos" w:hAnsi="Aptos" w:cstheme="minorHAnsi"/>
        </w:rPr>
      </w:pPr>
    </w:p>
    <w:p w14:paraId="313D0FDF" w14:textId="29A069C2" w:rsidR="004C7643" w:rsidRPr="008A2623" w:rsidRDefault="004C7643" w:rsidP="006E064C">
      <w:pPr>
        <w:pStyle w:val="ListParagraph"/>
        <w:numPr>
          <w:ilvl w:val="0"/>
          <w:numId w:val="1"/>
        </w:numPr>
        <w:spacing w:after="0" w:line="480" w:lineRule="auto"/>
        <w:contextualSpacing w:val="0"/>
        <w:jc w:val="both"/>
        <w:rPr>
          <w:rFonts w:ascii="Aptos" w:hAnsi="Aptos" w:cstheme="minorHAnsi"/>
        </w:rPr>
      </w:pPr>
      <w:r w:rsidRPr="008A2623">
        <w:rPr>
          <w:rFonts w:ascii="Aptos" w:hAnsi="Aptos" w:cstheme="minorHAnsi"/>
        </w:rPr>
        <w:t xml:space="preserve">In conclusion, the Scheme is supported by the statutory development plan (being the Local Plan together with the Neighbourhood Plan) and by the NPPF. </w:t>
      </w:r>
    </w:p>
    <w:p w14:paraId="24C3F169" w14:textId="77777777" w:rsidR="004C7643" w:rsidRPr="008A2623" w:rsidRDefault="004C7643" w:rsidP="006E064C">
      <w:pPr>
        <w:pStyle w:val="ListParagraph"/>
        <w:spacing w:after="0" w:line="480" w:lineRule="auto"/>
        <w:contextualSpacing w:val="0"/>
        <w:jc w:val="both"/>
        <w:rPr>
          <w:rFonts w:ascii="Aptos" w:hAnsi="Aptos" w:cstheme="minorHAnsi"/>
        </w:rPr>
      </w:pPr>
    </w:p>
    <w:p w14:paraId="2135B741" w14:textId="4C78F19C" w:rsidR="004C7643" w:rsidRPr="008A2623" w:rsidRDefault="004C7643" w:rsidP="006E064C">
      <w:pPr>
        <w:pStyle w:val="ListParagraph"/>
        <w:numPr>
          <w:ilvl w:val="0"/>
          <w:numId w:val="1"/>
        </w:numPr>
        <w:spacing w:after="0" w:line="480" w:lineRule="auto"/>
        <w:contextualSpacing w:val="0"/>
        <w:jc w:val="both"/>
        <w:rPr>
          <w:rFonts w:ascii="Aptos" w:hAnsi="Aptos" w:cstheme="minorHAnsi"/>
        </w:rPr>
      </w:pPr>
      <w:r w:rsidRPr="008A2623">
        <w:rPr>
          <w:rFonts w:ascii="Aptos" w:hAnsi="Aptos" w:cstheme="minorHAnsi"/>
        </w:rPr>
        <w:t xml:space="preserve">Mr </w:t>
      </w:r>
      <w:proofErr w:type="spellStart"/>
      <w:r w:rsidRPr="008A2623">
        <w:rPr>
          <w:rFonts w:ascii="Aptos" w:hAnsi="Aptos" w:cstheme="minorHAnsi"/>
        </w:rPr>
        <w:t>Corkett</w:t>
      </w:r>
      <w:proofErr w:type="spellEnd"/>
      <w:r w:rsidRPr="008A2623">
        <w:rPr>
          <w:rFonts w:ascii="Aptos" w:hAnsi="Aptos" w:cstheme="minorHAnsi"/>
        </w:rPr>
        <w:t xml:space="preserve"> contended that </w:t>
      </w:r>
      <w:r w:rsidR="00EE210B" w:rsidRPr="008A2623">
        <w:rPr>
          <w:rFonts w:ascii="Aptos" w:hAnsi="Aptos" w:cstheme="minorHAnsi"/>
        </w:rPr>
        <w:t xml:space="preserve">Plot 2 falls outside the red line boundary of the Planning Permission. That is not accepted (the position is as depicted in </w:t>
      </w:r>
      <w:r w:rsidR="00846376" w:rsidRPr="008A2623">
        <w:rPr>
          <w:rFonts w:ascii="Aptos" w:hAnsi="Aptos" w:cstheme="minorHAnsi"/>
        </w:rPr>
        <w:t>Appendix 1 to Ms Blackman’s proof of evidence</w:t>
      </w:r>
      <w:r w:rsidR="00846376" w:rsidRPr="008A2623">
        <w:rPr>
          <w:rStyle w:val="FootnoteReference"/>
          <w:rFonts w:ascii="Aptos" w:hAnsi="Aptos" w:cstheme="minorHAnsi"/>
        </w:rPr>
        <w:footnoteReference w:id="19"/>
      </w:r>
      <w:r w:rsidR="00846376" w:rsidRPr="008A2623">
        <w:rPr>
          <w:rFonts w:ascii="Aptos" w:hAnsi="Aptos" w:cstheme="minorHAnsi"/>
        </w:rPr>
        <w:t>)</w:t>
      </w:r>
      <w:r w:rsidR="00FD6C3E" w:rsidRPr="008A2623">
        <w:rPr>
          <w:rFonts w:ascii="Aptos" w:hAnsi="Aptos" w:cstheme="minorHAnsi"/>
        </w:rPr>
        <w:t xml:space="preserve"> but in any event there is no need for Plot 2 to fall within the red line boundary of the Planning Permission, since it </w:t>
      </w:r>
      <w:r w:rsidR="00B163CA" w:rsidRPr="008A2623">
        <w:rPr>
          <w:rFonts w:ascii="Aptos" w:hAnsi="Aptos" w:cstheme="minorHAnsi"/>
        </w:rPr>
        <w:t>lies within the public highway such that it</w:t>
      </w:r>
      <w:r w:rsidR="00A62264">
        <w:rPr>
          <w:rFonts w:ascii="Aptos" w:hAnsi="Aptos" w:cstheme="minorHAnsi"/>
        </w:rPr>
        <w:t xml:space="preserve"> will </w:t>
      </w:r>
      <w:r w:rsidR="003E704B">
        <w:rPr>
          <w:rFonts w:ascii="Aptos" w:hAnsi="Aptos" w:cstheme="minorHAnsi"/>
        </w:rPr>
        <w:t>come within</w:t>
      </w:r>
      <w:r w:rsidR="00A62264">
        <w:rPr>
          <w:rFonts w:ascii="Aptos" w:hAnsi="Aptos" w:cstheme="minorHAnsi"/>
        </w:rPr>
        <w:t xml:space="preserve"> the</w:t>
      </w:r>
      <w:r w:rsidR="0087247A" w:rsidRPr="008A2623">
        <w:rPr>
          <w:rFonts w:ascii="Aptos" w:hAnsi="Aptos" w:cstheme="minorHAnsi"/>
        </w:rPr>
        <w:t xml:space="preserve"> s. 38 / s. 278 agreement that is to be entered into between Martlet and WSCC as local highway authority</w:t>
      </w:r>
      <w:r w:rsidR="0087247A" w:rsidRPr="008A2623">
        <w:rPr>
          <w:rStyle w:val="FootnoteReference"/>
          <w:rFonts w:ascii="Aptos" w:hAnsi="Aptos" w:cstheme="minorHAnsi"/>
        </w:rPr>
        <w:footnoteReference w:id="20"/>
      </w:r>
      <w:r w:rsidR="0087247A" w:rsidRPr="008A2623">
        <w:rPr>
          <w:rFonts w:ascii="Aptos" w:hAnsi="Aptos" w:cstheme="minorHAnsi"/>
        </w:rPr>
        <w:t>.</w:t>
      </w:r>
    </w:p>
    <w:p w14:paraId="176557CC" w14:textId="77777777" w:rsidR="008A2623" w:rsidRPr="008A2623" w:rsidRDefault="008A2623" w:rsidP="006E064C">
      <w:pPr>
        <w:spacing w:after="0" w:line="480" w:lineRule="auto"/>
        <w:jc w:val="both"/>
        <w:rPr>
          <w:rFonts w:ascii="Aptos" w:hAnsi="Aptos" w:cs="Times New Roman"/>
          <w:b/>
          <w:bCs/>
          <w:u w:val="single"/>
        </w:rPr>
      </w:pPr>
    </w:p>
    <w:p w14:paraId="3F2C9EFC" w14:textId="4DD249C8" w:rsidR="00D60B21" w:rsidRPr="008A2623" w:rsidRDefault="00D60B21" w:rsidP="006E064C">
      <w:pPr>
        <w:spacing w:after="0" w:line="480" w:lineRule="auto"/>
        <w:jc w:val="both"/>
        <w:rPr>
          <w:rFonts w:ascii="Aptos" w:hAnsi="Aptos" w:cs="Times New Roman"/>
          <w:b/>
          <w:bCs/>
          <w:u w:val="single"/>
        </w:rPr>
      </w:pPr>
      <w:r w:rsidRPr="008A2623">
        <w:rPr>
          <w:rFonts w:ascii="Aptos" w:hAnsi="Aptos" w:cs="Times New Roman"/>
          <w:b/>
          <w:bCs/>
          <w:u w:val="single"/>
        </w:rPr>
        <w:t>The extent to which the Scheme would contribute to the economic, social or environmental well-being of the area</w:t>
      </w:r>
      <w:r w:rsidRPr="008A2623">
        <w:rPr>
          <w:rStyle w:val="FootnoteReference"/>
          <w:rFonts w:ascii="Aptos" w:hAnsi="Aptos" w:cs="Times New Roman"/>
        </w:rPr>
        <w:footnoteReference w:id="21"/>
      </w:r>
    </w:p>
    <w:p w14:paraId="58AB6D5B" w14:textId="6A2E0E8B" w:rsidR="00942353" w:rsidRDefault="00D60B21" w:rsidP="006E064C">
      <w:pPr>
        <w:pStyle w:val="ListParagraph"/>
        <w:numPr>
          <w:ilvl w:val="0"/>
          <w:numId w:val="1"/>
        </w:numPr>
        <w:spacing w:after="0" w:line="480" w:lineRule="auto"/>
        <w:ind w:left="426" w:hanging="426"/>
        <w:contextualSpacing w:val="0"/>
        <w:jc w:val="both"/>
        <w:rPr>
          <w:rFonts w:ascii="Aptos" w:hAnsi="Aptos" w:cs="Times New Roman"/>
        </w:rPr>
      </w:pPr>
      <w:r w:rsidRPr="008A2623">
        <w:rPr>
          <w:rFonts w:ascii="Aptos" w:hAnsi="Aptos" w:cs="Times New Roman"/>
        </w:rPr>
        <w:t>This aspect of the Council’s case is presented in more detail in Section 7 of Mr Bristow’s proof of evidence</w:t>
      </w:r>
      <w:r w:rsidRPr="008A2623">
        <w:rPr>
          <w:rStyle w:val="FootnoteReference"/>
          <w:rFonts w:ascii="Aptos" w:hAnsi="Aptos" w:cs="Times New Roman"/>
        </w:rPr>
        <w:footnoteReference w:id="22"/>
      </w:r>
      <w:r w:rsidRPr="008A2623">
        <w:rPr>
          <w:rFonts w:ascii="Aptos" w:hAnsi="Aptos" w:cs="Times New Roman"/>
        </w:rPr>
        <w:t xml:space="preserve">. </w:t>
      </w:r>
      <w:r w:rsidR="001022FD">
        <w:rPr>
          <w:rFonts w:ascii="Aptos" w:hAnsi="Aptos" w:cs="Times New Roman"/>
        </w:rPr>
        <w:t xml:space="preserve">It is important to note at the outset that s. 226 of the 1990 Act </w:t>
      </w:r>
      <w:r w:rsidR="00635307">
        <w:rPr>
          <w:rFonts w:ascii="Aptos" w:hAnsi="Aptos" w:cs="Times New Roman"/>
        </w:rPr>
        <w:t xml:space="preserve">empowers the Council to acquire land compulsorily if it thinks that the development is likely to contribute to the achievement of </w:t>
      </w:r>
      <w:r w:rsidR="00D83BE6">
        <w:rPr>
          <w:rFonts w:ascii="Aptos" w:hAnsi="Aptos" w:cs="Times New Roman"/>
        </w:rPr>
        <w:t>the promotion or improvement of (</w:t>
      </w:r>
      <w:proofErr w:type="spellStart"/>
      <w:r w:rsidR="00D83BE6">
        <w:rPr>
          <w:rFonts w:ascii="Aptos" w:hAnsi="Aptos" w:cs="Times New Roman"/>
        </w:rPr>
        <w:t>i</w:t>
      </w:r>
      <w:proofErr w:type="spellEnd"/>
      <w:r w:rsidR="00D83BE6">
        <w:rPr>
          <w:rFonts w:ascii="Aptos" w:hAnsi="Aptos" w:cs="Times New Roman"/>
        </w:rPr>
        <w:t xml:space="preserve">) the economic well-being of its area; </w:t>
      </w:r>
      <w:r w:rsidR="00D83BE6">
        <w:rPr>
          <w:rFonts w:ascii="Aptos" w:hAnsi="Aptos" w:cs="Times New Roman"/>
          <w:u w:val="single"/>
        </w:rPr>
        <w:t>or</w:t>
      </w:r>
      <w:r w:rsidR="00D83BE6">
        <w:rPr>
          <w:rFonts w:ascii="Aptos" w:hAnsi="Aptos" w:cs="Times New Roman"/>
        </w:rPr>
        <w:t xml:space="preserve"> (ii) the social well-being of its area; </w:t>
      </w:r>
      <w:r w:rsidR="00D83BE6">
        <w:rPr>
          <w:rFonts w:ascii="Aptos" w:hAnsi="Aptos" w:cs="Times New Roman"/>
          <w:u w:val="single"/>
        </w:rPr>
        <w:t>or</w:t>
      </w:r>
      <w:r w:rsidR="00D83BE6">
        <w:rPr>
          <w:rFonts w:ascii="Aptos" w:hAnsi="Aptos" w:cs="Times New Roman"/>
        </w:rPr>
        <w:t xml:space="preserve"> (iii) the environmental well-being of its area</w:t>
      </w:r>
      <w:r w:rsidR="00FB3BBA">
        <w:rPr>
          <w:rFonts w:ascii="Aptos" w:hAnsi="Aptos" w:cs="Times New Roman"/>
        </w:rPr>
        <w:t xml:space="preserve"> (the phrase employed is “one or more”). That said, the Council’s evidence shows clearly that the Scheme will contribute to the achievement of all three object</w:t>
      </w:r>
      <w:r w:rsidR="00124590">
        <w:rPr>
          <w:rFonts w:ascii="Aptos" w:hAnsi="Aptos" w:cs="Times New Roman"/>
        </w:rPr>
        <w:t xml:space="preserve">ives. </w:t>
      </w:r>
    </w:p>
    <w:p w14:paraId="54B841A0" w14:textId="77777777" w:rsidR="00942353" w:rsidRDefault="00942353" w:rsidP="006E064C">
      <w:pPr>
        <w:pStyle w:val="ListParagraph"/>
        <w:spacing w:after="0" w:line="480" w:lineRule="auto"/>
        <w:ind w:left="426"/>
        <w:contextualSpacing w:val="0"/>
        <w:jc w:val="both"/>
        <w:rPr>
          <w:rFonts w:ascii="Aptos" w:hAnsi="Aptos" w:cs="Times New Roman"/>
        </w:rPr>
      </w:pPr>
    </w:p>
    <w:p w14:paraId="6292AE65" w14:textId="64CC50B2" w:rsidR="007A169E" w:rsidRPr="00425972" w:rsidRDefault="00D60B21" w:rsidP="00425972">
      <w:pPr>
        <w:pStyle w:val="ListParagraph"/>
        <w:numPr>
          <w:ilvl w:val="0"/>
          <w:numId w:val="1"/>
        </w:numPr>
        <w:spacing w:after="0" w:line="480" w:lineRule="auto"/>
        <w:ind w:left="426" w:hanging="426"/>
        <w:contextualSpacing w:val="0"/>
        <w:jc w:val="both"/>
        <w:rPr>
          <w:rFonts w:ascii="Aptos" w:hAnsi="Aptos" w:cs="Times New Roman"/>
        </w:rPr>
      </w:pPr>
      <w:r w:rsidRPr="008A2623">
        <w:rPr>
          <w:rFonts w:ascii="Aptos" w:hAnsi="Aptos" w:cs="Times New Roman"/>
        </w:rPr>
        <w:lastRenderedPageBreak/>
        <w:t xml:space="preserve">As noted above, each of the 15 affordable homes will be let at a social rent, </w:t>
      </w:r>
      <w:r w:rsidRPr="008A2623">
        <w:rPr>
          <w:rFonts w:ascii="Aptos" w:hAnsi="Aptos" w:cs="Arial"/>
        </w:rPr>
        <w:t xml:space="preserve">i.e. a </w:t>
      </w:r>
      <w:r w:rsidRPr="008A2623">
        <w:rPr>
          <w:rFonts w:ascii="Aptos" w:hAnsi="Aptos" w:cs="ArialMT"/>
        </w:rPr>
        <w:t xml:space="preserve">“target rent” that is determined through </w:t>
      </w:r>
      <w:r w:rsidRPr="008A2623">
        <w:rPr>
          <w:rFonts w:ascii="Aptos" w:hAnsi="Aptos" w:cs="Arial"/>
        </w:rPr>
        <w:t>the national rent regime. This typically produces a rent of about 50% of market rent. This is distinct from other forms of affordable housing such as affordable rent (let at rents of about 80% of market rent), intermediate (shared ownership) housing, starter homes and discount market sales. The affordable homes will therefore be available to the most disadvantaged members of the community.</w:t>
      </w:r>
      <w:r w:rsidR="009E2264">
        <w:rPr>
          <w:rFonts w:ascii="Aptos" w:hAnsi="Aptos" w:cs="Arial"/>
        </w:rPr>
        <w:t xml:space="preserve"> The significant public benefit</w:t>
      </w:r>
      <w:r w:rsidR="006D0469">
        <w:rPr>
          <w:rFonts w:ascii="Aptos" w:hAnsi="Aptos" w:cs="Arial"/>
        </w:rPr>
        <w:t xml:space="preserve"> that results from social housing is evidenced in detail in </w:t>
      </w:r>
      <w:r w:rsidR="00ED509B">
        <w:rPr>
          <w:rFonts w:ascii="Aptos" w:hAnsi="Aptos" w:cs="Arial"/>
        </w:rPr>
        <w:t>Appendix SP23 to Ms Poulter’s rebuttal, which is a piece of research (updated in 2024) that evidences</w:t>
      </w:r>
      <w:r w:rsidR="00A73DF5">
        <w:rPr>
          <w:rFonts w:ascii="Aptos" w:hAnsi="Aptos" w:cs="Arial"/>
        </w:rPr>
        <w:t xml:space="preserve"> a social value per tenancy of £18,051 </w:t>
      </w:r>
      <w:r w:rsidR="00A73DF5">
        <w:rPr>
          <w:rFonts w:ascii="Aptos" w:hAnsi="Aptos" w:cs="Arial"/>
          <w:i/>
          <w:iCs/>
        </w:rPr>
        <w:t>per annum</w:t>
      </w:r>
      <w:r w:rsidR="00A73DF5">
        <w:rPr>
          <w:rFonts w:ascii="Aptos" w:hAnsi="Aptos" w:cs="Arial"/>
        </w:rPr>
        <w:t xml:space="preserve"> </w:t>
      </w:r>
      <w:proofErr w:type="gramStart"/>
      <w:r w:rsidR="00A73DF5">
        <w:rPr>
          <w:rFonts w:ascii="Aptos" w:hAnsi="Aptos" w:cs="Arial"/>
        </w:rPr>
        <w:t>and also</w:t>
      </w:r>
      <w:proofErr w:type="gramEnd"/>
      <w:r w:rsidR="00A73DF5">
        <w:rPr>
          <w:rFonts w:ascii="Aptos" w:hAnsi="Aptos" w:cs="Arial"/>
        </w:rPr>
        <w:t xml:space="preserve"> </w:t>
      </w:r>
      <w:r w:rsidR="00382772">
        <w:rPr>
          <w:rFonts w:ascii="Aptos" w:hAnsi="Aptos" w:cs="Arial"/>
        </w:rPr>
        <w:t>explains the benefit</w:t>
      </w:r>
      <w:r w:rsidR="007A169E">
        <w:rPr>
          <w:rFonts w:ascii="Aptos" w:hAnsi="Aptos" w:cs="Arial"/>
        </w:rPr>
        <w:t xml:space="preserve"> to stakeholders such as the NHS, the police and the local education authority. </w:t>
      </w:r>
    </w:p>
    <w:p w14:paraId="51DB3BD1" w14:textId="77777777" w:rsidR="007A169E" w:rsidRPr="009E2264" w:rsidRDefault="007A169E" w:rsidP="006E064C">
      <w:pPr>
        <w:pStyle w:val="ListParagraph"/>
        <w:spacing w:after="0" w:line="480" w:lineRule="auto"/>
        <w:ind w:left="426"/>
        <w:contextualSpacing w:val="0"/>
        <w:jc w:val="both"/>
        <w:rPr>
          <w:rFonts w:ascii="Aptos" w:hAnsi="Aptos" w:cs="Times New Roman"/>
        </w:rPr>
      </w:pPr>
    </w:p>
    <w:p w14:paraId="460E5275" w14:textId="77777777" w:rsidR="00D60B21" w:rsidRPr="008A2623" w:rsidRDefault="00D60B21" w:rsidP="006E064C">
      <w:pPr>
        <w:pStyle w:val="ListParagraph"/>
        <w:numPr>
          <w:ilvl w:val="0"/>
          <w:numId w:val="1"/>
        </w:numPr>
        <w:spacing w:after="0" w:line="480" w:lineRule="auto"/>
        <w:ind w:left="426" w:hanging="426"/>
        <w:contextualSpacing w:val="0"/>
        <w:jc w:val="both"/>
        <w:rPr>
          <w:rFonts w:ascii="Aptos" w:hAnsi="Aptos" w:cs="Times New Roman"/>
        </w:rPr>
      </w:pPr>
      <w:r w:rsidRPr="008A2623">
        <w:rPr>
          <w:rFonts w:ascii="Aptos" w:hAnsi="Aptos" w:cs="Arial"/>
        </w:rPr>
        <w:t xml:space="preserve">The new homes will be allocated by the Council (through a nomination agreement </w:t>
      </w:r>
      <w:r w:rsidRPr="008A2623">
        <w:rPr>
          <w:rFonts w:ascii="Aptos" w:hAnsi="Aptos" w:cs="ArialMT"/>
        </w:rPr>
        <w:t xml:space="preserve">with Martlet) with priority being given to those on the Council’s housing </w:t>
      </w:r>
      <w:r w:rsidRPr="008A2623">
        <w:rPr>
          <w:rFonts w:ascii="Aptos" w:hAnsi="Aptos" w:cs="Arial"/>
        </w:rPr>
        <w:t>register with a local connection to Birdham Parish. Where no household from Birdham bids for a p</w:t>
      </w:r>
      <w:r w:rsidRPr="008A2623">
        <w:rPr>
          <w:rFonts w:ascii="Aptos" w:hAnsi="Aptos" w:cs="ArialMT"/>
        </w:rPr>
        <w:t xml:space="preserve">roperty, then the “cascade” provisions of the Council’s </w:t>
      </w:r>
      <w:r w:rsidRPr="008A2623">
        <w:rPr>
          <w:rFonts w:ascii="Aptos" w:hAnsi="Aptos" w:cs="Arial"/>
        </w:rPr>
        <w:t xml:space="preserve">Allocations Scheme will make the homes available to households on the </w:t>
      </w:r>
      <w:r w:rsidRPr="008A2623">
        <w:rPr>
          <w:rFonts w:ascii="Aptos" w:hAnsi="Aptos" w:cs="ArialMT"/>
        </w:rPr>
        <w:t>Council’s housing register in adjacent parishes within the Council’s area.</w:t>
      </w:r>
    </w:p>
    <w:p w14:paraId="2E7E3722" w14:textId="77777777" w:rsidR="00D60B21" w:rsidRPr="008A2623" w:rsidRDefault="00D60B21" w:rsidP="006E064C">
      <w:pPr>
        <w:pStyle w:val="ListParagraph"/>
        <w:spacing w:after="0" w:line="480" w:lineRule="auto"/>
        <w:contextualSpacing w:val="0"/>
        <w:jc w:val="both"/>
        <w:rPr>
          <w:rFonts w:ascii="Aptos" w:hAnsi="Aptos" w:cs="Arial"/>
        </w:rPr>
      </w:pPr>
    </w:p>
    <w:p w14:paraId="3B15EB05" w14:textId="2A884A29" w:rsidR="00D60B21" w:rsidRPr="001060B2" w:rsidRDefault="00D60B21" w:rsidP="006E064C">
      <w:pPr>
        <w:pStyle w:val="ListParagraph"/>
        <w:numPr>
          <w:ilvl w:val="0"/>
          <w:numId w:val="1"/>
        </w:numPr>
        <w:spacing w:after="0" w:line="480" w:lineRule="auto"/>
        <w:ind w:left="426" w:hanging="426"/>
        <w:contextualSpacing w:val="0"/>
        <w:jc w:val="both"/>
        <w:rPr>
          <w:rFonts w:ascii="Aptos" w:hAnsi="Aptos" w:cs="Times New Roman"/>
        </w:rPr>
      </w:pPr>
      <w:r w:rsidRPr="008A2623">
        <w:rPr>
          <w:rFonts w:ascii="Aptos" w:hAnsi="Aptos" w:cs="Arial"/>
        </w:rPr>
        <w:t>As Mr Bristow explains, there is a significant need for affordable social rented housing to come forward at all levels: at a District level; more locally in the Manhood Peninsula; and at a local Parish level in Birdham. The Council’s Housing Register indicates a need for 19 units of affordable rented accommodation in Birdham</w:t>
      </w:r>
      <w:r w:rsidRPr="008A2623">
        <w:rPr>
          <w:rStyle w:val="FootnoteReference"/>
          <w:rFonts w:ascii="Aptos" w:hAnsi="Aptos" w:cs="Arial"/>
        </w:rPr>
        <w:footnoteReference w:id="23"/>
      </w:r>
      <w:r w:rsidRPr="008A2623">
        <w:rPr>
          <w:rFonts w:ascii="Aptos" w:hAnsi="Aptos" w:cs="Arial"/>
        </w:rPr>
        <w:t>.</w:t>
      </w:r>
      <w:r w:rsidR="001060B2">
        <w:rPr>
          <w:rFonts w:ascii="Aptos" w:hAnsi="Aptos" w:cs="Arial"/>
        </w:rPr>
        <w:t xml:space="preserve"> </w:t>
      </w:r>
    </w:p>
    <w:p w14:paraId="52E5E639" w14:textId="77777777" w:rsidR="00D60B21" w:rsidRPr="008A2623" w:rsidRDefault="00D60B21" w:rsidP="006E064C">
      <w:pPr>
        <w:pStyle w:val="ListParagraph"/>
        <w:spacing w:after="0" w:line="480" w:lineRule="auto"/>
        <w:contextualSpacing w:val="0"/>
        <w:jc w:val="both"/>
        <w:rPr>
          <w:rFonts w:ascii="Aptos" w:hAnsi="Aptos" w:cs="Arial"/>
        </w:rPr>
      </w:pPr>
    </w:p>
    <w:p w14:paraId="58BDF684" w14:textId="77777777" w:rsidR="00D60B21" w:rsidRPr="008A2623" w:rsidRDefault="00D60B21" w:rsidP="006E064C">
      <w:pPr>
        <w:pStyle w:val="ListParagraph"/>
        <w:numPr>
          <w:ilvl w:val="0"/>
          <w:numId w:val="1"/>
        </w:numPr>
        <w:spacing w:after="0" w:line="480" w:lineRule="auto"/>
        <w:ind w:left="426" w:hanging="426"/>
        <w:contextualSpacing w:val="0"/>
        <w:jc w:val="both"/>
        <w:rPr>
          <w:rFonts w:ascii="Aptos" w:hAnsi="Aptos" w:cs="Times New Roman"/>
        </w:rPr>
      </w:pPr>
      <w:r w:rsidRPr="008A2623">
        <w:rPr>
          <w:rFonts w:ascii="Aptos" w:hAnsi="Aptos" w:cs="Arial"/>
        </w:rPr>
        <w:t xml:space="preserve">It is however important to note that there is not actually any requirement for the Council to show a need for affordable housing in Birdham specifically before the Order can be </w:t>
      </w:r>
      <w:r w:rsidRPr="008A2623">
        <w:rPr>
          <w:rFonts w:ascii="Aptos" w:hAnsi="Aptos" w:cs="Arial"/>
        </w:rPr>
        <w:lastRenderedPageBreak/>
        <w:t xml:space="preserve">confirmed. The question is a broader one: whether there is a compelling case in the public interest for confirmation of the Order. The current need for affordable rented housing across the wider district stands at 2,206 units; the need for social rented homes specifically is 278 homes </w:t>
      </w:r>
      <w:r w:rsidRPr="008A2623">
        <w:rPr>
          <w:rFonts w:ascii="Aptos" w:hAnsi="Aptos" w:cs="Arial"/>
          <w:i/>
          <w:iCs/>
        </w:rPr>
        <w:t>per annum</w:t>
      </w:r>
      <w:r w:rsidRPr="008A2623">
        <w:rPr>
          <w:rFonts w:ascii="Aptos" w:hAnsi="Aptos" w:cs="Arial"/>
        </w:rPr>
        <w:t xml:space="preserve"> across the entire HEDNA</w:t>
      </w:r>
      <w:r w:rsidRPr="008A2623">
        <w:rPr>
          <w:rStyle w:val="FootnoteReference"/>
          <w:rFonts w:ascii="Aptos" w:hAnsi="Aptos" w:cs="Arial"/>
        </w:rPr>
        <w:footnoteReference w:id="24"/>
      </w:r>
      <w:r w:rsidRPr="008A2623">
        <w:rPr>
          <w:rFonts w:ascii="Aptos" w:hAnsi="Aptos" w:cs="Arial"/>
        </w:rPr>
        <w:t xml:space="preserve"> study area. The Manhood Peninsula (the HEDNA sub-area within which Birdham Parish sits) has the lowest median household income (£32,400) of the five sub-areas; analysis indicates that over the remainder of the plan period (up to 2029) there will be a significant shortfall in delivery of affordable rental units against the total need of 370 such units</w:t>
      </w:r>
      <w:r w:rsidRPr="008A2623">
        <w:rPr>
          <w:rStyle w:val="FootnoteReference"/>
          <w:rFonts w:ascii="Aptos" w:hAnsi="Aptos" w:cs="Arial"/>
        </w:rPr>
        <w:footnoteReference w:id="25"/>
      </w:r>
      <w:r w:rsidRPr="008A2623">
        <w:rPr>
          <w:rFonts w:ascii="Aptos" w:hAnsi="Aptos" w:cs="Arial"/>
        </w:rPr>
        <w:t xml:space="preserve">. </w:t>
      </w:r>
    </w:p>
    <w:p w14:paraId="0AA70FAE" w14:textId="77777777" w:rsidR="00D60B21" w:rsidRPr="008A2623" w:rsidRDefault="00D60B21" w:rsidP="006E064C">
      <w:pPr>
        <w:pStyle w:val="ListParagraph"/>
        <w:spacing w:after="0" w:line="480" w:lineRule="auto"/>
        <w:contextualSpacing w:val="0"/>
        <w:jc w:val="both"/>
        <w:rPr>
          <w:rFonts w:ascii="Aptos" w:hAnsi="Aptos" w:cs="Arial"/>
        </w:rPr>
      </w:pPr>
    </w:p>
    <w:p w14:paraId="46114500" w14:textId="3FC85381" w:rsidR="00D60B21" w:rsidRPr="00F713BC" w:rsidRDefault="00437196" w:rsidP="006E064C">
      <w:pPr>
        <w:pStyle w:val="ListParagraph"/>
        <w:numPr>
          <w:ilvl w:val="0"/>
          <w:numId w:val="1"/>
        </w:numPr>
        <w:spacing w:after="0" w:line="480" w:lineRule="auto"/>
        <w:ind w:left="426" w:hanging="426"/>
        <w:contextualSpacing w:val="0"/>
        <w:jc w:val="both"/>
        <w:rPr>
          <w:rFonts w:ascii="Aptos" w:hAnsi="Aptos" w:cs="Times New Roman"/>
        </w:rPr>
      </w:pPr>
      <w:r>
        <w:rPr>
          <w:rFonts w:ascii="Aptos" w:hAnsi="Aptos" w:cs="Arial"/>
        </w:rPr>
        <w:t xml:space="preserve">Mr </w:t>
      </w:r>
      <w:proofErr w:type="spellStart"/>
      <w:r>
        <w:rPr>
          <w:rFonts w:ascii="Aptos" w:hAnsi="Aptos" w:cs="Arial"/>
        </w:rPr>
        <w:t>Corkett</w:t>
      </w:r>
      <w:proofErr w:type="spellEnd"/>
      <w:r>
        <w:rPr>
          <w:rFonts w:ascii="Aptos" w:hAnsi="Aptos" w:cs="Arial"/>
        </w:rPr>
        <w:t xml:space="preserve">, Mr </w:t>
      </w:r>
      <w:proofErr w:type="spellStart"/>
      <w:r>
        <w:rPr>
          <w:rFonts w:ascii="Aptos" w:hAnsi="Aptos" w:cs="Arial"/>
        </w:rPr>
        <w:t>Tremayne</w:t>
      </w:r>
      <w:proofErr w:type="spellEnd"/>
      <w:r>
        <w:rPr>
          <w:rFonts w:ascii="Aptos" w:hAnsi="Aptos" w:cs="Arial"/>
        </w:rPr>
        <w:t xml:space="preserve"> and the Parish Council all accepted that there is a need for affordable housing to come forward in Birdham to meet local needs; Mr Williams (for the BVRA) accepted that there was what he terms a “very modest” need in Birdham but a “huge” need </w:t>
      </w:r>
      <w:proofErr w:type="gramStart"/>
      <w:r>
        <w:rPr>
          <w:rFonts w:ascii="Aptos" w:hAnsi="Aptos" w:cs="Arial"/>
        </w:rPr>
        <w:t>district-wide</w:t>
      </w:r>
      <w:proofErr w:type="gramEnd"/>
      <w:r>
        <w:rPr>
          <w:rFonts w:ascii="Aptos" w:hAnsi="Aptos" w:cs="Arial"/>
        </w:rPr>
        <w:t xml:space="preserve">. </w:t>
      </w:r>
      <w:r w:rsidRPr="008A2623">
        <w:rPr>
          <w:rFonts w:ascii="Aptos" w:hAnsi="Aptos" w:cs="Arial"/>
        </w:rPr>
        <w:t xml:space="preserve"> </w:t>
      </w:r>
      <w:proofErr w:type="gramStart"/>
      <w:r w:rsidR="00D60B21" w:rsidRPr="008A2623">
        <w:rPr>
          <w:rFonts w:ascii="Aptos" w:hAnsi="Aptos" w:cs="Arial"/>
        </w:rPr>
        <w:t>It is plain that even</w:t>
      </w:r>
      <w:proofErr w:type="gramEnd"/>
      <w:r w:rsidR="00D60B21" w:rsidRPr="008A2623">
        <w:rPr>
          <w:rFonts w:ascii="Aptos" w:hAnsi="Aptos" w:cs="Arial"/>
        </w:rPr>
        <w:t xml:space="preserve"> if there were no “Birdham-specific” need (which there is, as Mr Bristow has evidenced</w:t>
      </w:r>
      <w:r w:rsidR="00990C1C">
        <w:rPr>
          <w:rFonts w:ascii="Aptos" w:hAnsi="Aptos" w:cs="Arial"/>
        </w:rPr>
        <w:t xml:space="preserve"> and as most of the objectors properly acknowledge</w:t>
      </w:r>
      <w:r w:rsidR="00D60B21" w:rsidRPr="008A2623">
        <w:rPr>
          <w:rFonts w:ascii="Aptos" w:hAnsi="Aptos" w:cs="Arial"/>
        </w:rPr>
        <w:t xml:space="preserve">), the case for confirmation of the Order would still be overwhelmingly compelling having regard to the wider need for affordable housing. </w:t>
      </w:r>
    </w:p>
    <w:p w14:paraId="16FA5D0B" w14:textId="77777777" w:rsidR="00F713BC" w:rsidRPr="00F713BC" w:rsidRDefault="00F713BC" w:rsidP="006E064C">
      <w:pPr>
        <w:pStyle w:val="ListParagraph"/>
        <w:spacing w:after="0" w:line="480" w:lineRule="auto"/>
        <w:contextualSpacing w:val="0"/>
        <w:rPr>
          <w:rFonts w:ascii="Aptos" w:hAnsi="Aptos" w:cs="Times New Roman"/>
        </w:rPr>
      </w:pPr>
    </w:p>
    <w:p w14:paraId="518C85EB" w14:textId="421DAF82" w:rsidR="00F713BC" w:rsidRPr="00083E05" w:rsidRDefault="00F713BC" w:rsidP="006E064C">
      <w:pPr>
        <w:pStyle w:val="ListParagraph"/>
        <w:numPr>
          <w:ilvl w:val="0"/>
          <w:numId w:val="1"/>
        </w:numPr>
        <w:spacing w:after="0" w:line="480" w:lineRule="auto"/>
        <w:ind w:left="426" w:hanging="426"/>
        <w:contextualSpacing w:val="0"/>
        <w:jc w:val="both"/>
        <w:rPr>
          <w:rFonts w:ascii="Aptos" w:hAnsi="Aptos" w:cs="Times New Roman"/>
        </w:rPr>
      </w:pPr>
      <w:r>
        <w:rPr>
          <w:rFonts w:ascii="Aptos" w:hAnsi="Aptos" w:cs="Times New Roman"/>
        </w:rPr>
        <w:t xml:space="preserve">Several objectors referred to the need position on the (mistaken) understanding that only </w:t>
      </w:r>
      <w:r w:rsidR="00B7200C">
        <w:rPr>
          <w:rFonts w:ascii="Aptos" w:hAnsi="Aptos" w:cs="Times New Roman"/>
        </w:rPr>
        <w:t xml:space="preserve">households in Bands A to C could properly be said to be in affordable housing need. As Mr Bristow explained, that </w:t>
      </w:r>
      <w:r w:rsidR="00A007ED">
        <w:rPr>
          <w:rFonts w:ascii="Aptos" w:hAnsi="Aptos" w:cs="Times New Roman"/>
        </w:rPr>
        <w:t xml:space="preserve">is incorrect; households in Band D are also on the </w:t>
      </w:r>
      <w:r w:rsidR="00083E05">
        <w:rPr>
          <w:rFonts w:ascii="Aptos" w:hAnsi="Aptos" w:cs="Times New Roman"/>
        </w:rPr>
        <w:t>h</w:t>
      </w:r>
      <w:r w:rsidR="00A007ED">
        <w:rPr>
          <w:rFonts w:ascii="Aptos" w:hAnsi="Aptos" w:cs="Times New Roman"/>
        </w:rPr>
        <w:t xml:space="preserve">ousing </w:t>
      </w:r>
      <w:r w:rsidR="00083E05">
        <w:rPr>
          <w:rFonts w:ascii="Aptos" w:hAnsi="Aptos" w:cs="Times New Roman"/>
        </w:rPr>
        <w:t>r</w:t>
      </w:r>
      <w:r w:rsidR="00A007ED">
        <w:rPr>
          <w:rFonts w:ascii="Aptos" w:hAnsi="Aptos" w:cs="Times New Roman"/>
        </w:rPr>
        <w:t>egister.</w:t>
      </w:r>
      <w:r w:rsidR="00144827">
        <w:rPr>
          <w:rFonts w:ascii="Aptos" w:hAnsi="Aptos" w:cs="Times New Roman"/>
        </w:rPr>
        <w:t xml:space="preserve"> Nor has there been any change in position in this regard (contrary to the suggestion from Mr Williams): see e.g. para. 6.9 of the planning officer’s report to Committee</w:t>
      </w:r>
      <w:r w:rsidR="00144827">
        <w:rPr>
          <w:rStyle w:val="FootnoteReference"/>
          <w:rFonts w:ascii="Aptos" w:hAnsi="Aptos" w:cs="Times New Roman"/>
        </w:rPr>
        <w:footnoteReference w:id="26"/>
      </w:r>
      <w:r w:rsidR="00144827">
        <w:rPr>
          <w:rFonts w:ascii="Aptos" w:hAnsi="Aptos" w:cs="Times New Roman"/>
        </w:rPr>
        <w:t xml:space="preserve"> on planning application 13/01391/FUL (for the Scheme, in 2013),</w:t>
      </w:r>
      <w:r w:rsidR="00083E05">
        <w:rPr>
          <w:rFonts w:ascii="Aptos" w:hAnsi="Aptos" w:cs="Times New Roman"/>
        </w:rPr>
        <w:t xml:space="preserve"> which explains that (at that point in </w:t>
      </w:r>
      <w:r w:rsidR="00083E05">
        <w:rPr>
          <w:rFonts w:ascii="Aptos" w:hAnsi="Aptos" w:cs="Times New Roman"/>
        </w:rPr>
        <w:lastRenderedPageBreak/>
        <w:t xml:space="preserve">time) there are 39 households listed on the Council’s housing register that have a local </w:t>
      </w:r>
      <w:r w:rsidR="00083E05" w:rsidRPr="00083E05">
        <w:rPr>
          <w:rFonts w:ascii="Aptos" w:hAnsi="Aptos" w:cs="Times New Roman"/>
        </w:rPr>
        <w:t xml:space="preserve">connection to the parish of Birdham, with 10 being in Bands A to C and 29 being in Band D. </w:t>
      </w:r>
      <w:r w:rsidR="00144827" w:rsidRPr="00083E05">
        <w:rPr>
          <w:rFonts w:ascii="Aptos" w:hAnsi="Aptos" w:cs="Times New Roman"/>
        </w:rPr>
        <w:t xml:space="preserve"> </w:t>
      </w:r>
      <w:r w:rsidR="00A007ED" w:rsidRPr="00083E05">
        <w:rPr>
          <w:rFonts w:ascii="Aptos" w:hAnsi="Aptos" w:cs="Times New Roman"/>
        </w:rPr>
        <w:t xml:space="preserve"> </w:t>
      </w:r>
    </w:p>
    <w:p w14:paraId="1F90F315" w14:textId="357E72BD" w:rsidR="00D60B21" w:rsidRPr="00083E05" w:rsidRDefault="00F713BC" w:rsidP="006E064C">
      <w:pPr>
        <w:spacing w:after="0" w:line="480" w:lineRule="auto"/>
        <w:jc w:val="both"/>
        <w:rPr>
          <w:rFonts w:ascii="Aptos" w:hAnsi="Aptos" w:cs="Times New Roman"/>
          <w:highlight w:val="cyan"/>
        </w:rPr>
      </w:pPr>
      <w:r w:rsidRPr="007D4158">
        <w:rPr>
          <w:rFonts w:ascii="Aptos" w:hAnsi="Aptos" w:cs="Times New Roman"/>
          <w:color w:val="FF0000"/>
        </w:rPr>
        <w:t> </w:t>
      </w:r>
    </w:p>
    <w:p w14:paraId="16CA3D8E" w14:textId="77777777" w:rsidR="00D60B21" w:rsidRPr="00083E05" w:rsidRDefault="00D60B21" w:rsidP="006E064C">
      <w:pPr>
        <w:pStyle w:val="ListParagraph"/>
        <w:numPr>
          <w:ilvl w:val="0"/>
          <w:numId w:val="1"/>
        </w:numPr>
        <w:spacing w:after="0" w:line="480" w:lineRule="auto"/>
        <w:ind w:left="426" w:hanging="426"/>
        <w:contextualSpacing w:val="0"/>
        <w:jc w:val="both"/>
        <w:rPr>
          <w:rFonts w:ascii="Aptos" w:hAnsi="Aptos" w:cs="Times New Roman"/>
        </w:rPr>
      </w:pPr>
      <w:r w:rsidRPr="00083E05">
        <w:rPr>
          <w:rFonts w:ascii="Aptos" w:hAnsi="Aptos" w:cs="Times New Roman"/>
        </w:rPr>
        <w:t xml:space="preserve">In addition to unlocking delivery of the Scheme and thus making a valuable contribution to the supply of much needed affordable housing within the Council’s area, the social well-being benefits that will result from confirmation of the Order include the provision of three bungalows, which will increase the opportunities for elderly / disabled residents to remain within the area. More generally, the support that the Scheme will provide for existing village businesses and facilities will facilitate the continued presence of those businesses/facilities, contributing to the social capital of the residents of Birdham and its surrounding area. </w:t>
      </w:r>
    </w:p>
    <w:p w14:paraId="67A82AA7" w14:textId="77777777" w:rsidR="00D60B21" w:rsidRPr="00083E05" w:rsidRDefault="00D60B21" w:rsidP="006E064C">
      <w:pPr>
        <w:pStyle w:val="ListParagraph"/>
        <w:spacing w:after="0" w:line="480" w:lineRule="auto"/>
        <w:contextualSpacing w:val="0"/>
        <w:rPr>
          <w:rFonts w:ascii="Aptos" w:hAnsi="Aptos" w:cs="Times New Roman"/>
        </w:rPr>
      </w:pPr>
    </w:p>
    <w:p w14:paraId="027FC3D3" w14:textId="77777777" w:rsidR="00633C25" w:rsidRDefault="00D60B21" w:rsidP="006E064C">
      <w:pPr>
        <w:pStyle w:val="ListParagraph"/>
        <w:numPr>
          <w:ilvl w:val="0"/>
          <w:numId w:val="1"/>
        </w:numPr>
        <w:spacing w:after="0" w:line="480" w:lineRule="auto"/>
        <w:ind w:left="426" w:hanging="426"/>
        <w:contextualSpacing w:val="0"/>
        <w:jc w:val="both"/>
        <w:rPr>
          <w:rFonts w:ascii="Aptos" w:hAnsi="Aptos" w:cs="Times New Roman"/>
        </w:rPr>
      </w:pPr>
      <w:r w:rsidRPr="00083E05">
        <w:rPr>
          <w:rFonts w:ascii="Aptos" w:hAnsi="Aptos" w:cs="Times New Roman"/>
        </w:rPr>
        <w:t>Turning to the economic well-being benefits of the Scheme, in addition to construction jobs these include the support that 15 new households will provide to existing village businesses and other facilities.</w:t>
      </w:r>
      <w:r w:rsidR="00BB7623">
        <w:rPr>
          <w:rFonts w:ascii="Aptos" w:hAnsi="Aptos" w:cs="Times New Roman"/>
        </w:rPr>
        <w:t xml:space="preserve"> Mr </w:t>
      </w:r>
      <w:proofErr w:type="spellStart"/>
      <w:r w:rsidR="00BB7623">
        <w:rPr>
          <w:rFonts w:ascii="Aptos" w:hAnsi="Aptos" w:cs="Times New Roman"/>
        </w:rPr>
        <w:t>Corkett</w:t>
      </w:r>
      <w:proofErr w:type="spellEnd"/>
      <w:r w:rsidR="00BB7623">
        <w:rPr>
          <w:rFonts w:ascii="Aptos" w:hAnsi="Aptos" w:cs="Times New Roman"/>
        </w:rPr>
        <w:t xml:space="preserve"> was, with respect, wrong to suggest that </w:t>
      </w:r>
      <w:r w:rsidR="00F35C76">
        <w:rPr>
          <w:rFonts w:ascii="Aptos" w:hAnsi="Aptos" w:cs="Times New Roman"/>
        </w:rPr>
        <w:t xml:space="preserve">the construction jobs would not contribute to the economic well-being of the Council’s area </w:t>
      </w:r>
      <w:proofErr w:type="gramStart"/>
      <w:r w:rsidR="00F35C76">
        <w:rPr>
          <w:rFonts w:ascii="Aptos" w:hAnsi="Aptos" w:cs="Times New Roman"/>
        </w:rPr>
        <w:t>in the event that</w:t>
      </w:r>
      <w:proofErr w:type="gramEnd"/>
      <w:r w:rsidR="00F35C76">
        <w:rPr>
          <w:rFonts w:ascii="Aptos" w:hAnsi="Aptos" w:cs="Times New Roman"/>
        </w:rPr>
        <w:t xml:space="preserve"> the Scheme were built out at the same time as the Main Road </w:t>
      </w:r>
      <w:r w:rsidR="00633C25">
        <w:rPr>
          <w:rFonts w:ascii="Aptos" w:hAnsi="Aptos" w:cs="Times New Roman"/>
        </w:rPr>
        <w:t>(Gladman) s</w:t>
      </w:r>
      <w:r w:rsidR="00CA18A1">
        <w:rPr>
          <w:rFonts w:ascii="Aptos" w:hAnsi="Aptos" w:cs="Times New Roman"/>
        </w:rPr>
        <w:t>ite.</w:t>
      </w:r>
      <w:r w:rsidR="002D674E">
        <w:rPr>
          <w:rFonts w:ascii="Aptos" w:hAnsi="Aptos" w:cs="Times New Roman"/>
        </w:rPr>
        <w:t xml:space="preserve"> As Mr </w:t>
      </w:r>
      <w:proofErr w:type="spellStart"/>
      <w:r w:rsidR="002D674E">
        <w:rPr>
          <w:rFonts w:ascii="Aptos" w:hAnsi="Aptos" w:cs="Times New Roman"/>
        </w:rPr>
        <w:t>Corkett</w:t>
      </w:r>
      <w:proofErr w:type="spellEnd"/>
      <w:r w:rsidR="002D674E">
        <w:rPr>
          <w:rFonts w:ascii="Aptos" w:hAnsi="Aptos" w:cs="Times New Roman"/>
        </w:rPr>
        <w:t xml:space="preserve"> ultimately acknowledged, </w:t>
      </w:r>
      <w:r w:rsidR="00633C25">
        <w:rPr>
          <w:rFonts w:ascii="Aptos" w:hAnsi="Aptos" w:cs="Times New Roman"/>
        </w:rPr>
        <w:t xml:space="preserve">the more houses one builds, the greater the economic benefit; the economic benefit </w:t>
      </w:r>
      <w:r w:rsidR="00633C25">
        <w:rPr>
          <w:rFonts w:ascii="Aptos" w:hAnsi="Aptos" w:cs="Times New Roman"/>
          <w:u w:val="single"/>
        </w:rPr>
        <w:t>is</w:t>
      </w:r>
      <w:r w:rsidR="00633C25">
        <w:rPr>
          <w:rFonts w:ascii="Aptos" w:hAnsi="Aptos" w:cs="Times New Roman"/>
        </w:rPr>
        <w:t xml:space="preserve"> scalable if the Scheme and the Main Road scheme are considered together. </w:t>
      </w:r>
    </w:p>
    <w:p w14:paraId="7A88193D" w14:textId="77777777" w:rsidR="00633C25" w:rsidRPr="00633C25" w:rsidRDefault="00633C25" w:rsidP="006E064C">
      <w:pPr>
        <w:pStyle w:val="ListParagraph"/>
        <w:spacing w:after="0" w:line="480" w:lineRule="auto"/>
        <w:contextualSpacing w:val="0"/>
        <w:rPr>
          <w:rFonts w:ascii="Aptos" w:hAnsi="Aptos" w:cs="Times New Roman"/>
        </w:rPr>
      </w:pPr>
    </w:p>
    <w:p w14:paraId="5237BBCE" w14:textId="7288BB21" w:rsidR="00D60B21" w:rsidRDefault="00D60B21" w:rsidP="006E064C">
      <w:pPr>
        <w:pStyle w:val="ListParagraph"/>
        <w:numPr>
          <w:ilvl w:val="0"/>
          <w:numId w:val="1"/>
        </w:numPr>
        <w:spacing w:after="0" w:line="480" w:lineRule="auto"/>
        <w:ind w:left="426" w:hanging="426"/>
        <w:contextualSpacing w:val="0"/>
        <w:jc w:val="both"/>
        <w:rPr>
          <w:rFonts w:ascii="Aptos" w:hAnsi="Aptos" w:cs="Times New Roman"/>
        </w:rPr>
      </w:pPr>
      <w:r w:rsidRPr="00633C25">
        <w:rPr>
          <w:rFonts w:ascii="Aptos" w:hAnsi="Aptos" w:cs="Times New Roman"/>
        </w:rPr>
        <w:t xml:space="preserve">The environmental well-being benefits of the Scheme include the provision of modern, energy efficient homes that will perform well in terms of energy and fuel use and costs. The proximity of the Housing Site to </w:t>
      </w:r>
      <w:proofErr w:type="gramStart"/>
      <w:r w:rsidRPr="00633C25">
        <w:rPr>
          <w:rFonts w:ascii="Aptos" w:hAnsi="Aptos" w:cs="Times New Roman"/>
        </w:rPr>
        <w:t>a number of</w:t>
      </w:r>
      <w:proofErr w:type="gramEnd"/>
      <w:r w:rsidRPr="00633C25">
        <w:rPr>
          <w:rFonts w:ascii="Aptos" w:hAnsi="Aptos" w:cs="Times New Roman"/>
        </w:rPr>
        <w:t xml:space="preserve"> local facilities will also contribute to reduced reliance on the private car.</w:t>
      </w:r>
    </w:p>
    <w:p w14:paraId="2B860F8B" w14:textId="77777777" w:rsidR="006E4F32" w:rsidRPr="006E4F32" w:rsidRDefault="006E4F32" w:rsidP="006E064C">
      <w:pPr>
        <w:pStyle w:val="ListParagraph"/>
        <w:spacing w:after="0" w:line="480" w:lineRule="auto"/>
        <w:contextualSpacing w:val="0"/>
        <w:rPr>
          <w:rFonts w:ascii="Aptos" w:hAnsi="Aptos" w:cs="Times New Roman"/>
        </w:rPr>
      </w:pPr>
    </w:p>
    <w:p w14:paraId="0BCF51E9" w14:textId="7733E0E5" w:rsidR="006E4F32" w:rsidRPr="00633C25" w:rsidRDefault="006E4F32" w:rsidP="006E064C">
      <w:pPr>
        <w:pStyle w:val="ListParagraph"/>
        <w:numPr>
          <w:ilvl w:val="0"/>
          <w:numId w:val="1"/>
        </w:numPr>
        <w:spacing w:after="0" w:line="480" w:lineRule="auto"/>
        <w:ind w:left="426" w:hanging="426"/>
        <w:contextualSpacing w:val="0"/>
        <w:jc w:val="both"/>
        <w:rPr>
          <w:rFonts w:ascii="Aptos" w:hAnsi="Aptos" w:cs="Times New Roman"/>
        </w:rPr>
      </w:pPr>
      <w:r>
        <w:rPr>
          <w:rFonts w:ascii="Aptos" w:hAnsi="Aptos" w:cs="Times New Roman"/>
        </w:rPr>
        <w:lastRenderedPageBreak/>
        <w:t xml:space="preserve">In conclusion, the Scheme will make a significant contribution to the social, economic and environmental well-being of the Council’s area and that being so, there is plainly a compelling case in the public interest for the acquisition of the Order Land. </w:t>
      </w:r>
    </w:p>
    <w:p w14:paraId="464F2960" w14:textId="77777777" w:rsidR="00962EA1" w:rsidRPr="00624947" w:rsidRDefault="00962EA1" w:rsidP="006E064C">
      <w:pPr>
        <w:spacing w:after="0" w:line="480" w:lineRule="auto"/>
        <w:jc w:val="both"/>
        <w:rPr>
          <w:rFonts w:ascii="Aptos" w:hAnsi="Aptos" w:cs="Times New Roman"/>
        </w:rPr>
      </w:pPr>
    </w:p>
    <w:p w14:paraId="104C0309" w14:textId="0F058C92" w:rsidR="00962EA1" w:rsidRPr="00624947" w:rsidRDefault="00962EA1" w:rsidP="006E064C">
      <w:pPr>
        <w:spacing w:after="0" w:line="480" w:lineRule="auto"/>
        <w:jc w:val="both"/>
        <w:rPr>
          <w:rFonts w:ascii="Aptos" w:hAnsi="Aptos" w:cs="Times New Roman"/>
          <w:b/>
          <w:bCs/>
          <w:u w:val="single"/>
        </w:rPr>
      </w:pPr>
      <w:r w:rsidRPr="00624947">
        <w:rPr>
          <w:rFonts w:ascii="Aptos" w:hAnsi="Aptos" w:cs="Times New Roman"/>
          <w:b/>
          <w:bCs/>
          <w:u w:val="single"/>
        </w:rPr>
        <w:t>Funding, viability and deliverability</w:t>
      </w:r>
    </w:p>
    <w:p w14:paraId="758B04A1" w14:textId="251C723E" w:rsidR="00DF5B18" w:rsidRPr="00DB631E" w:rsidRDefault="00624947" w:rsidP="006E064C">
      <w:pPr>
        <w:pStyle w:val="ListParagraph"/>
        <w:numPr>
          <w:ilvl w:val="0"/>
          <w:numId w:val="1"/>
        </w:numPr>
        <w:spacing w:after="0" w:line="480" w:lineRule="auto"/>
        <w:ind w:left="426" w:hanging="426"/>
        <w:contextualSpacing w:val="0"/>
        <w:jc w:val="both"/>
        <w:rPr>
          <w:rFonts w:ascii="Aptos" w:hAnsi="Aptos" w:cs="Times New Roman"/>
        </w:rPr>
      </w:pPr>
      <w:r>
        <w:rPr>
          <w:rFonts w:ascii="Aptos" w:hAnsi="Aptos" w:cs="Times New Roman"/>
        </w:rPr>
        <w:t xml:space="preserve">As Ms Poulter confirmed in her oral evidence, </w:t>
      </w:r>
      <w:r w:rsidR="003E4F89" w:rsidRPr="00624947">
        <w:rPr>
          <w:rFonts w:ascii="Aptos" w:hAnsi="Aptos" w:cs="Times New Roman"/>
        </w:rPr>
        <w:t xml:space="preserve">the Scheme is funded and viable </w:t>
      </w:r>
      <w:r w:rsidR="0048523A">
        <w:rPr>
          <w:rFonts w:ascii="Aptos" w:hAnsi="Aptos" w:cs="Times New Roman"/>
        </w:rPr>
        <w:t>and</w:t>
      </w:r>
      <w:r w:rsidR="003E4F89" w:rsidRPr="00624947">
        <w:rPr>
          <w:rFonts w:ascii="Aptos" w:hAnsi="Aptos" w:cs="Times New Roman"/>
        </w:rPr>
        <w:t xml:space="preserve"> there is a realistic prospect that it will be delivered within a reasonable </w:t>
      </w:r>
      <w:proofErr w:type="gramStart"/>
      <w:r w:rsidR="003E4F89" w:rsidRPr="00624947">
        <w:rPr>
          <w:rFonts w:ascii="Aptos" w:hAnsi="Aptos" w:cs="Times New Roman"/>
        </w:rPr>
        <w:t>time</w:t>
      </w:r>
      <w:r w:rsidR="00DB631E">
        <w:rPr>
          <w:rFonts w:ascii="Aptos" w:hAnsi="Aptos" w:cs="Times New Roman"/>
        </w:rPr>
        <w:t>-</w:t>
      </w:r>
      <w:r w:rsidR="003E4F89" w:rsidRPr="00624947">
        <w:rPr>
          <w:rFonts w:ascii="Aptos" w:hAnsi="Aptos" w:cs="Times New Roman"/>
        </w:rPr>
        <w:t>scale</w:t>
      </w:r>
      <w:proofErr w:type="gramEnd"/>
      <w:r w:rsidR="00DB631E">
        <w:rPr>
          <w:rFonts w:ascii="Aptos" w:hAnsi="Aptos" w:cs="Times New Roman"/>
        </w:rPr>
        <w:t>. In particular, t</w:t>
      </w:r>
      <w:r w:rsidR="00DF5B18" w:rsidRPr="00DB631E">
        <w:rPr>
          <w:rFonts w:ascii="Aptos" w:hAnsi="Aptos" w:cs="Times New Roman"/>
        </w:rPr>
        <w:t xml:space="preserve">he Council can show that </w:t>
      </w:r>
      <w:r w:rsidR="00DF5B18" w:rsidRPr="00DB631E">
        <w:rPr>
          <w:rFonts w:ascii="Aptos" w:hAnsi="Aptos"/>
        </w:rPr>
        <w:t xml:space="preserve">all the necessary resources are likely to be available to enable the Scheme to be brought forward (i.e. built out) within a reasonable </w:t>
      </w:r>
      <w:proofErr w:type="gramStart"/>
      <w:r w:rsidR="00DF5B18" w:rsidRPr="00DB631E">
        <w:rPr>
          <w:rFonts w:ascii="Aptos" w:hAnsi="Aptos"/>
        </w:rPr>
        <w:t>time-scale</w:t>
      </w:r>
      <w:proofErr w:type="gramEnd"/>
      <w:r w:rsidR="00DF5B18" w:rsidRPr="006D4536">
        <w:rPr>
          <w:rStyle w:val="FootnoteReference"/>
          <w:rFonts w:ascii="Aptos" w:hAnsi="Aptos"/>
        </w:rPr>
        <w:footnoteReference w:id="27"/>
      </w:r>
      <w:r w:rsidR="00DF5B18" w:rsidRPr="00DB631E">
        <w:rPr>
          <w:rFonts w:ascii="Aptos" w:hAnsi="Aptos"/>
        </w:rPr>
        <w:t>. This is detailed in the proof of evidence of Ms Poulter</w:t>
      </w:r>
      <w:r w:rsidR="00DF5B18">
        <w:rPr>
          <w:rStyle w:val="FootnoteReference"/>
          <w:rFonts w:ascii="Aptos" w:hAnsi="Aptos"/>
        </w:rPr>
        <w:footnoteReference w:id="28"/>
      </w:r>
      <w:r w:rsidR="00DF5B18" w:rsidRPr="00DB631E">
        <w:rPr>
          <w:rFonts w:ascii="Aptos" w:hAnsi="Aptos"/>
        </w:rPr>
        <w:t>. The Scheme benefits from</w:t>
      </w:r>
      <w:r w:rsidR="00DF5B18" w:rsidRPr="00DB631E">
        <w:rPr>
          <w:rFonts w:ascii="Aptos" w:hAnsi="Aptos" w:cs="Times New Roman"/>
        </w:rPr>
        <w:t xml:space="preserve"> various sources of funding, as follows: </w:t>
      </w:r>
    </w:p>
    <w:p w14:paraId="713D8A0C" w14:textId="77777777" w:rsidR="00DF5B18" w:rsidRDefault="00DF5B18" w:rsidP="006E064C">
      <w:pPr>
        <w:pStyle w:val="ListParagraph"/>
        <w:spacing w:after="0" w:line="480" w:lineRule="auto"/>
        <w:ind w:left="426"/>
        <w:contextualSpacing w:val="0"/>
        <w:jc w:val="both"/>
        <w:rPr>
          <w:rFonts w:ascii="Aptos" w:hAnsi="Aptos" w:cs="Times New Roman"/>
        </w:rPr>
      </w:pPr>
    </w:p>
    <w:p w14:paraId="140B443B" w14:textId="77777777" w:rsidR="00DB631E" w:rsidRDefault="00DF5B18" w:rsidP="006E064C">
      <w:pPr>
        <w:pStyle w:val="ListParagraph"/>
        <w:numPr>
          <w:ilvl w:val="1"/>
          <w:numId w:val="1"/>
        </w:numPr>
        <w:spacing w:after="0" w:line="480" w:lineRule="auto"/>
        <w:ind w:left="993" w:hanging="567"/>
        <w:contextualSpacing w:val="0"/>
        <w:jc w:val="both"/>
        <w:rPr>
          <w:rFonts w:ascii="Aptos" w:hAnsi="Aptos" w:cs="Times New Roman"/>
        </w:rPr>
      </w:pPr>
      <w:r w:rsidRPr="004332F6">
        <w:rPr>
          <w:rFonts w:ascii="Aptos" w:hAnsi="Aptos" w:cs="Times New Roman"/>
        </w:rPr>
        <w:t>Homes England ha</w:t>
      </w:r>
      <w:r>
        <w:rPr>
          <w:rFonts w:ascii="Aptos" w:hAnsi="Aptos" w:cs="Times New Roman"/>
        </w:rPr>
        <w:t>s</w:t>
      </w:r>
      <w:r w:rsidRPr="004332F6">
        <w:rPr>
          <w:rFonts w:ascii="Aptos" w:hAnsi="Aptos" w:cs="Times New Roman"/>
        </w:rPr>
        <w:t xml:space="preserve"> contracted, via its Strategic Partnership Agreement with Hyde, to provide a fixed rate of grant funding per affordable home for new </w:t>
      </w:r>
      <w:r>
        <w:rPr>
          <w:rFonts w:ascii="Aptos" w:hAnsi="Aptos" w:cs="Times New Roman"/>
        </w:rPr>
        <w:t>d</w:t>
      </w:r>
      <w:r w:rsidRPr="004332F6">
        <w:rPr>
          <w:rFonts w:ascii="Aptos" w:hAnsi="Aptos" w:cs="Times New Roman"/>
        </w:rPr>
        <w:t xml:space="preserve">evelopments </w:t>
      </w:r>
      <w:r>
        <w:rPr>
          <w:rFonts w:ascii="Aptos" w:hAnsi="Aptos" w:cs="Times New Roman"/>
        </w:rPr>
        <w:t>that</w:t>
      </w:r>
      <w:r w:rsidRPr="004332F6">
        <w:rPr>
          <w:rFonts w:ascii="Aptos" w:hAnsi="Aptos" w:cs="Times New Roman"/>
        </w:rPr>
        <w:t xml:space="preserve"> meet the relevant criteria. One of those criteria is that the </w:t>
      </w:r>
      <w:r>
        <w:rPr>
          <w:rFonts w:ascii="Aptos" w:hAnsi="Aptos" w:cs="Times New Roman"/>
        </w:rPr>
        <w:t>d</w:t>
      </w:r>
      <w:r w:rsidRPr="004332F6">
        <w:rPr>
          <w:rFonts w:ascii="Aptos" w:hAnsi="Aptos" w:cs="Times New Roman"/>
        </w:rPr>
        <w:t xml:space="preserve">evelopment will achieve a start on site by March 2026 and practical completion by March 2028. Those dates are achievable for </w:t>
      </w:r>
      <w:r>
        <w:rPr>
          <w:rFonts w:ascii="Aptos" w:hAnsi="Aptos" w:cs="Times New Roman"/>
        </w:rPr>
        <w:t>the Scheme</w:t>
      </w:r>
      <w:r w:rsidRPr="004332F6">
        <w:rPr>
          <w:rFonts w:ascii="Aptos" w:hAnsi="Aptos" w:cs="Times New Roman"/>
        </w:rPr>
        <w:t xml:space="preserve"> if the Order is confirmed. The grant that will be provided for </w:t>
      </w:r>
      <w:r>
        <w:rPr>
          <w:rFonts w:ascii="Aptos" w:hAnsi="Aptos" w:cs="Times New Roman"/>
        </w:rPr>
        <w:t>the Scheme</w:t>
      </w:r>
      <w:r w:rsidRPr="004332F6">
        <w:rPr>
          <w:rFonts w:ascii="Aptos" w:hAnsi="Aptos" w:cs="Times New Roman"/>
        </w:rPr>
        <w:t xml:space="preserve"> via the Strategic Partnership Agreement is £2.01m.</w:t>
      </w:r>
    </w:p>
    <w:p w14:paraId="72AFF298" w14:textId="77777777" w:rsidR="00DB631E" w:rsidRDefault="00DB631E" w:rsidP="006E064C">
      <w:pPr>
        <w:pStyle w:val="ListParagraph"/>
        <w:spacing w:after="0" w:line="480" w:lineRule="auto"/>
        <w:ind w:left="993"/>
        <w:contextualSpacing w:val="0"/>
        <w:jc w:val="both"/>
        <w:rPr>
          <w:rFonts w:ascii="Aptos" w:hAnsi="Aptos" w:cs="Times New Roman"/>
        </w:rPr>
      </w:pPr>
    </w:p>
    <w:p w14:paraId="3544F1F5" w14:textId="77777777" w:rsidR="00DB631E" w:rsidRDefault="00DF5B18" w:rsidP="006E064C">
      <w:pPr>
        <w:pStyle w:val="ListParagraph"/>
        <w:numPr>
          <w:ilvl w:val="1"/>
          <w:numId w:val="1"/>
        </w:numPr>
        <w:spacing w:after="0" w:line="480" w:lineRule="auto"/>
        <w:ind w:left="993" w:hanging="567"/>
        <w:contextualSpacing w:val="0"/>
        <w:jc w:val="both"/>
        <w:rPr>
          <w:rFonts w:ascii="Aptos" w:hAnsi="Aptos" w:cs="Times New Roman"/>
        </w:rPr>
      </w:pPr>
      <w:r w:rsidRPr="00DB631E">
        <w:rPr>
          <w:rFonts w:ascii="Aptos" w:hAnsi="Aptos" w:cs="Times New Roman"/>
        </w:rPr>
        <w:t>Hyde has allocated £450,000 of its Recycled Capital Grant Funding, which it holds internally, towards the Scheme.</w:t>
      </w:r>
    </w:p>
    <w:p w14:paraId="31030651" w14:textId="77777777" w:rsidR="00DB631E" w:rsidRPr="00DB631E" w:rsidRDefault="00DB631E" w:rsidP="006E064C">
      <w:pPr>
        <w:pStyle w:val="ListParagraph"/>
        <w:spacing w:after="0" w:line="480" w:lineRule="auto"/>
        <w:contextualSpacing w:val="0"/>
        <w:rPr>
          <w:rFonts w:ascii="Aptos" w:hAnsi="Aptos" w:cs="Times New Roman"/>
        </w:rPr>
      </w:pPr>
    </w:p>
    <w:p w14:paraId="43CB0A4D" w14:textId="77777777" w:rsidR="00DB631E" w:rsidRDefault="00DF5B18" w:rsidP="006E064C">
      <w:pPr>
        <w:pStyle w:val="ListParagraph"/>
        <w:numPr>
          <w:ilvl w:val="1"/>
          <w:numId w:val="1"/>
        </w:numPr>
        <w:spacing w:after="0" w:line="480" w:lineRule="auto"/>
        <w:ind w:left="993" w:hanging="567"/>
        <w:contextualSpacing w:val="0"/>
        <w:jc w:val="both"/>
        <w:rPr>
          <w:rFonts w:ascii="Aptos" w:hAnsi="Aptos" w:cs="Times New Roman"/>
        </w:rPr>
      </w:pPr>
      <w:r w:rsidRPr="00DB631E">
        <w:rPr>
          <w:rFonts w:ascii="Aptos" w:hAnsi="Aptos" w:cs="Times New Roman"/>
        </w:rPr>
        <w:t>Approximately £300,000 of funding originally secured through the Rural Housing Partnership Fund remains ring-fenced by the Council specifically for the Scheme.</w:t>
      </w:r>
    </w:p>
    <w:p w14:paraId="5F56F6F9" w14:textId="77777777" w:rsidR="00DB631E" w:rsidRPr="00DB631E" w:rsidRDefault="00DB631E" w:rsidP="006E064C">
      <w:pPr>
        <w:pStyle w:val="ListParagraph"/>
        <w:spacing w:after="0" w:line="480" w:lineRule="auto"/>
        <w:contextualSpacing w:val="0"/>
        <w:rPr>
          <w:rFonts w:ascii="Aptos" w:hAnsi="Aptos" w:cs="Times New Roman"/>
        </w:rPr>
      </w:pPr>
    </w:p>
    <w:p w14:paraId="772916E7" w14:textId="4DFB7BD9" w:rsidR="00DF5B18" w:rsidRPr="00DB631E" w:rsidRDefault="00DF5B18" w:rsidP="006E064C">
      <w:pPr>
        <w:pStyle w:val="ListParagraph"/>
        <w:numPr>
          <w:ilvl w:val="1"/>
          <w:numId w:val="1"/>
        </w:numPr>
        <w:spacing w:after="0" w:line="480" w:lineRule="auto"/>
        <w:ind w:left="993" w:hanging="567"/>
        <w:contextualSpacing w:val="0"/>
        <w:jc w:val="both"/>
        <w:rPr>
          <w:rFonts w:ascii="Aptos" w:hAnsi="Aptos" w:cs="Times New Roman"/>
        </w:rPr>
      </w:pPr>
      <w:r w:rsidRPr="00DB631E">
        <w:rPr>
          <w:rFonts w:ascii="Aptos" w:hAnsi="Aptos" w:cs="Times New Roman"/>
        </w:rPr>
        <w:t xml:space="preserve">The balance of the total costs of the Development will be funded by Hyde. Hyde has sufficient funding set aside in its Financial Plan to deliver the Scheme.  Hyde’s most recent financial statements confirm that </w:t>
      </w:r>
      <w:proofErr w:type="gramStart"/>
      <w:r w:rsidRPr="00DB631E">
        <w:rPr>
          <w:rFonts w:ascii="Aptos" w:hAnsi="Aptos" w:cs="Times New Roman"/>
        </w:rPr>
        <w:t>at</w:t>
      </w:r>
      <w:proofErr w:type="gramEnd"/>
      <w:r w:rsidRPr="00DB631E">
        <w:rPr>
          <w:rFonts w:ascii="Aptos" w:hAnsi="Aptos" w:cs="Times New Roman"/>
        </w:rPr>
        <w:t xml:space="preserve"> March 2023 it had a core operating surplus of £57.4m and £873m of available liquidity.  </w:t>
      </w:r>
    </w:p>
    <w:p w14:paraId="7E609586" w14:textId="77777777" w:rsidR="00DF5B18" w:rsidRPr="00505990" w:rsidRDefault="00DF5B18" w:rsidP="006E064C">
      <w:pPr>
        <w:pStyle w:val="ListParagraph"/>
        <w:spacing w:after="0" w:line="480" w:lineRule="auto"/>
        <w:contextualSpacing w:val="0"/>
        <w:rPr>
          <w:rFonts w:ascii="Aptos" w:hAnsi="Aptos" w:cs="Times New Roman"/>
        </w:rPr>
      </w:pPr>
    </w:p>
    <w:p w14:paraId="0F3FE524" w14:textId="388831DC" w:rsidR="005B67AC" w:rsidRDefault="00DF5B18" w:rsidP="006E064C">
      <w:pPr>
        <w:pStyle w:val="ListParagraph"/>
        <w:numPr>
          <w:ilvl w:val="0"/>
          <w:numId w:val="1"/>
        </w:numPr>
        <w:spacing w:after="0" w:line="480" w:lineRule="auto"/>
        <w:ind w:left="720"/>
        <w:contextualSpacing w:val="0"/>
        <w:jc w:val="both"/>
        <w:rPr>
          <w:rFonts w:ascii="Aptos" w:hAnsi="Aptos" w:cs="Times New Roman"/>
        </w:rPr>
      </w:pPr>
      <w:r>
        <w:rPr>
          <w:rFonts w:ascii="Aptos" w:hAnsi="Aptos" w:cs="Times New Roman"/>
        </w:rPr>
        <w:t xml:space="preserve">The Council additionally notes that </w:t>
      </w:r>
      <w:r w:rsidRPr="00505990">
        <w:rPr>
          <w:rFonts w:ascii="Aptos" w:hAnsi="Aptos" w:cs="Times New Roman"/>
        </w:rPr>
        <w:t>Hyde ha</w:t>
      </w:r>
      <w:r>
        <w:rPr>
          <w:rFonts w:ascii="Aptos" w:hAnsi="Aptos" w:cs="Times New Roman"/>
        </w:rPr>
        <w:t>s</w:t>
      </w:r>
      <w:r w:rsidRPr="00505990">
        <w:rPr>
          <w:rFonts w:ascii="Aptos" w:hAnsi="Aptos" w:cs="Times New Roman"/>
        </w:rPr>
        <w:t xml:space="preserve"> extensive experience of delivering and managing housing</w:t>
      </w:r>
      <w:r>
        <w:rPr>
          <w:rFonts w:ascii="Aptos" w:hAnsi="Aptos" w:cs="Times New Roman"/>
        </w:rPr>
        <w:t>-</w:t>
      </w:r>
      <w:r w:rsidRPr="00505990">
        <w:rPr>
          <w:rFonts w:ascii="Aptos" w:hAnsi="Aptos" w:cs="Times New Roman"/>
        </w:rPr>
        <w:t xml:space="preserve">led developments across the </w:t>
      </w:r>
      <w:proofErr w:type="gramStart"/>
      <w:r w:rsidRPr="00505990">
        <w:rPr>
          <w:rFonts w:ascii="Aptos" w:hAnsi="Aptos" w:cs="Times New Roman"/>
        </w:rPr>
        <w:t>South East</w:t>
      </w:r>
      <w:proofErr w:type="gramEnd"/>
      <w:r>
        <w:rPr>
          <w:rFonts w:ascii="Aptos" w:hAnsi="Aptos" w:cs="Times New Roman"/>
        </w:rPr>
        <w:t>.</w:t>
      </w:r>
      <w:r w:rsidR="005B67AC">
        <w:rPr>
          <w:rFonts w:ascii="Aptos" w:hAnsi="Aptos" w:cs="Times New Roman"/>
        </w:rPr>
        <w:t xml:space="preserve"> In the 2022-2023 financial year H</w:t>
      </w:r>
      <w:r w:rsidR="00AA6C9B">
        <w:rPr>
          <w:rFonts w:ascii="Aptos" w:hAnsi="Aptos" w:cs="Times New Roman"/>
        </w:rPr>
        <w:t>yde started building 2,105 new homes and completed 625</w:t>
      </w:r>
      <w:r w:rsidR="0031604D">
        <w:rPr>
          <w:rStyle w:val="FootnoteReference"/>
          <w:rFonts w:ascii="Aptos" w:hAnsi="Aptos" w:cs="Times New Roman"/>
        </w:rPr>
        <w:footnoteReference w:id="29"/>
      </w:r>
      <w:r w:rsidR="00AA6C9B">
        <w:rPr>
          <w:rFonts w:ascii="Aptos" w:hAnsi="Aptos" w:cs="Times New Roman"/>
        </w:rPr>
        <w:t>.</w:t>
      </w:r>
      <w:r w:rsidR="0031604D">
        <w:rPr>
          <w:rFonts w:ascii="Aptos" w:hAnsi="Aptos" w:cs="Times New Roman"/>
        </w:rPr>
        <w:t xml:space="preserve"> Its delivery in the region since 2018</w:t>
      </w:r>
      <w:r w:rsidR="00AE3187">
        <w:rPr>
          <w:rFonts w:ascii="Aptos" w:hAnsi="Aptos" w:cs="Times New Roman"/>
        </w:rPr>
        <w:t xml:space="preserve"> has </w:t>
      </w:r>
      <w:r w:rsidR="00792B07">
        <w:rPr>
          <w:rFonts w:ascii="Aptos" w:hAnsi="Aptos" w:cs="Times New Roman"/>
        </w:rPr>
        <w:t>provided (or will provide once complete) homes for up to 2,682 people</w:t>
      </w:r>
      <w:r w:rsidR="00746BC5">
        <w:rPr>
          <w:rFonts w:ascii="Aptos" w:hAnsi="Aptos" w:cs="Times New Roman"/>
        </w:rPr>
        <w:t xml:space="preserve"> who are unable to afford housing on the open market</w:t>
      </w:r>
      <w:r w:rsidR="00752348">
        <w:rPr>
          <w:rFonts w:ascii="Aptos" w:hAnsi="Aptos" w:cs="Times New Roman"/>
        </w:rPr>
        <w:t xml:space="preserve"> (</w:t>
      </w:r>
      <w:r w:rsidR="00746BC5">
        <w:rPr>
          <w:rFonts w:ascii="Aptos" w:hAnsi="Aptos" w:cs="Times New Roman"/>
        </w:rPr>
        <w:t>the Scheme itself will provide homes for up to 61 people who are currently on the Council’s housing waiting list</w:t>
      </w:r>
      <w:r w:rsidR="00752348">
        <w:rPr>
          <w:rFonts w:ascii="Aptos" w:hAnsi="Aptos" w:cs="Times New Roman"/>
        </w:rPr>
        <w:t>)</w:t>
      </w:r>
      <w:r w:rsidR="00746BC5">
        <w:rPr>
          <w:rFonts w:ascii="Aptos" w:hAnsi="Aptos" w:cs="Times New Roman"/>
        </w:rPr>
        <w:t>.</w:t>
      </w:r>
      <w:r w:rsidR="0031604D">
        <w:rPr>
          <w:rFonts w:ascii="Aptos" w:hAnsi="Aptos" w:cs="Times New Roman"/>
        </w:rPr>
        <w:t xml:space="preserve"> </w:t>
      </w:r>
      <w:r w:rsidR="00AA6C9B">
        <w:rPr>
          <w:rFonts w:ascii="Aptos" w:hAnsi="Aptos" w:cs="Times New Roman"/>
        </w:rPr>
        <w:t xml:space="preserve"> </w:t>
      </w:r>
    </w:p>
    <w:p w14:paraId="556A33C2" w14:textId="77777777" w:rsidR="0031604D" w:rsidRDefault="0031604D" w:rsidP="006E064C">
      <w:pPr>
        <w:pStyle w:val="ListParagraph"/>
        <w:spacing w:after="0" w:line="480" w:lineRule="auto"/>
        <w:contextualSpacing w:val="0"/>
        <w:jc w:val="both"/>
        <w:rPr>
          <w:rFonts w:ascii="Aptos" w:hAnsi="Aptos" w:cs="Times New Roman"/>
        </w:rPr>
      </w:pPr>
    </w:p>
    <w:p w14:paraId="5A552E63" w14:textId="17D987EA" w:rsidR="00DF5B18" w:rsidRDefault="00DF5B18" w:rsidP="006E064C">
      <w:pPr>
        <w:pStyle w:val="ListParagraph"/>
        <w:numPr>
          <w:ilvl w:val="0"/>
          <w:numId w:val="1"/>
        </w:numPr>
        <w:spacing w:after="0" w:line="480" w:lineRule="auto"/>
        <w:ind w:left="720"/>
        <w:contextualSpacing w:val="0"/>
        <w:jc w:val="both"/>
        <w:rPr>
          <w:rFonts w:ascii="Aptos" w:hAnsi="Aptos" w:cs="Times New Roman"/>
        </w:rPr>
      </w:pPr>
      <w:r>
        <w:rPr>
          <w:rFonts w:ascii="Aptos" w:hAnsi="Aptos" w:cs="Times New Roman"/>
        </w:rPr>
        <w:t>The Council is satisfied that Hyde</w:t>
      </w:r>
      <w:r w:rsidRPr="00505990">
        <w:rPr>
          <w:rFonts w:ascii="Aptos" w:hAnsi="Aptos" w:cs="Times New Roman"/>
        </w:rPr>
        <w:t xml:space="preserve"> ha</w:t>
      </w:r>
      <w:r>
        <w:rPr>
          <w:rFonts w:ascii="Aptos" w:hAnsi="Aptos" w:cs="Times New Roman"/>
        </w:rPr>
        <w:t>s</w:t>
      </w:r>
      <w:r w:rsidRPr="00505990">
        <w:rPr>
          <w:rFonts w:ascii="Aptos" w:hAnsi="Aptos" w:cs="Times New Roman"/>
        </w:rPr>
        <w:t xml:space="preserve"> the capability and capacity to deliver the</w:t>
      </w:r>
      <w:r>
        <w:rPr>
          <w:rFonts w:ascii="Aptos" w:hAnsi="Aptos" w:cs="Times New Roman"/>
        </w:rPr>
        <w:t xml:space="preserve"> Scheme</w:t>
      </w:r>
      <w:r w:rsidRPr="00505990">
        <w:rPr>
          <w:rFonts w:ascii="Aptos" w:hAnsi="Aptos" w:cs="Times New Roman"/>
        </w:rPr>
        <w:t xml:space="preserve">. </w:t>
      </w:r>
    </w:p>
    <w:p w14:paraId="56A2B2DB" w14:textId="77777777" w:rsidR="004666F2" w:rsidRPr="004666F2" w:rsidRDefault="004666F2" w:rsidP="006E064C">
      <w:pPr>
        <w:pStyle w:val="ListParagraph"/>
        <w:spacing w:after="0" w:line="480" w:lineRule="auto"/>
        <w:contextualSpacing w:val="0"/>
        <w:rPr>
          <w:rFonts w:ascii="Aptos" w:hAnsi="Aptos" w:cs="Times New Roman"/>
        </w:rPr>
      </w:pPr>
    </w:p>
    <w:p w14:paraId="32C55034" w14:textId="5671B746" w:rsidR="004666F2" w:rsidRDefault="004666F2" w:rsidP="006E064C">
      <w:pPr>
        <w:pStyle w:val="ListParagraph"/>
        <w:numPr>
          <w:ilvl w:val="0"/>
          <w:numId w:val="1"/>
        </w:numPr>
        <w:spacing w:after="0" w:line="480" w:lineRule="auto"/>
        <w:ind w:left="720"/>
        <w:contextualSpacing w:val="0"/>
        <w:jc w:val="both"/>
        <w:rPr>
          <w:rFonts w:ascii="Aptos" w:hAnsi="Aptos" w:cs="Times New Roman"/>
        </w:rPr>
      </w:pPr>
      <w:r>
        <w:rPr>
          <w:rFonts w:ascii="Aptos" w:hAnsi="Aptos" w:cs="Times New Roman"/>
        </w:rPr>
        <w:t xml:space="preserve">The apparent suggestion from certain objectors that the fact that the CPO process has not yet been concluded indicates that Hyde will not be able to deliver the Scheme in line with the </w:t>
      </w:r>
      <w:proofErr w:type="gramStart"/>
      <w:r>
        <w:rPr>
          <w:rFonts w:ascii="Aptos" w:hAnsi="Aptos" w:cs="Times New Roman"/>
        </w:rPr>
        <w:t>time-scales</w:t>
      </w:r>
      <w:proofErr w:type="gramEnd"/>
      <w:r>
        <w:rPr>
          <w:rFonts w:ascii="Aptos" w:hAnsi="Aptos" w:cs="Times New Roman"/>
        </w:rPr>
        <w:t xml:space="preserve"> given by Ms Poulter in her evidence is </w:t>
      </w:r>
      <w:r w:rsidR="00CA0FAA">
        <w:rPr>
          <w:rFonts w:ascii="Aptos" w:hAnsi="Aptos" w:cs="Times New Roman"/>
        </w:rPr>
        <w:t>without foundation.</w:t>
      </w:r>
      <w:r w:rsidR="00353699">
        <w:rPr>
          <w:rFonts w:ascii="Aptos" w:hAnsi="Aptos" w:cs="Times New Roman"/>
        </w:rPr>
        <w:t xml:space="preserve"> The progress that was made</w:t>
      </w:r>
      <w:r w:rsidR="00130E15">
        <w:rPr>
          <w:rFonts w:ascii="Aptos" w:hAnsi="Aptos" w:cs="Times New Roman"/>
        </w:rPr>
        <w:t xml:space="preserve"> by Martlet</w:t>
      </w:r>
      <w:r w:rsidR="00353699">
        <w:rPr>
          <w:rFonts w:ascii="Aptos" w:hAnsi="Aptos" w:cs="Times New Roman"/>
        </w:rPr>
        <w:t xml:space="preserve"> in relation to the Housing Site between </w:t>
      </w:r>
      <w:r w:rsidR="00130E15">
        <w:rPr>
          <w:rFonts w:ascii="Aptos" w:hAnsi="Aptos" w:cs="Times New Roman"/>
        </w:rPr>
        <w:t xml:space="preserve">April </w:t>
      </w:r>
      <w:r w:rsidR="00353699">
        <w:rPr>
          <w:rFonts w:ascii="Aptos" w:hAnsi="Aptos" w:cs="Times New Roman"/>
        </w:rPr>
        <w:t xml:space="preserve">2013 and </w:t>
      </w:r>
      <w:r w:rsidR="00130E15">
        <w:rPr>
          <w:rFonts w:ascii="Aptos" w:hAnsi="Aptos" w:cs="Times New Roman"/>
        </w:rPr>
        <w:t xml:space="preserve">July </w:t>
      </w:r>
      <w:r w:rsidR="00353699">
        <w:rPr>
          <w:rFonts w:ascii="Aptos" w:hAnsi="Aptos" w:cs="Times New Roman"/>
        </w:rPr>
        <w:t>2017</w:t>
      </w:r>
      <w:r w:rsidR="004925F3">
        <w:rPr>
          <w:rFonts w:ascii="Aptos" w:hAnsi="Aptos" w:cs="Times New Roman"/>
        </w:rPr>
        <w:t xml:space="preserve"> is detailed by Ms Poulter in Section 2 of her proof of evidence; Mr Bristow in his proof of evidence then explains </w:t>
      </w:r>
      <w:r w:rsidR="006D2E3D">
        <w:rPr>
          <w:rFonts w:ascii="Aptos" w:hAnsi="Aptos" w:cs="Times New Roman"/>
        </w:rPr>
        <w:t>how the CPO process has progressed from 2018 onwards.</w:t>
      </w:r>
      <w:r w:rsidR="00151F39">
        <w:rPr>
          <w:rFonts w:ascii="Aptos" w:hAnsi="Aptos" w:cs="Times New Roman"/>
        </w:rPr>
        <w:t xml:space="preserve"> Ms Blackman was correct to note that work in relation to the Housing Site has been ongoing for most of the period since 2013</w:t>
      </w:r>
      <w:r w:rsidR="00DA3C20">
        <w:rPr>
          <w:rFonts w:ascii="Aptos" w:hAnsi="Aptos" w:cs="Times New Roman"/>
        </w:rPr>
        <w:t xml:space="preserve">, notwithstanding the intervention of the Covid 19 pandemic. Moreover, the 2019 Guidance is clear that compulsory purchase is </w:t>
      </w:r>
      <w:r w:rsidR="00DA3C20">
        <w:rPr>
          <w:rFonts w:ascii="Aptos" w:hAnsi="Aptos" w:cs="Times New Roman"/>
        </w:rPr>
        <w:lastRenderedPageBreak/>
        <w:t>intended as a last resort</w:t>
      </w:r>
      <w:r w:rsidR="00DA3C20">
        <w:rPr>
          <w:rStyle w:val="FootnoteReference"/>
          <w:rFonts w:ascii="Aptos" w:hAnsi="Aptos" w:cs="Times New Roman"/>
        </w:rPr>
        <w:footnoteReference w:id="30"/>
      </w:r>
      <w:r w:rsidR="00DA3C20">
        <w:rPr>
          <w:rFonts w:ascii="Aptos" w:hAnsi="Aptos" w:cs="Times New Roman"/>
        </w:rPr>
        <w:t>.</w:t>
      </w:r>
      <w:r w:rsidR="002C3E24">
        <w:rPr>
          <w:rFonts w:ascii="Aptos" w:hAnsi="Aptos" w:cs="Times New Roman"/>
        </w:rPr>
        <w:t xml:space="preserve"> It was not, therefore, open to Martlet and the Council simply to launch </w:t>
      </w:r>
      <w:r w:rsidR="00392163">
        <w:rPr>
          <w:rFonts w:ascii="Aptos" w:hAnsi="Aptos" w:cs="Times New Roman"/>
        </w:rPr>
        <w:t xml:space="preserve">into the CPO process prior to having explored other options. </w:t>
      </w:r>
    </w:p>
    <w:p w14:paraId="3C1CE961" w14:textId="77777777" w:rsidR="00461B1F" w:rsidRPr="00461B1F" w:rsidRDefault="00461B1F" w:rsidP="006E064C">
      <w:pPr>
        <w:pStyle w:val="ListParagraph"/>
        <w:spacing w:after="0" w:line="480" w:lineRule="auto"/>
        <w:contextualSpacing w:val="0"/>
        <w:rPr>
          <w:rFonts w:ascii="Aptos" w:hAnsi="Aptos" w:cs="Times New Roman"/>
        </w:rPr>
      </w:pPr>
    </w:p>
    <w:p w14:paraId="59E187A0" w14:textId="08B1456C" w:rsidR="00461B1F" w:rsidRDefault="00461B1F" w:rsidP="006E064C">
      <w:pPr>
        <w:pStyle w:val="ListParagraph"/>
        <w:numPr>
          <w:ilvl w:val="0"/>
          <w:numId w:val="1"/>
        </w:numPr>
        <w:spacing w:after="0" w:line="480" w:lineRule="auto"/>
        <w:ind w:left="720"/>
        <w:contextualSpacing w:val="0"/>
        <w:jc w:val="both"/>
        <w:rPr>
          <w:rFonts w:ascii="Aptos" w:hAnsi="Aptos" w:cs="Times New Roman"/>
        </w:rPr>
      </w:pPr>
      <w:r>
        <w:rPr>
          <w:rFonts w:ascii="Aptos" w:hAnsi="Aptos" w:cs="Times New Roman"/>
        </w:rPr>
        <w:t xml:space="preserve">The </w:t>
      </w:r>
      <w:proofErr w:type="gramStart"/>
      <w:r>
        <w:rPr>
          <w:rFonts w:ascii="Aptos" w:hAnsi="Aptos" w:cs="Times New Roman"/>
        </w:rPr>
        <w:t>time-frame</w:t>
      </w:r>
      <w:proofErr w:type="gramEnd"/>
      <w:r>
        <w:rPr>
          <w:rFonts w:ascii="Aptos" w:hAnsi="Aptos" w:cs="Times New Roman"/>
        </w:rPr>
        <w:t xml:space="preserve"> given by Ms Poulter is realistic; in particular, her evidence was that Hy</w:t>
      </w:r>
      <w:r w:rsidR="00E466F6">
        <w:rPr>
          <w:rFonts w:ascii="Aptos" w:hAnsi="Aptos" w:cs="Times New Roman"/>
        </w:rPr>
        <w:t xml:space="preserve">de had previously succeeded in procuring a contractor within two months of the grant of the relevant planning permission. </w:t>
      </w:r>
    </w:p>
    <w:p w14:paraId="075AB984" w14:textId="77777777" w:rsidR="0008405C" w:rsidRDefault="0008405C" w:rsidP="006E064C">
      <w:pPr>
        <w:spacing w:after="0" w:line="480" w:lineRule="auto"/>
        <w:ind w:left="426" w:hanging="426"/>
        <w:jc w:val="both"/>
        <w:rPr>
          <w:rFonts w:ascii="Aptos" w:hAnsi="Aptos" w:cs="Times New Roman"/>
          <w:b/>
          <w:bCs/>
          <w:u w:val="single"/>
        </w:rPr>
      </w:pPr>
    </w:p>
    <w:p w14:paraId="64554A88" w14:textId="2C99122B" w:rsidR="005E29E6" w:rsidRPr="00CC00E5" w:rsidRDefault="005E29E6" w:rsidP="006E064C">
      <w:pPr>
        <w:spacing w:after="0" w:line="480" w:lineRule="auto"/>
        <w:ind w:left="426" w:hanging="426"/>
        <w:jc w:val="both"/>
        <w:rPr>
          <w:rFonts w:ascii="Aptos" w:hAnsi="Aptos" w:cs="Times New Roman"/>
          <w:b/>
          <w:bCs/>
          <w:u w:val="single"/>
        </w:rPr>
      </w:pPr>
      <w:r w:rsidRPr="00CC00E5">
        <w:rPr>
          <w:rFonts w:ascii="Aptos" w:hAnsi="Aptos" w:cs="Times New Roman"/>
          <w:b/>
          <w:bCs/>
          <w:u w:val="single"/>
        </w:rPr>
        <w:t>There are no impediments to the implementation of the Scheme</w:t>
      </w:r>
    </w:p>
    <w:p w14:paraId="37191F45" w14:textId="77777777" w:rsidR="005E29E6" w:rsidRDefault="005E29E6" w:rsidP="006E064C">
      <w:pPr>
        <w:pStyle w:val="ListParagraph"/>
        <w:numPr>
          <w:ilvl w:val="0"/>
          <w:numId w:val="1"/>
        </w:numPr>
        <w:spacing w:after="0" w:line="480" w:lineRule="auto"/>
        <w:ind w:left="426" w:hanging="426"/>
        <w:contextualSpacing w:val="0"/>
        <w:jc w:val="both"/>
        <w:rPr>
          <w:rFonts w:ascii="Aptos" w:hAnsi="Aptos" w:cs="Times New Roman"/>
        </w:rPr>
      </w:pPr>
      <w:r>
        <w:rPr>
          <w:rFonts w:ascii="Aptos" w:hAnsi="Aptos" w:cs="Times New Roman"/>
        </w:rPr>
        <w:t>The 2019 Guidance</w:t>
      </w:r>
      <w:r>
        <w:rPr>
          <w:rStyle w:val="FootnoteReference"/>
          <w:rFonts w:ascii="Aptos" w:hAnsi="Aptos" w:cs="Times New Roman"/>
        </w:rPr>
        <w:footnoteReference w:id="31"/>
      </w:r>
      <w:r>
        <w:rPr>
          <w:rFonts w:ascii="Aptos" w:hAnsi="Aptos" w:cs="Times New Roman"/>
        </w:rPr>
        <w:t xml:space="preserve"> requires the acquiring authority to show “that the scheme is unlikely to be blocked by any physical or legal impediments to implementation”, including the programming of any infrastructure accommodation works or remedial work that may be required; and any need for planning permission or other consent or licence.</w:t>
      </w:r>
    </w:p>
    <w:p w14:paraId="59D16811" w14:textId="77777777" w:rsidR="005E29E6" w:rsidRDefault="005E29E6" w:rsidP="006E064C">
      <w:pPr>
        <w:pStyle w:val="ListParagraph"/>
        <w:spacing w:after="0" w:line="480" w:lineRule="auto"/>
        <w:ind w:left="426"/>
        <w:contextualSpacing w:val="0"/>
        <w:jc w:val="both"/>
        <w:rPr>
          <w:rFonts w:ascii="Aptos" w:hAnsi="Aptos" w:cs="Times New Roman"/>
        </w:rPr>
      </w:pPr>
    </w:p>
    <w:p w14:paraId="51923163" w14:textId="25663AF9" w:rsidR="005E29E6" w:rsidRDefault="005E29E6" w:rsidP="006E064C">
      <w:pPr>
        <w:pStyle w:val="ListParagraph"/>
        <w:numPr>
          <w:ilvl w:val="0"/>
          <w:numId w:val="1"/>
        </w:numPr>
        <w:spacing w:after="0" w:line="480" w:lineRule="auto"/>
        <w:ind w:left="426" w:hanging="426"/>
        <w:contextualSpacing w:val="0"/>
        <w:jc w:val="both"/>
        <w:rPr>
          <w:rFonts w:ascii="Aptos" w:hAnsi="Aptos" w:cs="Times New Roman"/>
        </w:rPr>
      </w:pPr>
      <w:r>
        <w:rPr>
          <w:rFonts w:ascii="Aptos" w:hAnsi="Aptos" w:cs="Times New Roman"/>
        </w:rPr>
        <w:t xml:space="preserve">As already explained, the Scheme benefits from an extant grant of full planning permission. No infrastructure accommodation </w:t>
      </w:r>
      <w:proofErr w:type="gramStart"/>
      <w:r>
        <w:rPr>
          <w:rFonts w:ascii="Aptos" w:hAnsi="Aptos" w:cs="Times New Roman"/>
        </w:rPr>
        <w:t>works</w:t>
      </w:r>
      <w:proofErr w:type="gramEnd"/>
      <w:r>
        <w:rPr>
          <w:rFonts w:ascii="Aptos" w:hAnsi="Aptos" w:cs="Times New Roman"/>
        </w:rPr>
        <w:t xml:space="preserve"> or remedial works are required other than (</w:t>
      </w:r>
      <w:proofErr w:type="spellStart"/>
      <w:r>
        <w:rPr>
          <w:rFonts w:ascii="Aptos" w:hAnsi="Aptos" w:cs="Times New Roman"/>
        </w:rPr>
        <w:t>i</w:t>
      </w:r>
      <w:proofErr w:type="spellEnd"/>
      <w:r>
        <w:rPr>
          <w:rFonts w:ascii="Aptos" w:hAnsi="Aptos" w:cs="Times New Roman"/>
        </w:rPr>
        <w:t>) the usual utility connections to services in Crooked Lane</w:t>
      </w:r>
      <w:r>
        <w:rPr>
          <w:rStyle w:val="FootnoteReference"/>
          <w:rFonts w:ascii="Aptos" w:hAnsi="Aptos" w:cs="Times New Roman"/>
        </w:rPr>
        <w:footnoteReference w:id="32"/>
      </w:r>
      <w:r>
        <w:rPr>
          <w:rFonts w:ascii="Aptos" w:hAnsi="Aptos" w:cs="Times New Roman"/>
        </w:rPr>
        <w:t xml:space="preserve">; and (ii) a highways agreement with </w:t>
      </w:r>
      <w:r w:rsidR="0008405C">
        <w:rPr>
          <w:rFonts w:ascii="Aptos" w:hAnsi="Aptos" w:cs="Times New Roman"/>
        </w:rPr>
        <w:t>WSCC</w:t>
      </w:r>
      <w:r>
        <w:rPr>
          <w:rFonts w:ascii="Aptos" w:hAnsi="Aptos" w:cs="Times New Roman"/>
        </w:rPr>
        <w:t>. Detail on the latter is provided by Mr Bristow in his proof of evidence</w:t>
      </w:r>
      <w:r>
        <w:rPr>
          <w:rStyle w:val="FootnoteReference"/>
          <w:rFonts w:ascii="Aptos" w:hAnsi="Aptos" w:cs="Times New Roman"/>
        </w:rPr>
        <w:footnoteReference w:id="33"/>
      </w:r>
      <w:r>
        <w:rPr>
          <w:rFonts w:ascii="Aptos" w:hAnsi="Aptos" w:cs="Times New Roman"/>
        </w:rPr>
        <w:t>.</w:t>
      </w:r>
    </w:p>
    <w:p w14:paraId="707D7B4D" w14:textId="77777777" w:rsidR="005E29E6" w:rsidRPr="007D5DFA" w:rsidRDefault="005E29E6" w:rsidP="006E064C">
      <w:pPr>
        <w:pStyle w:val="ListParagraph"/>
        <w:spacing w:after="0" w:line="480" w:lineRule="auto"/>
        <w:contextualSpacing w:val="0"/>
        <w:rPr>
          <w:rFonts w:ascii="Aptos" w:hAnsi="Aptos" w:cs="Times New Roman"/>
        </w:rPr>
      </w:pPr>
    </w:p>
    <w:p w14:paraId="18F03F19" w14:textId="77777777" w:rsidR="005E29E6" w:rsidRDefault="005E29E6" w:rsidP="006E064C">
      <w:pPr>
        <w:pStyle w:val="ListParagraph"/>
        <w:numPr>
          <w:ilvl w:val="0"/>
          <w:numId w:val="1"/>
        </w:numPr>
        <w:spacing w:after="0" w:line="480" w:lineRule="auto"/>
        <w:ind w:left="426" w:hanging="426"/>
        <w:contextualSpacing w:val="0"/>
        <w:jc w:val="both"/>
        <w:rPr>
          <w:rFonts w:ascii="Aptos" w:hAnsi="Aptos" w:cs="Times New Roman"/>
        </w:rPr>
      </w:pPr>
      <w:r>
        <w:rPr>
          <w:rFonts w:ascii="Aptos" w:hAnsi="Aptos" w:cs="Times New Roman"/>
        </w:rPr>
        <w:t xml:space="preserve">In the light of the above position, the Scheme is unlikely to be blocked by any physical or legal impediments to implementation. </w:t>
      </w:r>
    </w:p>
    <w:p w14:paraId="2123C3B3" w14:textId="77777777" w:rsidR="00483EB1" w:rsidRPr="009A0760" w:rsidRDefault="00483EB1" w:rsidP="006E064C">
      <w:pPr>
        <w:spacing w:after="0" w:line="480" w:lineRule="auto"/>
        <w:jc w:val="both"/>
        <w:rPr>
          <w:rFonts w:ascii="Aptos" w:hAnsi="Aptos" w:cs="Times New Roman"/>
        </w:rPr>
      </w:pPr>
    </w:p>
    <w:p w14:paraId="1098E6D6" w14:textId="327E4CC2" w:rsidR="00483EB1" w:rsidRPr="000130ED" w:rsidRDefault="006422E0" w:rsidP="006E064C">
      <w:pPr>
        <w:spacing w:after="0" w:line="480" w:lineRule="auto"/>
        <w:jc w:val="both"/>
        <w:rPr>
          <w:rFonts w:ascii="Aptos" w:hAnsi="Aptos" w:cs="Times New Roman"/>
          <w:b/>
          <w:bCs/>
          <w:u w:val="single"/>
        </w:rPr>
      </w:pPr>
      <w:r w:rsidRPr="000130ED">
        <w:rPr>
          <w:rFonts w:ascii="Aptos" w:hAnsi="Aptos" w:cs="Times New Roman"/>
          <w:b/>
          <w:bCs/>
          <w:u w:val="single"/>
        </w:rPr>
        <w:t>The outstanding objections</w:t>
      </w:r>
    </w:p>
    <w:p w14:paraId="20D81520" w14:textId="77777777" w:rsidR="000130ED" w:rsidRPr="000130ED" w:rsidRDefault="00061E5D" w:rsidP="006E064C">
      <w:pPr>
        <w:pStyle w:val="ListParagraph"/>
        <w:numPr>
          <w:ilvl w:val="0"/>
          <w:numId w:val="1"/>
        </w:numPr>
        <w:spacing w:after="0" w:line="480" w:lineRule="auto"/>
        <w:contextualSpacing w:val="0"/>
        <w:jc w:val="both"/>
        <w:rPr>
          <w:rFonts w:ascii="Aptos" w:hAnsi="Aptos" w:cs="Times New Roman"/>
        </w:rPr>
      </w:pPr>
      <w:r w:rsidRPr="000130ED">
        <w:rPr>
          <w:rFonts w:ascii="Aptos" w:hAnsi="Aptos" w:cs="Times New Roman"/>
        </w:rPr>
        <w:lastRenderedPageBreak/>
        <w:t xml:space="preserve">As explained at the outset of these closing submissions, </w:t>
      </w:r>
      <w:r w:rsidR="00350A17" w:rsidRPr="000130ED">
        <w:rPr>
          <w:rFonts w:ascii="Aptos" w:hAnsi="Aptos"/>
        </w:rPr>
        <w:t xml:space="preserve">26 objections were received following the making of the Order, of which 21 were non-statutory </w:t>
      </w:r>
      <w:r w:rsidR="00274C9E" w:rsidRPr="000130ED">
        <w:rPr>
          <w:rFonts w:ascii="Aptos" w:hAnsi="Aptos"/>
        </w:rPr>
        <w:t xml:space="preserve">(/non-qualifying) </w:t>
      </w:r>
      <w:r w:rsidR="00350A17" w:rsidRPr="000130ED">
        <w:rPr>
          <w:rFonts w:ascii="Aptos" w:hAnsi="Aptos"/>
        </w:rPr>
        <w:t>and five were statutory</w:t>
      </w:r>
      <w:r w:rsidR="00274C9E" w:rsidRPr="000130ED">
        <w:rPr>
          <w:rFonts w:ascii="Aptos" w:hAnsi="Aptos"/>
        </w:rPr>
        <w:t xml:space="preserve"> (/qualifying)</w:t>
      </w:r>
      <w:r w:rsidR="00350A17" w:rsidRPr="000130ED">
        <w:rPr>
          <w:rFonts w:ascii="Aptos" w:hAnsi="Aptos"/>
        </w:rPr>
        <w:t>.</w:t>
      </w:r>
    </w:p>
    <w:p w14:paraId="09016DFF" w14:textId="77777777" w:rsidR="000130ED" w:rsidRPr="000130ED" w:rsidRDefault="000130ED" w:rsidP="006E064C">
      <w:pPr>
        <w:pStyle w:val="ListParagraph"/>
        <w:spacing w:after="0" w:line="480" w:lineRule="auto"/>
        <w:ind w:left="360"/>
        <w:contextualSpacing w:val="0"/>
        <w:jc w:val="both"/>
        <w:rPr>
          <w:rFonts w:ascii="Aptos" w:hAnsi="Aptos" w:cs="Times New Roman"/>
        </w:rPr>
      </w:pPr>
    </w:p>
    <w:p w14:paraId="3ABFC32E" w14:textId="53023E1D" w:rsidR="00350A17" w:rsidRPr="00150598" w:rsidRDefault="00274C9E" w:rsidP="006E064C">
      <w:pPr>
        <w:pStyle w:val="ListParagraph"/>
        <w:numPr>
          <w:ilvl w:val="0"/>
          <w:numId w:val="1"/>
        </w:numPr>
        <w:spacing w:after="0" w:line="480" w:lineRule="auto"/>
        <w:contextualSpacing w:val="0"/>
        <w:jc w:val="both"/>
        <w:rPr>
          <w:rFonts w:ascii="Aptos" w:hAnsi="Aptos" w:cs="Times New Roman"/>
        </w:rPr>
      </w:pPr>
      <w:r w:rsidRPr="000130ED">
        <w:rPr>
          <w:rFonts w:ascii="Aptos" w:hAnsi="Aptos"/>
        </w:rPr>
        <w:t xml:space="preserve">As Ms Blackman confirmed in her oral evidence, </w:t>
      </w:r>
      <w:r w:rsidR="008E6F21" w:rsidRPr="000130ED">
        <w:rPr>
          <w:rFonts w:ascii="Aptos" w:hAnsi="Aptos"/>
        </w:rPr>
        <w:t xml:space="preserve">heads of terms have been agreed with two of the five </w:t>
      </w:r>
      <w:r w:rsidR="00DB0FB3" w:rsidRPr="000130ED">
        <w:rPr>
          <w:rFonts w:ascii="Aptos" w:hAnsi="Aptos"/>
        </w:rPr>
        <w:t>statutory / qualifying objectors (</w:t>
      </w:r>
      <w:r w:rsidR="00001E12" w:rsidRPr="000130ED">
        <w:rPr>
          <w:rFonts w:ascii="Aptos" w:hAnsi="Aptos"/>
        </w:rPr>
        <w:t xml:space="preserve">Mr </w:t>
      </w:r>
      <w:r w:rsidR="00DB0FB3" w:rsidRPr="000130ED">
        <w:rPr>
          <w:rFonts w:ascii="Aptos" w:hAnsi="Aptos"/>
        </w:rPr>
        <w:t>Pick</w:t>
      </w:r>
      <w:r w:rsidR="001F6090">
        <w:rPr>
          <w:rFonts w:ascii="Aptos" w:hAnsi="Aptos"/>
        </w:rPr>
        <w:t>;</w:t>
      </w:r>
      <w:r w:rsidR="00DB0FB3" w:rsidRPr="000130ED">
        <w:rPr>
          <w:rFonts w:ascii="Aptos" w:hAnsi="Aptos"/>
        </w:rPr>
        <w:t xml:space="preserve"> and</w:t>
      </w:r>
      <w:r w:rsidR="001F6090">
        <w:rPr>
          <w:rFonts w:ascii="Aptos" w:hAnsi="Aptos"/>
        </w:rPr>
        <w:t xml:space="preserve"> Mrs Humphries et al.)</w:t>
      </w:r>
      <w:r w:rsidR="00DB0FB3" w:rsidRPr="000130ED">
        <w:rPr>
          <w:rFonts w:ascii="Aptos" w:hAnsi="Aptos"/>
        </w:rPr>
        <w:t xml:space="preserve"> </w:t>
      </w:r>
      <w:proofErr w:type="gramStart"/>
      <w:r w:rsidR="00DB0FB3" w:rsidRPr="000130ED">
        <w:rPr>
          <w:rFonts w:ascii="Aptos" w:hAnsi="Aptos"/>
        </w:rPr>
        <w:t>and also</w:t>
      </w:r>
      <w:proofErr w:type="gramEnd"/>
      <w:r w:rsidR="00DB0FB3" w:rsidRPr="000130ED">
        <w:rPr>
          <w:rFonts w:ascii="Aptos" w:hAnsi="Aptos"/>
        </w:rPr>
        <w:t xml:space="preserve"> with </w:t>
      </w:r>
      <w:r w:rsidR="00180CD1" w:rsidRPr="000130ED">
        <w:rPr>
          <w:rFonts w:ascii="Aptos" w:hAnsi="Aptos"/>
        </w:rPr>
        <w:t xml:space="preserve">a third landowner (Mr Way, who did not object to the making of the Order). </w:t>
      </w:r>
      <w:r w:rsidR="00350A17" w:rsidRPr="000130ED">
        <w:rPr>
          <w:rFonts w:ascii="Aptos" w:hAnsi="Aptos"/>
        </w:rPr>
        <w:t xml:space="preserve"> </w:t>
      </w:r>
    </w:p>
    <w:p w14:paraId="5D47C849" w14:textId="77777777" w:rsidR="00150598" w:rsidRPr="00150598" w:rsidRDefault="00150598" w:rsidP="006E064C">
      <w:pPr>
        <w:pStyle w:val="ListParagraph"/>
        <w:spacing w:after="0" w:line="480" w:lineRule="auto"/>
        <w:contextualSpacing w:val="0"/>
        <w:rPr>
          <w:rFonts w:ascii="Aptos" w:hAnsi="Aptos" w:cs="Times New Roman"/>
        </w:rPr>
      </w:pPr>
    </w:p>
    <w:p w14:paraId="2F68A9D3" w14:textId="0668957D" w:rsidR="00150598" w:rsidRDefault="00150598" w:rsidP="006E064C">
      <w:pPr>
        <w:pStyle w:val="ListParagraph"/>
        <w:numPr>
          <w:ilvl w:val="0"/>
          <w:numId w:val="1"/>
        </w:numPr>
        <w:spacing w:after="0" w:line="480" w:lineRule="auto"/>
        <w:contextualSpacing w:val="0"/>
        <w:jc w:val="both"/>
        <w:rPr>
          <w:rFonts w:ascii="Aptos" w:hAnsi="Aptos" w:cs="Times New Roman"/>
        </w:rPr>
      </w:pPr>
      <w:r>
        <w:rPr>
          <w:rFonts w:ascii="Aptos" w:hAnsi="Aptos" w:cs="Times New Roman"/>
        </w:rPr>
        <w:t xml:space="preserve">The substance of some of the points of objection </w:t>
      </w:r>
      <w:r w:rsidR="000A488B">
        <w:rPr>
          <w:rFonts w:ascii="Aptos" w:hAnsi="Aptos" w:cs="Times New Roman"/>
        </w:rPr>
        <w:t>that are bein</w:t>
      </w:r>
      <w:r w:rsidR="00912D6A">
        <w:rPr>
          <w:rFonts w:ascii="Aptos" w:hAnsi="Aptos" w:cs="Times New Roman"/>
        </w:rPr>
        <w:t>g</w:t>
      </w:r>
      <w:r w:rsidR="000A488B">
        <w:rPr>
          <w:rFonts w:ascii="Aptos" w:hAnsi="Aptos" w:cs="Times New Roman"/>
        </w:rPr>
        <w:t xml:space="preserve"> </w:t>
      </w:r>
      <w:r>
        <w:rPr>
          <w:rFonts w:ascii="Aptos" w:hAnsi="Aptos" w:cs="Times New Roman"/>
        </w:rPr>
        <w:t xml:space="preserve">pursued by other </w:t>
      </w:r>
      <w:r w:rsidR="00C11063">
        <w:rPr>
          <w:rFonts w:ascii="Aptos" w:hAnsi="Aptos" w:cs="Times New Roman"/>
        </w:rPr>
        <w:t xml:space="preserve">objectors has been addressed above. Human rights and the PSED are addressed in separate sections below. </w:t>
      </w:r>
      <w:r w:rsidR="00D8013B">
        <w:rPr>
          <w:rFonts w:ascii="Aptos" w:hAnsi="Aptos" w:cs="Times New Roman"/>
        </w:rPr>
        <w:t>The remaining objection “themes” previously identified by the Council</w:t>
      </w:r>
      <w:r w:rsidR="000A488B">
        <w:rPr>
          <w:rStyle w:val="FootnoteReference"/>
          <w:rFonts w:ascii="Aptos" w:hAnsi="Aptos" w:cs="Times New Roman"/>
        </w:rPr>
        <w:footnoteReference w:id="34"/>
      </w:r>
      <w:r w:rsidR="00D8013B">
        <w:rPr>
          <w:rFonts w:ascii="Aptos" w:hAnsi="Aptos" w:cs="Times New Roman"/>
        </w:rPr>
        <w:t xml:space="preserve"> are addressed here in turn. </w:t>
      </w:r>
    </w:p>
    <w:p w14:paraId="28077AB7" w14:textId="77777777" w:rsidR="000A488B" w:rsidRDefault="000A488B" w:rsidP="006E064C">
      <w:pPr>
        <w:spacing w:after="0" w:line="480" w:lineRule="auto"/>
        <w:jc w:val="both"/>
        <w:rPr>
          <w:rFonts w:ascii="Aptos" w:hAnsi="Aptos" w:cs="Times New Roman"/>
        </w:rPr>
      </w:pPr>
    </w:p>
    <w:p w14:paraId="1BC5F87F" w14:textId="7DAC2DE5" w:rsidR="000A488B" w:rsidRPr="000A488B" w:rsidRDefault="000A488B" w:rsidP="006E064C">
      <w:pPr>
        <w:spacing w:after="0" w:line="480" w:lineRule="auto"/>
        <w:jc w:val="both"/>
        <w:rPr>
          <w:rFonts w:ascii="Aptos" w:hAnsi="Aptos" w:cs="Times New Roman"/>
          <w:u w:val="single"/>
        </w:rPr>
      </w:pPr>
      <w:r>
        <w:rPr>
          <w:rFonts w:ascii="Aptos" w:hAnsi="Aptos" w:cs="Times New Roman"/>
          <w:u w:val="single"/>
        </w:rPr>
        <w:t>Planning points</w:t>
      </w:r>
    </w:p>
    <w:p w14:paraId="1F048FFF" w14:textId="539E8ABB" w:rsidR="000A488B" w:rsidRDefault="008068DF" w:rsidP="006E064C">
      <w:pPr>
        <w:pStyle w:val="ListParagraph"/>
        <w:numPr>
          <w:ilvl w:val="0"/>
          <w:numId w:val="1"/>
        </w:numPr>
        <w:spacing w:after="0" w:line="480" w:lineRule="auto"/>
        <w:contextualSpacing w:val="0"/>
        <w:jc w:val="both"/>
        <w:rPr>
          <w:rFonts w:ascii="Aptos" w:hAnsi="Aptos" w:cs="Times New Roman"/>
        </w:rPr>
      </w:pPr>
      <w:r>
        <w:rPr>
          <w:rFonts w:ascii="Aptos" w:hAnsi="Aptos" w:cs="Times New Roman"/>
        </w:rPr>
        <w:t>Of the objection “themes” identified by the Council</w:t>
      </w:r>
      <w:r w:rsidR="00793383">
        <w:rPr>
          <w:rFonts w:ascii="Aptos" w:hAnsi="Aptos" w:cs="Times New Roman"/>
        </w:rPr>
        <w:t xml:space="preserve"> and not already addressed above</w:t>
      </w:r>
      <w:r>
        <w:rPr>
          <w:rFonts w:ascii="Aptos" w:hAnsi="Aptos" w:cs="Times New Roman"/>
        </w:rPr>
        <w:t xml:space="preserve">, the following are points that </w:t>
      </w:r>
      <w:r w:rsidR="00B451DB">
        <w:rPr>
          <w:rFonts w:ascii="Aptos" w:hAnsi="Aptos" w:cs="Times New Roman"/>
        </w:rPr>
        <w:t>were considered prior to the Planning Permission being granted</w:t>
      </w:r>
      <w:r w:rsidR="004544D6">
        <w:rPr>
          <w:rFonts w:ascii="Aptos" w:hAnsi="Aptos" w:cs="Times New Roman"/>
        </w:rPr>
        <w:t>:</w:t>
      </w:r>
    </w:p>
    <w:p w14:paraId="03ED8835" w14:textId="77777777" w:rsidR="000A488B" w:rsidRPr="008A2623" w:rsidRDefault="000A488B" w:rsidP="006E064C">
      <w:pPr>
        <w:pStyle w:val="ListParagraph"/>
        <w:numPr>
          <w:ilvl w:val="1"/>
          <w:numId w:val="1"/>
        </w:numPr>
        <w:spacing w:after="0" w:line="480" w:lineRule="auto"/>
        <w:ind w:left="993" w:hanging="567"/>
        <w:contextualSpacing w:val="0"/>
        <w:jc w:val="both"/>
        <w:rPr>
          <w:rFonts w:ascii="Aptos" w:hAnsi="Aptos" w:cs="Times New Roman"/>
        </w:rPr>
      </w:pPr>
      <w:r w:rsidRPr="008A2623">
        <w:rPr>
          <w:rFonts w:ascii="Aptos" w:hAnsi="Aptos"/>
        </w:rPr>
        <w:t>Inappropriate access;</w:t>
      </w:r>
    </w:p>
    <w:p w14:paraId="4A8F03F6" w14:textId="77777777" w:rsidR="000A488B" w:rsidRPr="008A2623" w:rsidRDefault="000A488B" w:rsidP="006E064C">
      <w:pPr>
        <w:pStyle w:val="ListParagraph"/>
        <w:numPr>
          <w:ilvl w:val="1"/>
          <w:numId w:val="1"/>
        </w:numPr>
        <w:spacing w:after="0" w:line="480" w:lineRule="auto"/>
        <w:ind w:left="993" w:hanging="567"/>
        <w:contextualSpacing w:val="0"/>
        <w:jc w:val="both"/>
        <w:rPr>
          <w:rFonts w:ascii="Aptos" w:hAnsi="Aptos" w:cs="Times New Roman"/>
        </w:rPr>
      </w:pPr>
      <w:r w:rsidRPr="008A2623">
        <w:rPr>
          <w:rFonts w:ascii="Aptos" w:hAnsi="Aptos"/>
        </w:rPr>
        <w:t>Highway safety;</w:t>
      </w:r>
    </w:p>
    <w:p w14:paraId="3CE2357E" w14:textId="3F2BD4D7" w:rsidR="000A488B" w:rsidRPr="008A2623" w:rsidRDefault="000A488B" w:rsidP="006E064C">
      <w:pPr>
        <w:pStyle w:val="ListParagraph"/>
        <w:numPr>
          <w:ilvl w:val="1"/>
          <w:numId w:val="1"/>
        </w:numPr>
        <w:spacing w:after="0" w:line="480" w:lineRule="auto"/>
        <w:ind w:left="993" w:hanging="567"/>
        <w:contextualSpacing w:val="0"/>
        <w:jc w:val="both"/>
        <w:rPr>
          <w:rFonts w:ascii="Aptos" w:hAnsi="Aptos" w:cs="Times New Roman"/>
        </w:rPr>
      </w:pPr>
      <w:r w:rsidRPr="008A2623">
        <w:rPr>
          <w:rFonts w:ascii="Aptos" w:hAnsi="Aptos" w:cs="Times New Roman"/>
        </w:rPr>
        <w:t xml:space="preserve">Lack of infrastructure, flooding risk, damage to nature; </w:t>
      </w:r>
      <w:r w:rsidR="004544D6">
        <w:rPr>
          <w:rFonts w:ascii="Aptos" w:hAnsi="Aptos" w:cs="Times New Roman"/>
        </w:rPr>
        <w:t>and</w:t>
      </w:r>
    </w:p>
    <w:p w14:paraId="5470BF65" w14:textId="0484E1DD" w:rsidR="006719E0" w:rsidRDefault="000A488B" w:rsidP="006E064C">
      <w:pPr>
        <w:pStyle w:val="ListParagraph"/>
        <w:numPr>
          <w:ilvl w:val="1"/>
          <w:numId w:val="1"/>
        </w:numPr>
        <w:spacing w:after="0" w:line="480" w:lineRule="auto"/>
        <w:ind w:left="993" w:hanging="567"/>
        <w:contextualSpacing w:val="0"/>
        <w:jc w:val="both"/>
        <w:rPr>
          <w:rFonts w:ascii="Aptos" w:hAnsi="Aptos" w:cs="Times New Roman"/>
        </w:rPr>
      </w:pPr>
      <w:r w:rsidRPr="008A2623">
        <w:rPr>
          <w:rFonts w:ascii="Aptos" w:hAnsi="Aptos" w:cs="Times New Roman"/>
        </w:rPr>
        <w:t>Unsuitable location</w:t>
      </w:r>
      <w:r w:rsidR="004544D6">
        <w:rPr>
          <w:rFonts w:ascii="Aptos" w:hAnsi="Aptos" w:cs="Times New Roman"/>
        </w:rPr>
        <w:t>.</w:t>
      </w:r>
    </w:p>
    <w:p w14:paraId="4D0A433A" w14:textId="77777777" w:rsidR="004544D6" w:rsidRDefault="004544D6" w:rsidP="006E064C">
      <w:pPr>
        <w:pStyle w:val="ListParagraph"/>
        <w:spacing w:after="0" w:line="480" w:lineRule="auto"/>
        <w:ind w:left="993"/>
        <w:contextualSpacing w:val="0"/>
        <w:jc w:val="both"/>
        <w:rPr>
          <w:rFonts w:ascii="Aptos" w:hAnsi="Aptos" w:cs="Times New Roman"/>
        </w:rPr>
      </w:pPr>
    </w:p>
    <w:p w14:paraId="3CF682CF" w14:textId="6F3B83E2" w:rsidR="006719E0" w:rsidRDefault="004544D6" w:rsidP="006E064C">
      <w:pPr>
        <w:pStyle w:val="ListParagraph"/>
        <w:numPr>
          <w:ilvl w:val="0"/>
          <w:numId w:val="1"/>
        </w:numPr>
        <w:spacing w:after="0" w:line="480" w:lineRule="auto"/>
        <w:contextualSpacing w:val="0"/>
        <w:jc w:val="both"/>
        <w:rPr>
          <w:rFonts w:ascii="Aptos" w:hAnsi="Aptos" w:cs="Times New Roman"/>
        </w:rPr>
      </w:pPr>
      <w:r>
        <w:rPr>
          <w:rFonts w:ascii="Aptos" w:hAnsi="Aptos" w:cs="Times New Roman"/>
        </w:rPr>
        <w:t xml:space="preserve">The Council’s position on these grounds of objection </w:t>
      </w:r>
      <w:r w:rsidR="007D1549">
        <w:rPr>
          <w:rFonts w:ascii="Aptos" w:hAnsi="Aptos" w:cs="Times New Roman"/>
        </w:rPr>
        <w:t xml:space="preserve">is that </w:t>
      </w:r>
      <w:r w:rsidR="00412B93">
        <w:rPr>
          <w:rFonts w:ascii="Aptos" w:hAnsi="Aptos" w:cs="Times New Roman"/>
        </w:rPr>
        <w:t xml:space="preserve">it has (as local planning authority) previously considered the points raised, </w:t>
      </w:r>
      <w:proofErr w:type="gramStart"/>
      <w:r w:rsidR="00412B93">
        <w:rPr>
          <w:rFonts w:ascii="Aptos" w:hAnsi="Aptos" w:cs="Times New Roman"/>
        </w:rPr>
        <w:t>in the course of</w:t>
      </w:r>
      <w:proofErr w:type="gramEnd"/>
      <w:r w:rsidR="00412B93">
        <w:rPr>
          <w:rFonts w:ascii="Aptos" w:hAnsi="Aptos" w:cs="Times New Roman"/>
        </w:rPr>
        <w:t xml:space="preserve"> determining the </w:t>
      </w:r>
      <w:r w:rsidR="00350FE6">
        <w:rPr>
          <w:rFonts w:ascii="Aptos" w:hAnsi="Aptos" w:cs="Times New Roman"/>
        </w:rPr>
        <w:t xml:space="preserve">applications for planning permission for the Scheme. </w:t>
      </w:r>
      <w:r w:rsidR="007B0CB9">
        <w:rPr>
          <w:rFonts w:ascii="Aptos" w:hAnsi="Aptos" w:cs="Times New Roman"/>
        </w:rPr>
        <w:t xml:space="preserve">Its conclusion having done so was that planning permission should be granted. </w:t>
      </w:r>
    </w:p>
    <w:p w14:paraId="471B00A4" w14:textId="77777777" w:rsidR="00943443" w:rsidRDefault="00943443" w:rsidP="006E064C">
      <w:pPr>
        <w:pStyle w:val="ListParagraph"/>
        <w:spacing w:after="0" w:line="480" w:lineRule="auto"/>
        <w:ind w:left="360"/>
        <w:contextualSpacing w:val="0"/>
        <w:jc w:val="both"/>
        <w:rPr>
          <w:rFonts w:ascii="Aptos" w:hAnsi="Aptos" w:cs="Times New Roman"/>
        </w:rPr>
      </w:pPr>
    </w:p>
    <w:p w14:paraId="35E7267B" w14:textId="5754A0D0" w:rsidR="00935D87" w:rsidRDefault="00943443" w:rsidP="006E064C">
      <w:pPr>
        <w:pStyle w:val="ListParagraph"/>
        <w:numPr>
          <w:ilvl w:val="0"/>
          <w:numId w:val="1"/>
        </w:numPr>
        <w:spacing w:after="0" w:line="480" w:lineRule="auto"/>
        <w:contextualSpacing w:val="0"/>
        <w:jc w:val="both"/>
        <w:rPr>
          <w:rFonts w:ascii="Aptos" w:hAnsi="Aptos" w:cs="Times New Roman"/>
        </w:rPr>
      </w:pPr>
      <w:r>
        <w:rPr>
          <w:rFonts w:ascii="Aptos" w:hAnsi="Aptos" w:cs="Times New Roman"/>
        </w:rPr>
        <w:t xml:space="preserve">Objectors (in particular, Mr </w:t>
      </w:r>
      <w:proofErr w:type="spellStart"/>
      <w:r>
        <w:rPr>
          <w:rFonts w:ascii="Aptos" w:hAnsi="Aptos" w:cs="Times New Roman"/>
        </w:rPr>
        <w:t>Corkett</w:t>
      </w:r>
      <w:proofErr w:type="spellEnd"/>
      <w:r>
        <w:rPr>
          <w:rFonts w:ascii="Aptos" w:hAnsi="Aptos" w:cs="Times New Roman"/>
        </w:rPr>
        <w:t>) purport to identify material changes in circ</w:t>
      </w:r>
      <w:r w:rsidR="00B41744">
        <w:rPr>
          <w:rFonts w:ascii="Aptos" w:hAnsi="Aptos" w:cs="Times New Roman"/>
        </w:rPr>
        <w:t>umstance</w:t>
      </w:r>
      <w:r w:rsidR="004D5BCC">
        <w:rPr>
          <w:rFonts w:ascii="Aptos" w:hAnsi="Aptos" w:cs="Times New Roman"/>
        </w:rPr>
        <w:t>s</w:t>
      </w:r>
      <w:r w:rsidR="00B41744">
        <w:rPr>
          <w:rFonts w:ascii="Aptos" w:hAnsi="Aptos" w:cs="Times New Roman"/>
        </w:rPr>
        <w:t xml:space="preserve"> since </w:t>
      </w:r>
      <w:r w:rsidR="002E4591">
        <w:rPr>
          <w:rFonts w:ascii="Aptos" w:hAnsi="Aptos" w:cs="Times New Roman"/>
        </w:rPr>
        <w:t>planning permission was granted for the Scheme.</w:t>
      </w:r>
      <w:r w:rsidR="004D5BCC">
        <w:rPr>
          <w:rFonts w:ascii="Aptos" w:hAnsi="Aptos" w:cs="Times New Roman"/>
        </w:rPr>
        <w:t xml:space="preserve"> As to those: </w:t>
      </w:r>
    </w:p>
    <w:p w14:paraId="25355434" w14:textId="77777777" w:rsidR="00997718" w:rsidRPr="00997718" w:rsidRDefault="00997718" w:rsidP="006E064C">
      <w:pPr>
        <w:pStyle w:val="ListParagraph"/>
        <w:spacing w:after="0" w:line="480" w:lineRule="auto"/>
        <w:contextualSpacing w:val="0"/>
        <w:rPr>
          <w:rFonts w:ascii="Aptos" w:hAnsi="Aptos" w:cs="Times New Roman"/>
        </w:rPr>
      </w:pPr>
    </w:p>
    <w:p w14:paraId="67258392" w14:textId="1DA15D69" w:rsidR="00997718" w:rsidRDefault="00997718" w:rsidP="006E064C">
      <w:pPr>
        <w:pStyle w:val="ListParagraph"/>
        <w:numPr>
          <w:ilvl w:val="1"/>
          <w:numId w:val="1"/>
        </w:numPr>
        <w:spacing w:after="0" w:line="480" w:lineRule="auto"/>
        <w:ind w:left="993" w:hanging="567"/>
        <w:contextualSpacing w:val="0"/>
        <w:jc w:val="both"/>
        <w:rPr>
          <w:rFonts w:ascii="Aptos" w:hAnsi="Aptos" w:cs="Times New Roman"/>
        </w:rPr>
      </w:pPr>
      <w:r>
        <w:rPr>
          <w:rFonts w:ascii="Aptos" w:hAnsi="Aptos" w:cs="Times New Roman"/>
        </w:rPr>
        <w:t xml:space="preserve">The recent grant of planning permission for up to 150 houses on the Main Road site is addressed below, </w:t>
      </w:r>
      <w:r w:rsidR="009F182F">
        <w:rPr>
          <w:rFonts w:ascii="Aptos" w:hAnsi="Aptos" w:cs="Times New Roman"/>
        </w:rPr>
        <w:t xml:space="preserve">in considering potential alternatives to compulsory acquisition. </w:t>
      </w:r>
    </w:p>
    <w:p w14:paraId="51EA271D" w14:textId="77777777" w:rsidR="009F182F" w:rsidRDefault="009F182F" w:rsidP="006E064C">
      <w:pPr>
        <w:pStyle w:val="ListParagraph"/>
        <w:spacing w:after="0" w:line="480" w:lineRule="auto"/>
        <w:ind w:left="993"/>
        <w:contextualSpacing w:val="0"/>
        <w:jc w:val="both"/>
        <w:rPr>
          <w:rFonts w:ascii="Aptos" w:hAnsi="Aptos" w:cs="Times New Roman"/>
        </w:rPr>
      </w:pPr>
    </w:p>
    <w:p w14:paraId="2265A4C2" w14:textId="77777777" w:rsidR="00337B1D" w:rsidRDefault="00A8263A" w:rsidP="006E064C">
      <w:pPr>
        <w:pStyle w:val="ListParagraph"/>
        <w:numPr>
          <w:ilvl w:val="1"/>
          <w:numId w:val="1"/>
        </w:numPr>
        <w:spacing w:after="0" w:line="480" w:lineRule="auto"/>
        <w:ind w:left="993" w:hanging="567"/>
        <w:contextualSpacing w:val="0"/>
        <w:jc w:val="both"/>
        <w:rPr>
          <w:rFonts w:ascii="Aptos" w:hAnsi="Aptos" w:cs="Times New Roman"/>
        </w:rPr>
      </w:pPr>
      <w:r>
        <w:rPr>
          <w:rFonts w:ascii="Aptos" w:hAnsi="Aptos" w:cs="Times New Roman"/>
        </w:rPr>
        <w:t xml:space="preserve">Mr </w:t>
      </w:r>
      <w:proofErr w:type="spellStart"/>
      <w:r>
        <w:rPr>
          <w:rFonts w:ascii="Aptos" w:hAnsi="Aptos" w:cs="Times New Roman"/>
        </w:rPr>
        <w:t>Corkett</w:t>
      </w:r>
      <w:proofErr w:type="spellEnd"/>
      <w:r>
        <w:rPr>
          <w:rFonts w:ascii="Aptos" w:hAnsi="Aptos" w:cs="Times New Roman"/>
        </w:rPr>
        <w:t xml:space="preserve"> argues that Birdham Primary School has become busier since the school nursery moved on site and that </w:t>
      </w:r>
      <w:r w:rsidR="007345A2">
        <w:rPr>
          <w:rFonts w:ascii="Aptos" w:hAnsi="Aptos" w:cs="Times New Roman"/>
        </w:rPr>
        <w:t xml:space="preserve">as a result there is an increased highway safety risk. However, </w:t>
      </w:r>
      <w:r w:rsidR="005B4E59" w:rsidRPr="007345A2">
        <w:rPr>
          <w:rFonts w:ascii="Aptos" w:hAnsi="Aptos"/>
        </w:rPr>
        <w:t xml:space="preserve">the </w:t>
      </w:r>
      <w:r w:rsidR="005B4E59" w:rsidRPr="007345A2">
        <w:rPr>
          <w:rFonts w:ascii="Aptos" w:hAnsi="Aptos" w:cs="Times New Roman"/>
        </w:rPr>
        <w:t xml:space="preserve">proposed access road has already been fully considered and approved as part of the planning process. WSCC as the local highway authority has confirmed that the proposed access road: is sufficiently wide to allow two vehicles to pass; includes speed reducing features; complies with the Manual for Streets guidance; raises no safety concerns in respect of the proposed pedestrian crossing point; and will generate a low volume of vehicular traffic. For all these reasons WSCC raised no objections to the grant of planning permission for the proposed access road. Martlet’s highways consultants have since produced an updated Transport Technical Report </w:t>
      </w:r>
      <w:r w:rsidR="00D21319">
        <w:rPr>
          <w:rFonts w:ascii="Aptos" w:hAnsi="Aptos" w:cs="Times New Roman"/>
        </w:rPr>
        <w:t>that</w:t>
      </w:r>
      <w:r w:rsidR="005B4E59" w:rsidRPr="007345A2">
        <w:rPr>
          <w:rFonts w:ascii="Aptos" w:hAnsi="Aptos" w:cs="Times New Roman"/>
        </w:rPr>
        <w:t xml:space="preserve"> includes an updated Stage 1 Road Safety Audit. That report concludes that the proposed access design is safe and complies with national and local design guidance.</w:t>
      </w:r>
      <w:r w:rsidR="000500C3">
        <w:rPr>
          <w:rFonts w:ascii="Aptos" w:hAnsi="Aptos" w:cs="Times New Roman"/>
        </w:rPr>
        <w:t xml:space="preserve"> WSCC’s position as local highway authority </w:t>
      </w:r>
      <w:r w:rsidR="00114748">
        <w:rPr>
          <w:rFonts w:ascii="Aptos" w:hAnsi="Aptos" w:cs="Times New Roman"/>
        </w:rPr>
        <w:t>has not changed, notwithstanding any increase in the number of children using the primary school site</w:t>
      </w:r>
      <w:r w:rsidR="002A67C1">
        <w:rPr>
          <w:rFonts w:ascii="Aptos" w:hAnsi="Aptos" w:cs="Times New Roman"/>
        </w:rPr>
        <w:t xml:space="preserve">: WSCC is not objecting to the </w:t>
      </w:r>
      <w:r w:rsidR="00F51E56">
        <w:rPr>
          <w:rFonts w:ascii="Aptos" w:hAnsi="Aptos" w:cs="Times New Roman"/>
        </w:rPr>
        <w:t xml:space="preserve">Scheme coming forward. </w:t>
      </w:r>
    </w:p>
    <w:p w14:paraId="1926A1A5" w14:textId="77777777" w:rsidR="00337B1D" w:rsidRDefault="00337B1D" w:rsidP="006E064C">
      <w:pPr>
        <w:pStyle w:val="ListParagraph"/>
        <w:spacing w:after="0" w:line="480" w:lineRule="auto"/>
        <w:ind w:left="993"/>
        <w:contextualSpacing w:val="0"/>
        <w:jc w:val="both"/>
        <w:rPr>
          <w:rFonts w:ascii="Aptos" w:hAnsi="Aptos" w:cs="Times New Roman"/>
        </w:rPr>
      </w:pPr>
    </w:p>
    <w:p w14:paraId="31D1098C" w14:textId="20B848B6" w:rsidR="00C81035" w:rsidRDefault="00337B1D" w:rsidP="006E064C">
      <w:pPr>
        <w:pStyle w:val="ListParagraph"/>
        <w:numPr>
          <w:ilvl w:val="0"/>
          <w:numId w:val="1"/>
        </w:numPr>
        <w:spacing w:after="0" w:line="480" w:lineRule="auto"/>
        <w:contextualSpacing w:val="0"/>
        <w:jc w:val="both"/>
        <w:rPr>
          <w:rFonts w:ascii="Aptos" w:hAnsi="Aptos" w:cs="Times New Roman"/>
        </w:rPr>
      </w:pPr>
      <w:r>
        <w:rPr>
          <w:rFonts w:ascii="Aptos" w:hAnsi="Aptos" w:cs="Times New Roman"/>
        </w:rPr>
        <w:t xml:space="preserve">As to </w:t>
      </w:r>
      <w:r w:rsidR="00131916">
        <w:rPr>
          <w:rFonts w:ascii="Aptos" w:hAnsi="Aptos" w:cs="Times New Roman"/>
        </w:rPr>
        <w:t>objections founded upon a perceived l</w:t>
      </w:r>
      <w:r w:rsidR="00C81035" w:rsidRPr="00337B1D">
        <w:rPr>
          <w:rFonts w:ascii="Aptos" w:hAnsi="Aptos" w:cs="Times New Roman"/>
        </w:rPr>
        <w:t>ack of infrastructure, flooding risk</w:t>
      </w:r>
      <w:r w:rsidR="00131916">
        <w:rPr>
          <w:rFonts w:ascii="Aptos" w:hAnsi="Aptos" w:cs="Times New Roman"/>
        </w:rPr>
        <w:t xml:space="preserve"> and/or </w:t>
      </w:r>
      <w:r w:rsidR="00C81035" w:rsidRPr="00337B1D">
        <w:rPr>
          <w:rFonts w:ascii="Aptos" w:hAnsi="Aptos" w:cs="Times New Roman"/>
        </w:rPr>
        <w:t xml:space="preserve">damage to nature: this theme is addressed by both Mr Bristow and Ms Poulter in their proofs of evidence. These issues were addressed through the planning process. As regards the risk of </w:t>
      </w:r>
      <w:r w:rsidR="00C81035" w:rsidRPr="00337B1D">
        <w:rPr>
          <w:rFonts w:ascii="Aptos" w:hAnsi="Aptos" w:cs="Times New Roman"/>
        </w:rPr>
        <w:lastRenderedPageBreak/>
        <w:t>flooding, the relevant consultees (the Council’s Drainage Engineer and Southern Water) have confirmed that there are no concerns in relation to (</w:t>
      </w:r>
      <w:proofErr w:type="spellStart"/>
      <w:r w:rsidR="00C81035" w:rsidRPr="00337B1D">
        <w:rPr>
          <w:rFonts w:ascii="Aptos" w:hAnsi="Aptos" w:cs="Times New Roman"/>
        </w:rPr>
        <w:t>i</w:t>
      </w:r>
      <w:proofErr w:type="spellEnd"/>
      <w:r w:rsidR="00C81035" w:rsidRPr="00337B1D">
        <w:rPr>
          <w:rFonts w:ascii="Aptos" w:hAnsi="Aptos" w:cs="Times New Roman"/>
        </w:rPr>
        <w:t xml:space="preserve">) the Scheme’s drainage or (ii) risks from flooding. Similarly, neither the Environment Agency nor Natural England raised any objection to the grant of planning permission for the Scheme.   </w:t>
      </w:r>
    </w:p>
    <w:p w14:paraId="63536BF6" w14:textId="77777777" w:rsidR="00A108D8" w:rsidRDefault="00A108D8" w:rsidP="006E064C">
      <w:pPr>
        <w:pStyle w:val="ListParagraph"/>
        <w:spacing w:after="0" w:line="480" w:lineRule="auto"/>
        <w:ind w:left="360"/>
        <w:contextualSpacing w:val="0"/>
        <w:jc w:val="both"/>
        <w:rPr>
          <w:rFonts w:ascii="Aptos" w:hAnsi="Aptos" w:cs="Times New Roman"/>
        </w:rPr>
      </w:pPr>
    </w:p>
    <w:p w14:paraId="42D86E5D" w14:textId="77777777" w:rsidR="001B28F8" w:rsidRDefault="00112A99" w:rsidP="006E064C">
      <w:pPr>
        <w:pStyle w:val="ListParagraph"/>
        <w:numPr>
          <w:ilvl w:val="0"/>
          <w:numId w:val="1"/>
        </w:numPr>
        <w:spacing w:after="0" w:line="480" w:lineRule="auto"/>
        <w:contextualSpacing w:val="0"/>
        <w:jc w:val="both"/>
        <w:rPr>
          <w:rFonts w:ascii="Aptos" w:hAnsi="Aptos" w:cs="Times New Roman"/>
        </w:rPr>
      </w:pPr>
      <w:r>
        <w:rPr>
          <w:rFonts w:ascii="Aptos" w:hAnsi="Aptos" w:cs="Times New Roman"/>
        </w:rPr>
        <w:t>Th</w:t>
      </w:r>
      <w:r w:rsidR="00A108D8">
        <w:rPr>
          <w:rFonts w:ascii="Aptos" w:hAnsi="Aptos" w:cs="Times New Roman"/>
        </w:rPr>
        <w:t xml:space="preserve">e </w:t>
      </w:r>
      <w:r w:rsidR="00430FF3">
        <w:rPr>
          <w:rFonts w:ascii="Aptos" w:hAnsi="Aptos" w:cs="Times New Roman"/>
        </w:rPr>
        <w:t xml:space="preserve">“unsuitable location” ground of objection is baseless. The </w:t>
      </w:r>
      <w:r w:rsidR="00C81035" w:rsidRPr="0085251A">
        <w:rPr>
          <w:rFonts w:ascii="Aptos" w:hAnsi="Aptos" w:cs="Times New Roman"/>
        </w:rPr>
        <w:t>suitability of the Housing Site for affordable social rented housing has been established through the grant of planning permission for the Scheme.</w:t>
      </w:r>
      <w:r w:rsidR="00CD3EC4">
        <w:rPr>
          <w:rFonts w:ascii="Aptos" w:hAnsi="Aptos" w:cs="Times New Roman"/>
        </w:rPr>
        <w:t xml:space="preserve"> Mr </w:t>
      </w:r>
      <w:proofErr w:type="spellStart"/>
      <w:r w:rsidR="00CD3EC4">
        <w:rPr>
          <w:rFonts w:ascii="Aptos" w:hAnsi="Aptos" w:cs="Times New Roman"/>
        </w:rPr>
        <w:t>Corkett</w:t>
      </w:r>
      <w:proofErr w:type="spellEnd"/>
      <w:r w:rsidR="00CD3EC4">
        <w:rPr>
          <w:rFonts w:ascii="Aptos" w:hAnsi="Aptos" w:cs="Times New Roman"/>
        </w:rPr>
        <w:t xml:space="preserve"> referred repeatedly to the view expressed by the Council’s Design and Implementation Manager </w:t>
      </w:r>
      <w:r w:rsidR="00177540">
        <w:rPr>
          <w:rFonts w:ascii="Aptos" w:hAnsi="Aptos" w:cs="Times New Roman"/>
        </w:rPr>
        <w:t xml:space="preserve">that the Housing Site is “in a relatively isolated location poorly connected to the rest of the village via a narrow, poorly overlooked </w:t>
      </w:r>
      <w:r w:rsidR="009B0AC4">
        <w:rPr>
          <w:rFonts w:ascii="Aptos" w:hAnsi="Aptos" w:cs="Times New Roman"/>
        </w:rPr>
        <w:t>track” (etc.). However, ultimately th</w:t>
      </w:r>
      <w:r w:rsidR="00877107">
        <w:rPr>
          <w:rFonts w:ascii="Aptos" w:hAnsi="Aptos" w:cs="Times New Roman"/>
        </w:rPr>
        <w:t>e Council as local planning authority decided that planning permission for the Scheme should be granted, notwithstanding the view</w:t>
      </w:r>
      <w:r w:rsidR="006D1E5F">
        <w:rPr>
          <w:rFonts w:ascii="Aptos" w:hAnsi="Aptos" w:cs="Times New Roman"/>
        </w:rPr>
        <w:t xml:space="preserve"> expressed by the Design and Implementation Manager.</w:t>
      </w:r>
      <w:r w:rsidR="00F87A18">
        <w:rPr>
          <w:rFonts w:ascii="Aptos" w:hAnsi="Aptos" w:cs="Times New Roman"/>
        </w:rPr>
        <w:t xml:space="preserve"> </w:t>
      </w:r>
      <w:r w:rsidR="00C753F2">
        <w:rPr>
          <w:rFonts w:ascii="Aptos" w:hAnsi="Aptos" w:cs="Times New Roman"/>
        </w:rPr>
        <w:t xml:space="preserve">It is also important to emphasise that Rural Exception Sites tend by their very nature to be delivered in sensitive areas </w:t>
      </w:r>
      <w:r w:rsidR="00627CEB">
        <w:rPr>
          <w:rFonts w:ascii="Aptos" w:hAnsi="Aptos" w:cs="Times New Roman"/>
        </w:rPr>
        <w:t xml:space="preserve">because the entire point of the Rural Exception Site concept is that </w:t>
      </w:r>
      <w:r w:rsidR="00BC16B9">
        <w:rPr>
          <w:rFonts w:ascii="Aptos" w:hAnsi="Aptos" w:cs="Times New Roman"/>
        </w:rPr>
        <w:t>the benefit of providing affordable housing means that exceptionally</w:t>
      </w:r>
      <w:r w:rsidR="001B28F8">
        <w:rPr>
          <w:rFonts w:ascii="Aptos" w:hAnsi="Aptos" w:cs="Times New Roman"/>
        </w:rPr>
        <w:t xml:space="preserve"> it is appropriate for them to come forward in locations that would not be suitable for market housing. </w:t>
      </w:r>
    </w:p>
    <w:p w14:paraId="270D495B" w14:textId="77777777" w:rsidR="008617C9" w:rsidRPr="008617C9" w:rsidRDefault="008617C9" w:rsidP="006E064C">
      <w:pPr>
        <w:pStyle w:val="ListParagraph"/>
        <w:spacing w:after="0" w:line="480" w:lineRule="auto"/>
        <w:contextualSpacing w:val="0"/>
        <w:rPr>
          <w:rFonts w:ascii="Aptos" w:hAnsi="Aptos" w:cs="Times New Roman"/>
        </w:rPr>
      </w:pPr>
    </w:p>
    <w:p w14:paraId="6AFA7FFF" w14:textId="62E3E045" w:rsidR="008617C9" w:rsidRDefault="008617C9" w:rsidP="006E064C">
      <w:pPr>
        <w:pStyle w:val="ListParagraph"/>
        <w:numPr>
          <w:ilvl w:val="0"/>
          <w:numId w:val="1"/>
        </w:numPr>
        <w:spacing w:after="0" w:line="480" w:lineRule="auto"/>
        <w:contextualSpacing w:val="0"/>
        <w:jc w:val="both"/>
        <w:rPr>
          <w:rFonts w:ascii="Aptos" w:hAnsi="Aptos" w:cs="Times New Roman"/>
        </w:rPr>
      </w:pPr>
      <w:r>
        <w:rPr>
          <w:rFonts w:ascii="Aptos" w:hAnsi="Aptos" w:cs="Times New Roman"/>
        </w:rPr>
        <w:t xml:space="preserve">There has not been any material change in circumstances since planning permission was granted for the Scheme that means that a different conclusion should now be reached on any of the “planning points” raised in the objections to the Order. </w:t>
      </w:r>
    </w:p>
    <w:p w14:paraId="559A75D6" w14:textId="77777777" w:rsidR="001B28F8" w:rsidRDefault="001B28F8" w:rsidP="006E064C">
      <w:pPr>
        <w:spacing w:after="0" w:line="480" w:lineRule="auto"/>
        <w:jc w:val="both"/>
        <w:rPr>
          <w:rFonts w:ascii="Aptos" w:hAnsi="Aptos" w:cs="Times New Roman"/>
        </w:rPr>
      </w:pPr>
    </w:p>
    <w:p w14:paraId="040EB80F" w14:textId="59EEF693" w:rsidR="001B28F8" w:rsidRPr="001B28F8" w:rsidRDefault="001B28F8" w:rsidP="006E064C">
      <w:pPr>
        <w:spacing w:after="0" w:line="480" w:lineRule="auto"/>
        <w:jc w:val="both"/>
        <w:rPr>
          <w:rFonts w:ascii="Aptos" w:hAnsi="Aptos" w:cs="Times New Roman"/>
        </w:rPr>
      </w:pPr>
      <w:r>
        <w:rPr>
          <w:rFonts w:ascii="Aptos" w:hAnsi="Aptos" w:cs="Times New Roman"/>
          <w:u w:val="single"/>
        </w:rPr>
        <w:t>Unsuitable use of Council powers</w:t>
      </w:r>
    </w:p>
    <w:p w14:paraId="76E8EFEF" w14:textId="4DAEDB87" w:rsidR="006A50DA" w:rsidRDefault="002023E1" w:rsidP="006E064C">
      <w:pPr>
        <w:pStyle w:val="ListParagraph"/>
        <w:numPr>
          <w:ilvl w:val="0"/>
          <w:numId w:val="1"/>
        </w:numPr>
        <w:spacing w:after="0" w:line="480" w:lineRule="auto"/>
        <w:contextualSpacing w:val="0"/>
        <w:jc w:val="both"/>
        <w:rPr>
          <w:rFonts w:ascii="Aptos" w:hAnsi="Aptos" w:cs="Times New Roman"/>
        </w:rPr>
      </w:pPr>
      <w:r>
        <w:rPr>
          <w:rFonts w:ascii="Aptos" w:hAnsi="Aptos" w:cs="Times New Roman"/>
        </w:rPr>
        <w:t>T</w:t>
      </w:r>
      <w:r w:rsidR="006A50DA" w:rsidRPr="002023E1">
        <w:rPr>
          <w:rFonts w:ascii="Aptos" w:hAnsi="Aptos" w:cs="Times New Roman"/>
        </w:rPr>
        <w:t>he Council has explained in its evidence how the various legislative requirements together with those of the 2019 Guidance</w:t>
      </w:r>
      <w:r w:rsidR="006A50DA">
        <w:rPr>
          <w:rStyle w:val="FootnoteReference"/>
          <w:rFonts w:ascii="Aptos" w:hAnsi="Aptos" w:cs="Times New Roman"/>
        </w:rPr>
        <w:footnoteReference w:id="35"/>
      </w:r>
      <w:r w:rsidR="006A50DA" w:rsidRPr="002023E1">
        <w:rPr>
          <w:rFonts w:ascii="Aptos" w:hAnsi="Aptos" w:cs="Times New Roman"/>
        </w:rPr>
        <w:t xml:space="preserve"> have been satisfied.</w:t>
      </w:r>
      <w:r w:rsidR="004A3D43">
        <w:rPr>
          <w:rFonts w:ascii="Aptos" w:hAnsi="Aptos" w:cs="Times New Roman"/>
        </w:rPr>
        <w:t xml:space="preserve"> This ground of objection appears </w:t>
      </w:r>
      <w:proofErr w:type="gramStart"/>
      <w:r w:rsidR="004A3D43">
        <w:rPr>
          <w:rFonts w:ascii="Aptos" w:hAnsi="Aptos" w:cs="Times New Roman"/>
        </w:rPr>
        <w:t xml:space="preserve">in </w:t>
      </w:r>
      <w:r w:rsidR="004A3D43">
        <w:rPr>
          <w:rFonts w:ascii="Aptos" w:hAnsi="Aptos" w:cs="Times New Roman"/>
        </w:rPr>
        <w:lastRenderedPageBreak/>
        <w:t>reality to</w:t>
      </w:r>
      <w:proofErr w:type="gramEnd"/>
      <w:r w:rsidR="004A3D43">
        <w:rPr>
          <w:rFonts w:ascii="Aptos" w:hAnsi="Aptos" w:cs="Times New Roman"/>
        </w:rPr>
        <w:t xml:space="preserve"> be a disagreement </w:t>
      </w:r>
      <w:r w:rsidR="005C6607">
        <w:rPr>
          <w:rFonts w:ascii="Aptos" w:hAnsi="Aptos" w:cs="Times New Roman"/>
        </w:rPr>
        <w:t xml:space="preserve">as to whether there is a compelling case in the public interest for compulsory acquisition. </w:t>
      </w:r>
      <w:r w:rsidR="006A50DA" w:rsidRPr="002023E1">
        <w:rPr>
          <w:rFonts w:ascii="Aptos" w:hAnsi="Aptos" w:cs="Times New Roman"/>
        </w:rPr>
        <w:t xml:space="preserve"> </w:t>
      </w:r>
    </w:p>
    <w:p w14:paraId="71DF9F06" w14:textId="77777777" w:rsidR="00487B53" w:rsidRDefault="00487B53" w:rsidP="006E064C">
      <w:pPr>
        <w:spacing w:after="0" w:line="480" w:lineRule="auto"/>
        <w:jc w:val="both"/>
        <w:rPr>
          <w:rFonts w:ascii="Aptos" w:hAnsi="Aptos" w:cs="Times New Roman"/>
        </w:rPr>
      </w:pPr>
    </w:p>
    <w:p w14:paraId="01F663D4" w14:textId="1097F133" w:rsidR="00487B53" w:rsidRPr="00487B53" w:rsidRDefault="00487B53" w:rsidP="006E064C">
      <w:pPr>
        <w:spacing w:after="0" w:line="480" w:lineRule="auto"/>
        <w:jc w:val="both"/>
        <w:rPr>
          <w:rFonts w:ascii="Aptos" w:hAnsi="Aptos" w:cs="Times New Roman"/>
          <w:b/>
          <w:bCs/>
          <w:u w:val="single"/>
        </w:rPr>
      </w:pPr>
      <w:r>
        <w:rPr>
          <w:rFonts w:ascii="Aptos" w:hAnsi="Aptos" w:cs="Times New Roman"/>
          <w:b/>
          <w:bCs/>
          <w:u w:val="single"/>
        </w:rPr>
        <w:t>Engagement and the conduct of the negotiations</w:t>
      </w:r>
    </w:p>
    <w:p w14:paraId="0BF674EF" w14:textId="5CAE0674" w:rsidR="00487B53" w:rsidRPr="00487B53" w:rsidRDefault="00487B53" w:rsidP="006E064C">
      <w:pPr>
        <w:pStyle w:val="ListParagraph"/>
        <w:numPr>
          <w:ilvl w:val="0"/>
          <w:numId w:val="1"/>
        </w:numPr>
        <w:spacing w:after="0" w:line="480" w:lineRule="auto"/>
        <w:contextualSpacing w:val="0"/>
        <w:jc w:val="both"/>
        <w:rPr>
          <w:rFonts w:ascii="Aptos" w:hAnsi="Aptos" w:cs="Times New Roman"/>
        </w:rPr>
      </w:pPr>
      <w:r w:rsidRPr="008253BC">
        <w:rPr>
          <w:rFonts w:ascii="Aptos" w:hAnsi="Aptos"/>
        </w:rPr>
        <w:t>The evidence of Ms Blackman</w:t>
      </w:r>
      <w:r w:rsidRPr="008253BC">
        <w:rPr>
          <w:rStyle w:val="FootnoteReference"/>
          <w:rFonts w:ascii="Aptos" w:hAnsi="Aptos"/>
        </w:rPr>
        <w:footnoteReference w:id="36"/>
      </w:r>
      <w:r w:rsidRPr="008253BC">
        <w:rPr>
          <w:rFonts w:ascii="Aptos" w:hAnsi="Aptos"/>
        </w:rPr>
        <w:t xml:space="preserve"> demonstrates that the Council has taken reasonable steps to acquire </w:t>
      </w:r>
      <w:proofErr w:type="gramStart"/>
      <w:r w:rsidRPr="008253BC">
        <w:rPr>
          <w:rFonts w:ascii="Aptos" w:hAnsi="Aptos"/>
        </w:rPr>
        <w:t>all of</w:t>
      </w:r>
      <w:proofErr w:type="gramEnd"/>
      <w:r w:rsidRPr="008253BC">
        <w:rPr>
          <w:rFonts w:ascii="Aptos" w:hAnsi="Aptos"/>
        </w:rPr>
        <w:t xml:space="preserve"> the land and rights included in the Order, by agreement. </w:t>
      </w:r>
      <w:r w:rsidRPr="008253BC">
        <w:rPr>
          <w:rFonts w:ascii="Aptos" w:hAnsi="Aptos" w:cs="Arial"/>
        </w:rPr>
        <w:t xml:space="preserve">First Martlet Homes and subsequently the Council have over a long period of time attempted to reach agreement with those parties who have or claim an interest in or right over the Order Land. </w:t>
      </w:r>
      <w:r w:rsidR="00DE56E7">
        <w:rPr>
          <w:rFonts w:ascii="Aptos" w:hAnsi="Aptos" w:cs="Arial"/>
        </w:rPr>
        <w:t>Heads of terms have been agreed with two of the five statutory objectors</w:t>
      </w:r>
      <w:r w:rsidR="008A7A3E">
        <w:rPr>
          <w:rFonts w:ascii="Aptos" w:hAnsi="Aptos" w:cs="Arial"/>
        </w:rPr>
        <w:t xml:space="preserve"> </w:t>
      </w:r>
      <w:proofErr w:type="gramStart"/>
      <w:r w:rsidR="008A7A3E">
        <w:rPr>
          <w:rFonts w:ascii="Aptos" w:hAnsi="Aptos" w:cs="Arial"/>
        </w:rPr>
        <w:t>and also</w:t>
      </w:r>
      <w:proofErr w:type="gramEnd"/>
      <w:r w:rsidR="008A7A3E">
        <w:rPr>
          <w:rFonts w:ascii="Aptos" w:hAnsi="Aptos" w:cs="Arial"/>
        </w:rPr>
        <w:t xml:space="preserve"> with a third landowner (above). </w:t>
      </w:r>
    </w:p>
    <w:p w14:paraId="1D2B355B" w14:textId="77777777" w:rsidR="00487B53" w:rsidRPr="008253BC" w:rsidRDefault="00487B53" w:rsidP="006E064C">
      <w:pPr>
        <w:pStyle w:val="ListParagraph"/>
        <w:spacing w:after="0" w:line="480" w:lineRule="auto"/>
        <w:ind w:left="360"/>
        <w:contextualSpacing w:val="0"/>
        <w:jc w:val="both"/>
        <w:rPr>
          <w:rFonts w:ascii="Aptos" w:hAnsi="Aptos" w:cs="Times New Roman"/>
        </w:rPr>
      </w:pPr>
    </w:p>
    <w:p w14:paraId="5ACD55A2" w14:textId="77777777" w:rsidR="009E0523" w:rsidRDefault="008A7A3E" w:rsidP="006E064C">
      <w:pPr>
        <w:pStyle w:val="ListParagraph"/>
        <w:numPr>
          <w:ilvl w:val="0"/>
          <w:numId w:val="1"/>
        </w:numPr>
        <w:spacing w:after="0" w:line="480" w:lineRule="auto"/>
        <w:contextualSpacing w:val="0"/>
        <w:jc w:val="both"/>
        <w:rPr>
          <w:rFonts w:ascii="Aptos" w:hAnsi="Aptos" w:cs="Times New Roman"/>
        </w:rPr>
      </w:pPr>
      <w:r>
        <w:rPr>
          <w:rFonts w:ascii="Aptos" w:hAnsi="Aptos" w:cs="Times New Roman"/>
        </w:rPr>
        <w:t xml:space="preserve">Whilst Ms Evans remains of the view that </w:t>
      </w:r>
      <w:r w:rsidR="00F91627">
        <w:rPr>
          <w:rFonts w:ascii="Aptos" w:hAnsi="Aptos" w:cs="Times New Roman"/>
        </w:rPr>
        <w:t xml:space="preserve">insufficient steps have been taken to negotiate with her mother (Mrs Mabel Evans), </w:t>
      </w:r>
      <w:r w:rsidR="00987601">
        <w:rPr>
          <w:rFonts w:ascii="Aptos" w:hAnsi="Aptos" w:cs="Times New Roman"/>
        </w:rPr>
        <w:t>she recognised in her oral evidence that engagement had taken place for the best part of nine years.</w:t>
      </w:r>
      <w:r w:rsidR="001C5227">
        <w:rPr>
          <w:rFonts w:ascii="Aptos" w:hAnsi="Aptos" w:cs="Times New Roman"/>
        </w:rPr>
        <w:t xml:space="preserve"> </w:t>
      </w:r>
      <w:r w:rsidR="005F0F2F">
        <w:rPr>
          <w:rFonts w:ascii="Aptos" w:hAnsi="Aptos" w:cs="Times New Roman"/>
        </w:rPr>
        <w:t>On 28 April 2022 Mrs Evans e-mailed Ms Blackman to say: “Thank you for your letters of 22 February and 26 April 2022. I do not wish to take you up on your offer to meet with you as I have nothing to discuss with you</w:t>
      </w:r>
      <w:r w:rsidR="00015047">
        <w:rPr>
          <w:rFonts w:ascii="Aptos" w:hAnsi="Aptos" w:cs="Times New Roman"/>
        </w:rPr>
        <w:t>. Yours sincerely” (etc.).</w:t>
      </w:r>
      <w:r w:rsidR="00EA4812">
        <w:rPr>
          <w:rFonts w:ascii="Aptos" w:hAnsi="Aptos" w:cs="Times New Roman"/>
        </w:rPr>
        <w:t xml:space="preserve"> As Ms Blackman explained, her instructions throughout were to negotiate </w:t>
      </w:r>
      <w:r w:rsidR="00EA4812">
        <w:rPr>
          <w:rFonts w:ascii="Aptos" w:hAnsi="Aptos" w:cs="Times New Roman"/>
          <w:u w:val="single"/>
        </w:rPr>
        <w:t>by agreement</w:t>
      </w:r>
      <w:r w:rsidR="00D06D83">
        <w:rPr>
          <w:rFonts w:ascii="Aptos" w:hAnsi="Aptos" w:cs="Times New Roman"/>
        </w:rPr>
        <w:t xml:space="preserve">. </w:t>
      </w:r>
      <w:r w:rsidR="002171F1">
        <w:rPr>
          <w:rFonts w:ascii="Aptos" w:hAnsi="Aptos" w:cs="Times New Roman"/>
        </w:rPr>
        <w:t xml:space="preserve">Mrs Evans having made her wishes clear, further negotiation was not possible. </w:t>
      </w:r>
      <w:r w:rsidR="00972A89">
        <w:rPr>
          <w:rFonts w:ascii="Aptos" w:hAnsi="Aptos" w:cs="Times New Roman"/>
        </w:rPr>
        <w:t xml:space="preserve"> </w:t>
      </w:r>
    </w:p>
    <w:p w14:paraId="125B0BCF" w14:textId="77777777" w:rsidR="009E0523" w:rsidRPr="009E0523" w:rsidRDefault="009E0523" w:rsidP="009E0523">
      <w:pPr>
        <w:pStyle w:val="ListParagraph"/>
        <w:rPr>
          <w:rFonts w:ascii="Aptos" w:hAnsi="Aptos" w:cs="Times New Roman"/>
        </w:rPr>
      </w:pPr>
    </w:p>
    <w:p w14:paraId="5DD0B16D" w14:textId="50795C0E" w:rsidR="007425EE" w:rsidRDefault="00C409AC" w:rsidP="006E064C">
      <w:pPr>
        <w:pStyle w:val="ListParagraph"/>
        <w:numPr>
          <w:ilvl w:val="0"/>
          <w:numId w:val="1"/>
        </w:numPr>
        <w:spacing w:after="0" w:line="480" w:lineRule="auto"/>
        <w:contextualSpacing w:val="0"/>
        <w:jc w:val="both"/>
        <w:rPr>
          <w:rFonts w:ascii="Aptos" w:hAnsi="Aptos" w:cs="Times New Roman"/>
        </w:rPr>
      </w:pPr>
      <w:r>
        <w:rPr>
          <w:rFonts w:ascii="Aptos" w:hAnsi="Aptos" w:cs="Times New Roman"/>
        </w:rPr>
        <w:t xml:space="preserve">Avison Young negotiated </w:t>
      </w:r>
      <w:proofErr w:type="gramStart"/>
      <w:r>
        <w:rPr>
          <w:rFonts w:ascii="Aptos" w:hAnsi="Aptos" w:cs="Times New Roman"/>
        </w:rPr>
        <w:t>on the basis of</w:t>
      </w:r>
      <w:proofErr w:type="gramEnd"/>
      <w:r>
        <w:rPr>
          <w:rFonts w:ascii="Aptos" w:hAnsi="Aptos" w:cs="Times New Roman"/>
        </w:rPr>
        <w:t xml:space="preserve"> the compensation that objectors would be entitled to following compulsory acquisition </w:t>
      </w:r>
      <w:r>
        <w:rPr>
          <w:rFonts w:ascii="Aptos" w:hAnsi="Aptos" w:cs="Times New Roman"/>
          <w:u w:val="single"/>
        </w:rPr>
        <w:t>if</w:t>
      </w:r>
      <w:r>
        <w:rPr>
          <w:rFonts w:ascii="Aptos" w:hAnsi="Aptos" w:cs="Times New Roman"/>
        </w:rPr>
        <w:t xml:space="preserve"> they could substantiate their title claims before the Tribunal. </w:t>
      </w:r>
      <w:r w:rsidR="00C67770">
        <w:rPr>
          <w:rFonts w:ascii="Aptos" w:hAnsi="Aptos" w:cs="Times New Roman"/>
        </w:rPr>
        <w:t>At no point did Ms Blackman or Avison Young “threaten” anyone.</w:t>
      </w:r>
    </w:p>
    <w:p w14:paraId="1DE6ADF1" w14:textId="77777777" w:rsidR="007425EE" w:rsidRDefault="007425EE" w:rsidP="006E064C">
      <w:pPr>
        <w:spacing w:after="0" w:line="480" w:lineRule="auto"/>
        <w:jc w:val="both"/>
        <w:rPr>
          <w:rFonts w:ascii="Aptos" w:hAnsi="Aptos" w:cs="Times New Roman"/>
        </w:rPr>
      </w:pPr>
    </w:p>
    <w:p w14:paraId="6E524886" w14:textId="2D61D6A1" w:rsidR="00487B53" w:rsidRPr="007425EE" w:rsidRDefault="007425EE" w:rsidP="006E064C">
      <w:pPr>
        <w:spacing w:after="0" w:line="480" w:lineRule="auto"/>
        <w:jc w:val="both"/>
        <w:rPr>
          <w:rFonts w:ascii="Aptos" w:hAnsi="Aptos" w:cs="Times New Roman"/>
        </w:rPr>
      </w:pPr>
      <w:r>
        <w:rPr>
          <w:rFonts w:ascii="Aptos" w:hAnsi="Aptos" w:cs="Times New Roman"/>
          <w:b/>
          <w:bCs/>
          <w:u w:val="single"/>
        </w:rPr>
        <w:t>Potential alternatives</w:t>
      </w:r>
      <w:r w:rsidR="00C67770" w:rsidRPr="007425EE">
        <w:rPr>
          <w:rFonts w:ascii="Aptos" w:hAnsi="Aptos" w:cs="Times New Roman"/>
        </w:rPr>
        <w:t xml:space="preserve"> </w:t>
      </w:r>
    </w:p>
    <w:p w14:paraId="6E008D5E" w14:textId="251D1D9C" w:rsidR="00FF37C8" w:rsidRDefault="00FF37C8" w:rsidP="006E064C">
      <w:pPr>
        <w:pStyle w:val="ListParagraph"/>
        <w:numPr>
          <w:ilvl w:val="0"/>
          <w:numId w:val="1"/>
        </w:numPr>
        <w:spacing w:after="0" w:line="480" w:lineRule="auto"/>
        <w:contextualSpacing w:val="0"/>
        <w:jc w:val="both"/>
        <w:rPr>
          <w:rFonts w:ascii="Aptos" w:hAnsi="Aptos" w:cs="Times New Roman"/>
        </w:rPr>
      </w:pPr>
      <w:r w:rsidRPr="007425EE">
        <w:rPr>
          <w:rFonts w:ascii="Aptos" w:hAnsi="Aptos" w:cs="Times New Roman"/>
        </w:rPr>
        <w:lastRenderedPageBreak/>
        <w:t>The purpose for which the Council is proposing to acquire the Order Land cannot be achieved by any other means</w:t>
      </w:r>
      <w:r>
        <w:rPr>
          <w:rStyle w:val="FootnoteReference"/>
          <w:rFonts w:ascii="Aptos" w:hAnsi="Aptos" w:cs="Times New Roman"/>
        </w:rPr>
        <w:footnoteReference w:id="37"/>
      </w:r>
      <w:r w:rsidRPr="007425EE">
        <w:rPr>
          <w:rFonts w:ascii="Aptos" w:hAnsi="Aptos" w:cs="Times New Roman"/>
        </w:rPr>
        <w:t>. As Mr Bristow and Ms Poulter explain in their proofs of evidence</w:t>
      </w:r>
      <w:r>
        <w:rPr>
          <w:rStyle w:val="FootnoteReference"/>
          <w:rFonts w:ascii="Aptos" w:hAnsi="Aptos" w:cs="Times New Roman"/>
        </w:rPr>
        <w:footnoteReference w:id="38"/>
      </w:r>
      <w:r w:rsidRPr="007425EE">
        <w:rPr>
          <w:rFonts w:ascii="Aptos" w:hAnsi="Aptos" w:cs="Times New Roman"/>
        </w:rPr>
        <w:t>, potential alternative road accesses to the Housing Site via (</w:t>
      </w:r>
      <w:proofErr w:type="spellStart"/>
      <w:r w:rsidRPr="007425EE">
        <w:rPr>
          <w:rFonts w:ascii="Aptos" w:hAnsi="Aptos" w:cs="Times New Roman"/>
        </w:rPr>
        <w:t>i</w:t>
      </w:r>
      <w:proofErr w:type="spellEnd"/>
      <w:r w:rsidRPr="007425EE">
        <w:rPr>
          <w:rFonts w:ascii="Aptos" w:hAnsi="Aptos" w:cs="Times New Roman"/>
        </w:rPr>
        <w:t xml:space="preserve">) Chaffer Lane (ii) The </w:t>
      </w:r>
      <w:proofErr w:type="spellStart"/>
      <w:r w:rsidRPr="007425EE">
        <w:rPr>
          <w:rFonts w:ascii="Aptos" w:hAnsi="Aptos" w:cs="Times New Roman"/>
        </w:rPr>
        <w:t>Saltings</w:t>
      </w:r>
      <w:proofErr w:type="spellEnd"/>
      <w:r w:rsidRPr="007425EE">
        <w:rPr>
          <w:rFonts w:ascii="Aptos" w:hAnsi="Aptos" w:cs="Times New Roman"/>
        </w:rPr>
        <w:t xml:space="preserve"> and (iii) St James’s Close or Westlands Lane have been considered. All three potential alternative accesses would have significant negative impacts including (</w:t>
      </w:r>
      <w:proofErr w:type="spellStart"/>
      <w:r w:rsidRPr="007425EE">
        <w:rPr>
          <w:rFonts w:ascii="Aptos" w:hAnsi="Aptos" w:cs="Times New Roman"/>
        </w:rPr>
        <w:t>i</w:t>
      </w:r>
      <w:proofErr w:type="spellEnd"/>
      <w:r w:rsidRPr="007425EE">
        <w:rPr>
          <w:rFonts w:ascii="Aptos" w:hAnsi="Aptos" w:cs="Times New Roman"/>
        </w:rPr>
        <w:t xml:space="preserve">) a significant impact on the AONB; (ii) greater impact on the rural landscape and an impact on an increased number of residential properties (owing to their greater length); and (iii) in the case of The </w:t>
      </w:r>
      <w:proofErr w:type="spellStart"/>
      <w:r w:rsidRPr="007425EE">
        <w:rPr>
          <w:rFonts w:ascii="Aptos" w:hAnsi="Aptos" w:cs="Times New Roman"/>
        </w:rPr>
        <w:t>Saltings</w:t>
      </w:r>
      <w:proofErr w:type="spellEnd"/>
      <w:r w:rsidRPr="007425EE">
        <w:rPr>
          <w:rFonts w:ascii="Aptos" w:hAnsi="Aptos" w:cs="Times New Roman"/>
        </w:rPr>
        <w:t xml:space="preserve">, the demolition of a modern dwelling. </w:t>
      </w:r>
    </w:p>
    <w:p w14:paraId="154AFBD6" w14:textId="77777777" w:rsidR="00344288" w:rsidRDefault="00344288" w:rsidP="006E064C">
      <w:pPr>
        <w:pStyle w:val="ListParagraph"/>
        <w:spacing w:after="0" w:line="480" w:lineRule="auto"/>
        <w:ind w:left="360"/>
        <w:contextualSpacing w:val="0"/>
        <w:jc w:val="both"/>
        <w:rPr>
          <w:rFonts w:ascii="Aptos" w:hAnsi="Aptos" w:cs="Times New Roman"/>
        </w:rPr>
      </w:pPr>
    </w:p>
    <w:p w14:paraId="4AFB23A2" w14:textId="77777777" w:rsidR="00636926" w:rsidRDefault="00B1133E" w:rsidP="006E064C">
      <w:pPr>
        <w:pStyle w:val="ListParagraph"/>
        <w:numPr>
          <w:ilvl w:val="0"/>
          <w:numId w:val="1"/>
        </w:numPr>
        <w:spacing w:after="0" w:line="480" w:lineRule="auto"/>
        <w:contextualSpacing w:val="0"/>
        <w:jc w:val="both"/>
        <w:rPr>
          <w:rFonts w:ascii="Aptos" w:hAnsi="Aptos" w:cs="Times New Roman"/>
        </w:rPr>
      </w:pPr>
      <w:r>
        <w:rPr>
          <w:rFonts w:ascii="Aptos" w:hAnsi="Aptos" w:cs="Times New Roman"/>
        </w:rPr>
        <w:t xml:space="preserve">All three potential alternative accesses </w:t>
      </w:r>
      <w:r w:rsidR="00C51030">
        <w:rPr>
          <w:rFonts w:ascii="Aptos" w:hAnsi="Aptos" w:cs="Times New Roman"/>
        </w:rPr>
        <w:t>would also be significantly more costly than the Scheme access (via Crooked Lane)</w:t>
      </w:r>
      <w:r w:rsidR="00C51030">
        <w:rPr>
          <w:rStyle w:val="FootnoteReference"/>
          <w:rFonts w:ascii="Aptos" w:hAnsi="Aptos" w:cs="Times New Roman"/>
        </w:rPr>
        <w:footnoteReference w:id="39"/>
      </w:r>
      <w:r w:rsidR="00C51030">
        <w:rPr>
          <w:rFonts w:ascii="Aptos" w:hAnsi="Aptos" w:cs="Times New Roman"/>
        </w:rPr>
        <w:t xml:space="preserve">. </w:t>
      </w:r>
      <w:r w:rsidR="0073578F">
        <w:rPr>
          <w:rFonts w:ascii="Aptos" w:hAnsi="Aptos" w:cs="Times New Roman"/>
        </w:rPr>
        <w:t>Hyde is a not-for-profit organisation that reinvests</w:t>
      </w:r>
      <w:r w:rsidR="00DD181D">
        <w:rPr>
          <w:rFonts w:ascii="Aptos" w:hAnsi="Aptos" w:cs="Times New Roman"/>
        </w:rPr>
        <w:t xml:space="preserve"> any surplus that it makes; </w:t>
      </w:r>
      <w:proofErr w:type="gramStart"/>
      <w:r w:rsidR="00DD181D">
        <w:rPr>
          <w:rFonts w:ascii="Aptos" w:hAnsi="Aptos" w:cs="Times New Roman"/>
        </w:rPr>
        <w:t>thus</w:t>
      </w:r>
      <w:proofErr w:type="gramEnd"/>
      <w:r w:rsidR="00DD181D">
        <w:rPr>
          <w:rFonts w:ascii="Aptos" w:hAnsi="Aptos" w:cs="Times New Roman"/>
        </w:rPr>
        <w:t xml:space="preserve"> even if the additional cost associated with provision of one of the potential alternative accesses could be absorbed</w:t>
      </w:r>
      <w:r w:rsidR="00636926">
        <w:rPr>
          <w:rFonts w:ascii="Aptos" w:hAnsi="Aptos" w:cs="Times New Roman"/>
        </w:rPr>
        <w:t>, the result would be less funding available to provide affordable housing.</w:t>
      </w:r>
    </w:p>
    <w:p w14:paraId="1F92D239" w14:textId="77777777" w:rsidR="00636926" w:rsidRPr="00636926" w:rsidRDefault="00636926" w:rsidP="006E064C">
      <w:pPr>
        <w:pStyle w:val="ListParagraph"/>
        <w:spacing w:after="0" w:line="480" w:lineRule="auto"/>
        <w:contextualSpacing w:val="0"/>
        <w:rPr>
          <w:rFonts w:ascii="Aptos" w:hAnsi="Aptos" w:cs="Times New Roman"/>
        </w:rPr>
      </w:pPr>
    </w:p>
    <w:p w14:paraId="694648A2" w14:textId="77777777" w:rsidR="00297E00" w:rsidRDefault="00636926" w:rsidP="006E064C">
      <w:pPr>
        <w:pStyle w:val="ListParagraph"/>
        <w:numPr>
          <w:ilvl w:val="0"/>
          <w:numId w:val="1"/>
        </w:numPr>
        <w:spacing w:after="0" w:line="480" w:lineRule="auto"/>
        <w:contextualSpacing w:val="0"/>
        <w:jc w:val="both"/>
        <w:rPr>
          <w:rFonts w:ascii="Aptos" w:hAnsi="Aptos" w:cs="Times New Roman"/>
        </w:rPr>
      </w:pPr>
      <w:r>
        <w:rPr>
          <w:rFonts w:ascii="Aptos" w:hAnsi="Aptos" w:cs="Times New Roman"/>
        </w:rPr>
        <w:t xml:space="preserve">Next, </w:t>
      </w:r>
      <w:r w:rsidR="00FF37C8" w:rsidRPr="00636926">
        <w:rPr>
          <w:rFonts w:ascii="Aptos" w:hAnsi="Aptos" w:cs="Times New Roman"/>
        </w:rPr>
        <w:t xml:space="preserve">it does not follow from the fact that outline planning permission was granted on appeal on 9 February 2024 for residential development </w:t>
      </w:r>
      <w:r w:rsidR="00297E00">
        <w:rPr>
          <w:rFonts w:ascii="Aptos" w:hAnsi="Aptos" w:cs="Times New Roman"/>
        </w:rPr>
        <w:t>the Main Road site</w:t>
      </w:r>
      <w:r w:rsidR="00FF37C8" w:rsidRPr="00636926">
        <w:rPr>
          <w:rFonts w:ascii="Aptos" w:hAnsi="Aptos" w:cs="Times New Roman"/>
          <w:b/>
          <w:bCs/>
        </w:rPr>
        <w:t xml:space="preserve"> </w:t>
      </w:r>
      <w:r w:rsidR="00FF37C8" w:rsidRPr="00636926">
        <w:rPr>
          <w:rFonts w:ascii="Aptos" w:hAnsi="Aptos" w:cs="Times New Roman"/>
        </w:rPr>
        <w:t xml:space="preserve">that the broader purpose that underlies the Order (the provision of affordable housing for social rent) can now be achieved by other means. </w:t>
      </w:r>
    </w:p>
    <w:p w14:paraId="485D5E92" w14:textId="77777777" w:rsidR="00297E00" w:rsidRPr="00297E00" w:rsidRDefault="00297E00" w:rsidP="006E064C">
      <w:pPr>
        <w:pStyle w:val="ListParagraph"/>
        <w:spacing w:after="0" w:line="480" w:lineRule="auto"/>
        <w:contextualSpacing w:val="0"/>
        <w:rPr>
          <w:rFonts w:ascii="Aptos" w:hAnsi="Aptos" w:cs="Times New Roman"/>
        </w:rPr>
      </w:pPr>
    </w:p>
    <w:p w14:paraId="6535CE54" w14:textId="77648ED2" w:rsidR="00D9488D" w:rsidRPr="0077706C" w:rsidRDefault="00FF37C8" w:rsidP="006E064C">
      <w:pPr>
        <w:pStyle w:val="ListParagraph"/>
        <w:numPr>
          <w:ilvl w:val="1"/>
          <w:numId w:val="1"/>
        </w:numPr>
        <w:spacing w:after="0" w:line="480" w:lineRule="auto"/>
        <w:ind w:left="993" w:hanging="567"/>
        <w:contextualSpacing w:val="0"/>
        <w:jc w:val="both"/>
        <w:rPr>
          <w:rFonts w:ascii="Aptos" w:hAnsi="Aptos" w:cs="Times New Roman"/>
        </w:rPr>
      </w:pPr>
      <w:r w:rsidRPr="00297E00">
        <w:rPr>
          <w:rFonts w:ascii="Aptos" w:hAnsi="Aptos" w:cs="Times New Roman"/>
        </w:rPr>
        <w:t xml:space="preserve">First, there is no evidence before the inquiry of the Main Road appellant’s intentions (i.e. as to whether Gladman Developments Ltd </w:t>
      </w:r>
      <w:r w:rsidR="00204DE4">
        <w:rPr>
          <w:rFonts w:ascii="Aptos" w:hAnsi="Aptos" w:cs="Times New Roman"/>
        </w:rPr>
        <w:t>(“</w:t>
      </w:r>
      <w:r w:rsidR="00204DE4">
        <w:rPr>
          <w:rFonts w:ascii="Aptos" w:hAnsi="Aptos" w:cs="Times New Roman"/>
          <w:b/>
          <w:bCs/>
        </w:rPr>
        <w:t>Gladman</w:t>
      </w:r>
      <w:r w:rsidR="00204DE4">
        <w:rPr>
          <w:rFonts w:ascii="Aptos" w:hAnsi="Aptos" w:cs="Times New Roman"/>
        </w:rPr>
        <w:t xml:space="preserve">”) </w:t>
      </w:r>
      <w:r w:rsidRPr="00297E00">
        <w:rPr>
          <w:rFonts w:ascii="Aptos" w:hAnsi="Aptos" w:cs="Times New Roman"/>
        </w:rPr>
        <w:t>intends to build out the Main Road Site immediately, or sell the site on, etc.).</w:t>
      </w:r>
      <w:r w:rsidR="00204DE4">
        <w:rPr>
          <w:rFonts w:ascii="Aptos" w:hAnsi="Aptos" w:cs="Times New Roman"/>
        </w:rPr>
        <w:t xml:space="preserve"> </w:t>
      </w:r>
      <w:r w:rsidR="00B01B45">
        <w:rPr>
          <w:rFonts w:ascii="Aptos" w:hAnsi="Aptos" w:cs="Times New Roman"/>
        </w:rPr>
        <w:t xml:space="preserve">The evidence before the inquiry is that Hyde intends to build out 15 homes on the Housing Site immediately if the Order </w:t>
      </w:r>
      <w:r w:rsidR="00B01B45">
        <w:rPr>
          <w:rFonts w:ascii="Aptos" w:hAnsi="Aptos" w:cs="Times New Roman"/>
        </w:rPr>
        <w:lastRenderedPageBreak/>
        <w:t>is confirmed; conversely, there is</w:t>
      </w:r>
      <w:r w:rsidR="00374F95">
        <w:rPr>
          <w:rFonts w:ascii="Aptos" w:hAnsi="Aptos" w:cs="Times New Roman"/>
        </w:rPr>
        <w:t xml:space="preserve"> (as Mr </w:t>
      </w:r>
      <w:proofErr w:type="spellStart"/>
      <w:r w:rsidR="00374F95">
        <w:rPr>
          <w:rFonts w:ascii="Aptos" w:hAnsi="Aptos" w:cs="Times New Roman"/>
        </w:rPr>
        <w:t>Corkett</w:t>
      </w:r>
      <w:proofErr w:type="spellEnd"/>
      <w:r w:rsidR="00374F95">
        <w:rPr>
          <w:rFonts w:ascii="Aptos" w:hAnsi="Aptos" w:cs="Times New Roman"/>
        </w:rPr>
        <w:t xml:space="preserve"> acknowledged) no evidence of </w:t>
      </w:r>
      <w:r w:rsidR="00374F95">
        <w:rPr>
          <w:rFonts w:ascii="Aptos" w:hAnsi="Aptos" w:cs="Times New Roman"/>
          <w:u w:val="single"/>
        </w:rPr>
        <w:t>any</w:t>
      </w:r>
      <w:r w:rsidR="00374F95">
        <w:rPr>
          <w:rFonts w:ascii="Aptos" w:hAnsi="Aptos" w:cs="Times New Roman"/>
        </w:rPr>
        <w:t xml:space="preserve"> party being committed to bring forward the Main Road site in accordance with any particular </w:t>
      </w:r>
      <w:proofErr w:type="gramStart"/>
      <w:r w:rsidR="00374F95">
        <w:rPr>
          <w:rFonts w:ascii="Aptos" w:hAnsi="Aptos" w:cs="Times New Roman"/>
        </w:rPr>
        <w:t>time-scales</w:t>
      </w:r>
      <w:proofErr w:type="gramEnd"/>
      <w:r w:rsidR="008A3B2B">
        <w:rPr>
          <w:rFonts w:ascii="Aptos" w:hAnsi="Aptos" w:cs="Times New Roman"/>
        </w:rPr>
        <w:t xml:space="preserve">. Mr Bristow’s evidence to the inquiry was that he had experience of Gladman seeking and securing planning permission but not of Gladman </w:t>
      </w:r>
      <w:proofErr w:type="gramStart"/>
      <w:r w:rsidR="008A3B2B">
        <w:rPr>
          <w:rFonts w:ascii="Aptos" w:hAnsi="Aptos" w:cs="Times New Roman"/>
        </w:rPr>
        <w:t>actually delivering</w:t>
      </w:r>
      <w:proofErr w:type="gramEnd"/>
      <w:r w:rsidR="008A3B2B">
        <w:rPr>
          <w:rFonts w:ascii="Aptos" w:hAnsi="Aptos" w:cs="Times New Roman"/>
        </w:rPr>
        <w:t xml:space="preserve"> housing; whereas he had experience of Hyde actually delivering housing, including affordable housing. </w:t>
      </w:r>
      <w:r w:rsidR="004D1611" w:rsidRPr="0077706C">
        <w:rPr>
          <w:rFonts w:ascii="Aptos" w:hAnsi="Aptos" w:cs="Times New Roman"/>
        </w:rPr>
        <w:t xml:space="preserve">It should also be noted that the Main Road planning permission is for “up to” </w:t>
      </w:r>
      <w:r w:rsidR="006A65AD" w:rsidRPr="0077706C">
        <w:rPr>
          <w:rFonts w:ascii="Aptos" w:hAnsi="Aptos" w:cs="Times New Roman"/>
        </w:rPr>
        <w:t>150 houses, hence the ultimate quantum of affordable housing that might be delivered on the Main Road site is not yet known.</w:t>
      </w:r>
      <w:r w:rsidR="00F651DD" w:rsidRPr="0077706C">
        <w:rPr>
          <w:rFonts w:ascii="Aptos" w:hAnsi="Aptos" w:cs="Times New Roman"/>
        </w:rPr>
        <w:t xml:space="preserve"> </w:t>
      </w:r>
      <w:proofErr w:type="gramStart"/>
      <w:r w:rsidR="00F651DD" w:rsidRPr="0077706C">
        <w:rPr>
          <w:rFonts w:ascii="Aptos" w:hAnsi="Aptos" w:cs="Times New Roman"/>
        </w:rPr>
        <w:t>Furthermore</w:t>
      </w:r>
      <w:proofErr w:type="gramEnd"/>
      <w:r w:rsidR="00F651DD" w:rsidRPr="0077706C">
        <w:rPr>
          <w:rFonts w:ascii="Aptos" w:hAnsi="Aptos" w:cs="Times New Roman"/>
        </w:rPr>
        <w:t xml:space="preserve"> </w:t>
      </w:r>
      <w:r w:rsidRPr="0077706C">
        <w:rPr>
          <w:rFonts w:ascii="Aptos" w:hAnsi="Aptos" w:cs="Times New Roman"/>
        </w:rPr>
        <w:t>the Main Road planning permission is an outline planning permission and in Mr Bristow’s view, a period of 12-18 months is likely to be necessary before development of the Main Road Site can commence</w:t>
      </w:r>
      <w:r w:rsidR="00D9488D" w:rsidRPr="0077706C">
        <w:rPr>
          <w:rFonts w:ascii="Aptos" w:hAnsi="Aptos" w:cs="Times New Roman"/>
        </w:rPr>
        <w:t>.</w:t>
      </w:r>
      <w:r w:rsidR="008A10A3" w:rsidRPr="0077706C">
        <w:rPr>
          <w:rFonts w:ascii="Aptos" w:hAnsi="Aptos" w:cs="Times New Roman"/>
        </w:rPr>
        <w:t xml:space="preserve"> It is not accepted that Gladman could “come back in two months” as Mrs </w:t>
      </w:r>
      <w:proofErr w:type="spellStart"/>
      <w:r w:rsidR="008A10A3" w:rsidRPr="0077706C">
        <w:rPr>
          <w:rFonts w:ascii="Aptos" w:hAnsi="Aptos" w:cs="Times New Roman"/>
        </w:rPr>
        <w:t>Corkett</w:t>
      </w:r>
      <w:proofErr w:type="spellEnd"/>
      <w:r w:rsidR="008A10A3" w:rsidRPr="0077706C">
        <w:rPr>
          <w:rFonts w:ascii="Aptos" w:hAnsi="Aptos" w:cs="Times New Roman"/>
        </w:rPr>
        <w:t xml:space="preserve"> suggested</w:t>
      </w:r>
      <w:r w:rsidR="00400BC0" w:rsidRPr="0077706C">
        <w:rPr>
          <w:rFonts w:ascii="Aptos" w:hAnsi="Aptos" w:cs="Times New Roman"/>
        </w:rPr>
        <w:t xml:space="preserve">; that is not a realistic </w:t>
      </w:r>
      <w:proofErr w:type="gramStart"/>
      <w:r w:rsidR="00400BC0" w:rsidRPr="0077706C">
        <w:rPr>
          <w:rFonts w:ascii="Aptos" w:hAnsi="Aptos" w:cs="Times New Roman"/>
        </w:rPr>
        <w:t>time period</w:t>
      </w:r>
      <w:proofErr w:type="gramEnd"/>
      <w:r w:rsidR="00400BC0" w:rsidRPr="0077706C">
        <w:rPr>
          <w:rFonts w:ascii="Aptos" w:hAnsi="Aptos" w:cs="Times New Roman"/>
        </w:rPr>
        <w:t xml:space="preserve"> for approval of reserved matters, etc. </w:t>
      </w:r>
    </w:p>
    <w:p w14:paraId="1D8ED440" w14:textId="77777777" w:rsidR="00D9488D" w:rsidRDefault="00D9488D" w:rsidP="006E064C">
      <w:pPr>
        <w:pStyle w:val="ListParagraph"/>
        <w:spacing w:after="0" w:line="480" w:lineRule="auto"/>
        <w:ind w:left="993"/>
        <w:contextualSpacing w:val="0"/>
        <w:jc w:val="both"/>
        <w:rPr>
          <w:rFonts w:ascii="Aptos" w:hAnsi="Aptos" w:cs="Times New Roman"/>
        </w:rPr>
      </w:pPr>
    </w:p>
    <w:p w14:paraId="4779470D" w14:textId="77777777" w:rsidR="000774FF" w:rsidRDefault="00D9488D" w:rsidP="006E064C">
      <w:pPr>
        <w:pStyle w:val="ListParagraph"/>
        <w:numPr>
          <w:ilvl w:val="1"/>
          <w:numId w:val="1"/>
        </w:numPr>
        <w:spacing w:after="0" w:line="480" w:lineRule="auto"/>
        <w:ind w:left="993" w:hanging="567"/>
        <w:contextualSpacing w:val="0"/>
        <w:jc w:val="both"/>
        <w:rPr>
          <w:rFonts w:ascii="Aptos" w:hAnsi="Aptos" w:cs="Times New Roman"/>
        </w:rPr>
      </w:pPr>
      <w:r>
        <w:rPr>
          <w:rFonts w:ascii="Aptos" w:hAnsi="Aptos" w:cs="Times New Roman"/>
        </w:rPr>
        <w:t xml:space="preserve">Secondly, </w:t>
      </w:r>
      <w:r w:rsidR="00FF37C8" w:rsidRPr="00D9488D">
        <w:rPr>
          <w:rFonts w:ascii="Aptos" w:hAnsi="Aptos" w:cs="Times New Roman"/>
        </w:rPr>
        <w:t xml:space="preserve">it is unclear how quickly the affordable housing units (and social rented units in particular) of the Main Road scheme will come forward: the Main </w:t>
      </w:r>
      <w:proofErr w:type="spellStart"/>
      <w:r w:rsidR="00FF37C8" w:rsidRPr="00D9488D">
        <w:rPr>
          <w:rFonts w:ascii="Aptos" w:hAnsi="Aptos" w:cs="Times New Roman"/>
        </w:rPr>
        <w:t>Road s</w:t>
      </w:r>
      <w:proofErr w:type="spellEnd"/>
      <w:r w:rsidR="00FF37C8" w:rsidRPr="00D9488D">
        <w:rPr>
          <w:rFonts w:ascii="Aptos" w:hAnsi="Aptos" w:cs="Times New Roman"/>
        </w:rPr>
        <w:t>. 106 obligation permits the developer to allow up to 74 Open Market Units (half the scheme) to be built, sold and occupied before any of the affordable units need to be provided.</w:t>
      </w:r>
    </w:p>
    <w:p w14:paraId="12A79458" w14:textId="77777777" w:rsidR="000774FF" w:rsidRPr="000774FF" w:rsidRDefault="000774FF" w:rsidP="006E064C">
      <w:pPr>
        <w:pStyle w:val="ListParagraph"/>
        <w:spacing w:after="0" w:line="480" w:lineRule="auto"/>
        <w:contextualSpacing w:val="0"/>
        <w:rPr>
          <w:rFonts w:ascii="Aptos" w:hAnsi="Aptos" w:cs="Times New Roman"/>
        </w:rPr>
      </w:pPr>
    </w:p>
    <w:p w14:paraId="57CB7A47" w14:textId="314CF384" w:rsidR="00A97943" w:rsidRPr="00E1140C" w:rsidRDefault="000774FF" w:rsidP="006E064C">
      <w:pPr>
        <w:pStyle w:val="ListParagraph"/>
        <w:numPr>
          <w:ilvl w:val="1"/>
          <w:numId w:val="1"/>
        </w:numPr>
        <w:spacing w:after="0" w:line="480" w:lineRule="auto"/>
        <w:ind w:left="993" w:hanging="567"/>
        <w:contextualSpacing w:val="0"/>
        <w:jc w:val="both"/>
        <w:rPr>
          <w:rFonts w:ascii="Aptos" w:hAnsi="Aptos" w:cs="Times New Roman"/>
        </w:rPr>
      </w:pPr>
      <w:r>
        <w:rPr>
          <w:rFonts w:ascii="Aptos" w:hAnsi="Aptos" w:cs="Times New Roman"/>
        </w:rPr>
        <w:t>Thirdly</w:t>
      </w:r>
      <w:r w:rsidR="00FF37C8" w:rsidRPr="000774FF">
        <w:rPr>
          <w:rFonts w:ascii="Aptos" w:hAnsi="Aptos" w:cs="Times New Roman"/>
        </w:rPr>
        <w:t>, the Main Road Site is by reason of its size a “strategic” site and so will be open to “bidders” outside Birdham who might</w:t>
      </w:r>
      <w:r w:rsidR="004B6BAF">
        <w:rPr>
          <w:rFonts w:ascii="Aptos" w:hAnsi="Aptos" w:cs="Times New Roman"/>
        </w:rPr>
        <w:t xml:space="preserve"> </w:t>
      </w:r>
      <w:r w:rsidR="00FF37C8" w:rsidRPr="000774FF">
        <w:rPr>
          <w:rFonts w:ascii="Aptos" w:hAnsi="Aptos" w:cs="Times New Roman"/>
        </w:rPr>
        <w:t>occupy the properties despite not having a local connection. As Mr Bristow explains in his rebuttal</w:t>
      </w:r>
      <w:r>
        <w:rPr>
          <w:rStyle w:val="FootnoteReference"/>
          <w:rFonts w:ascii="Aptos" w:hAnsi="Aptos" w:cs="Times New Roman"/>
        </w:rPr>
        <w:footnoteReference w:id="40"/>
      </w:r>
      <w:r w:rsidR="00FF37C8" w:rsidRPr="000774FF">
        <w:rPr>
          <w:rFonts w:ascii="Aptos" w:hAnsi="Aptos" w:cs="Times New Roman"/>
        </w:rPr>
        <w:t xml:space="preserve">, an Affordable Housing Exception Site </w:t>
      </w:r>
      <w:r w:rsidR="00CD5DD8">
        <w:rPr>
          <w:rFonts w:ascii="Aptos" w:hAnsi="Aptos" w:cs="Times New Roman"/>
        </w:rPr>
        <w:t xml:space="preserve">/ </w:t>
      </w:r>
      <w:r w:rsidR="00FF37C8" w:rsidRPr="000774FF">
        <w:rPr>
          <w:rFonts w:ascii="Aptos" w:hAnsi="Aptos" w:cs="Times New Roman"/>
        </w:rPr>
        <w:t xml:space="preserve">Rural Exception Site such as the Crooked Lane Housing Site prioritises those with a local connection above all others, until there are no bidders left who </w:t>
      </w:r>
      <w:proofErr w:type="gramStart"/>
      <w:r w:rsidR="00FF37C8" w:rsidRPr="000774FF">
        <w:rPr>
          <w:rFonts w:ascii="Aptos" w:hAnsi="Aptos" w:cs="Times New Roman"/>
        </w:rPr>
        <w:t>are able to</w:t>
      </w:r>
      <w:proofErr w:type="gramEnd"/>
      <w:r w:rsidR="00FF37C8" w:rsidRPr="000774FF">
        <w:rPr>
          <w:rFonts w:ascii="Aptos" w:hAnsi="Aptos" w:cs="Times New Roman"/>
        </w:rPr>
        <w:t xml:space="preserve"> demonstrate a connection to the parish; then the process moves to the </w:t>
      </w:r>
      <w:r w:rsidR="00FF37C8" w:rsidRPr="000774FF">
        <w:rPr>
          <w:rFonts w:ascii="Aptos" w:hAnsi="Aptos" w:cs="Times New Roman"/>
        </w:rPr>
        <w:lastRenderedPageBreak/>
        <w:t xml:space="preserve">surrounding parishes in the same format; and then to bidders from across the district. In contrast, on strategic sites such as the Main Road Site (even where such sites </w:t>
      </w:r>
      <w:proofErr w:type="gramStart"/>
      <w:r w:rsidR="00FF37C8" w:rsidRPr="000774FF">
        <w:rPr>
          <w:rFonts w:ascii="Aptos" w:hAnsi="Aptos" w:cs="Times New Roman"/>
        </w:rPr>
        <w:t>are located in</w:t>
      </w:r>
      <w:proofErr w:type="gramEnd"/>
      <w:r w:rsidR="00FF37C8" w:rsidRPr="000774FF">
        <w:rPr>
          <w:rFonts w:ascii="Aptos" w:hAnsi="Aptos" w:cs="Times New Roman"/>
        </w:rPr>
        <w:t xml:space="preserve"> rural areas), priority may be given to banding rather than local connection, as the sites are considered strategic in size. </w:t>
      </w:r>
      <w:proofErr w:type="gramStart"/>
      <w:r w:rsidR="00FF37C8" w:rsidRPr="000774FF">
        <w:rPr>
          <w:rFonts w:ascii="Aptos" w:hAnsi="Aptos" w:cs="Times New Roman"/>
        </w:rPr>
        <w:t>Therefore</w:t>
      </w:r>
      <w:proofErr w:type="gramEnd"/>
      <w:r w:rsidR="00FF37C8" w:rsidRPr="000774FF">
        <w:rPr>
          <w:rFonts w:ascii="Aptos" w:hAnsi="Aptos" w:cs="Times New Roman"/>
        </w:rPr>
        <w:t xml:space="preserve"> on a strategic site, the affordable housing may not necessarily become available to those with a local connection.</w:t>
      </w:r>
      <w:r w:rsidR="002B284D">
        <w:rPr>
          <w:rFonts w:ascii="Aptos" w:hAnsi="Aptos" w:cs="Times New Roman"/>
        </w:rPr>
        <w:t xml:space="preserve"> This point was acknowledged </w:t>
      </w:r>
      <w:r w:rsidR="00E1140C">
        <w:rPr>
          <w:rFonts w:ascii="Aptos" w:hAnsi="Aptos" w:cs="Times New Roman"/>
        </w:rPr>
        <w:t xml:space="preserve">at para. 6.16 of the planning officer’s report </w:t>
      </w:r>
      <w:r w:rsidR="00E1140C" w:rsidRPr="00A03A02">
        <w:rPr>
          <w:rFonts w:ascii="Aptos" w:hAnsi="Aptos" w:cs="Times New Roman"/>
        </w:rPr>
        <w:t>to Committee</w:t>
      </w:r>
      <w:r w:rsidR="00E1140C" w:rsidRPr="00A03A02">
        <w:rPr>
          <w:rStyle w:val="FootnoteReference"/>
          <w:rFonts w:ascii="Aptos" w:hAnsi="Aptos" w:cs="Times New Roman"/>
        </w:rPr>
        <w:footnoteReference w:id="41"/>
      </w:r>
      <w:r w:rsidR="00E1140C" w:rsidRPr="00A03A02">
        <w:rPr>
          <w:rFonts w:ascii="Aptos" w:hAnsi="Aptos" w:cs="Times New Roman"/>
        </w:rPr>
        <w:t xml:space="preserve"> on planning application 13/01391/FUL (for the Scheme, in 2013), which explains that “[t]</w:t>
      </w:r>
      <w:r w:rsidR="00A97943" w:rsidRPr="00A03A02">
        <w:rPr>
          <w:rFonts w:ascii="Aptos" w:hAnsi="Aptos" w:cs="Times New Roman"/>
        </w:rPr>
        <w:t>he application for 15 affordable dwellings has been submitted specifically to help contribute towards the pressing and longstanding need for affordable housing at Birdham.  There are 39 households in need of which 29 are new home seekers and transfers in band D of the housing need register.  Other affordable dwellings provided under the FAD policy in Birdham only give priority to local people in need in bands A-C.  Local people in band D will not therefore have their need met by other sites and will be wholly reliant on exception sites like this one at Crooked Lane”</w:t>
      </w:r>
      <w:r w:rsidR="00E1140C" w:rsidRPr="00A03A02">
        <w:rPr>
          <w:rFonts w:ascii="Aptos" w:hAnsi="Aptos" w:cs="Times New Roman"/>
        </w:rPr>
        <w:t>.</w:t>
      </w:r>
      <w:r w:rsidR="009D0767" w:rsidRPr="00A03A02">
        <w:rPr>
          <w:rFonts w:ascii="Aptos" w:hAnsi="Aptos" w:cs="Times New Roman"/>
        </w:rPr>
        <w:t xml:space="preserve"> </w:t>
      </w:r>
      <w:proofErr w:type="gramStart"/>
      <w:r w:rsidR="009D0767" w:rsidRPr="00A03A02">
        <w:rPr>
          <w:rFonts w:ascii="Aptos" w:hAnsi="Aptos" w:cs="Times New Roman"/>
        </w:rPr>
        <w:t>In reality therefore</w:t>
      </w:r>
      <w:proofErr w:type="gramEnd"/>
      <w:r w:rsidR="009D0767" w:rsidRPr="00A03A02">
        <w:rPr>
          <w:rFonts w:ascii="Aptos" w:hAnsi="Aptos" w:cs="Times New Roman"/>
        </w:rPr>
        <w:t xml:space="preserve"> the Main Road site is not an alternative for </w:t>
      </w:r>
      <w:r w:rsidR="00E46128" w:rsidRPr="00A03A02">
        <w:rPr>
          <w:rFonts w:ascii="Aptos" w:hAnsi="Aptos" w:cs="Times New Roman"/>
        </w:rPr>
        <w:t xml:space="preserve">those in Band D with a local connection to Birdham, </w:t>
      </w:r>
      <w:r w:rsidR="00613D60" w:rsidRPr="00A03A02">
        <w:rPr>
          <w:rFonts w:ascii="Aptos" w:hAnsi="Aptos" w:cs="Times New Roman"/>
        </w:rPr>
        <w:t xml:space="preserve">whose affordable housing need </w:t>
      </w:r>
      <w:r w:rsidR="0093115D" w:rsidRPr="00A03A02">
        <w:rPr>
          <w:rFonts w:ascii="Aptos" w:hAnsi="Aptos" w:cs="Times New Roman"/>
        </w:rPr>
        <w:t>can only be met by the Crooked Lane Housing Site</w:t>
      </w:r>
      <w:r w:rsidR="00A03A02" w:rsidRPr="00A03A02">
        <w:rPr>
          <w:rFonts w:ascii="Aptos" w:hAnsi="Aptos" w:cs="Times New Roman"/>
        </w:rPr>
        <w:t>.</w:t>
      </w:r>
    </w:p>
    <w:p w14:paraId="36F8C49E" w14:textId="77777777" w:rsidR="00A97943" w:rsidRPr="00A97943" w:rsidRDefault="00A97943" w:rsidP="006E064C">
      <w:pPr>
        <w:pStyle w:val="ListParagraph"/>
        <w:spacing w:after="0" w:line="480" w:lineRule="auto"/>
        <w:contextualSpacing w:val="0"/>
        <w:rPr>
          <w:rFonts w:ascii="Aptos" w:hAnsi="Aptos" w:cs="Times New Roman"/>
        </w:rPr>
      </w:pPr>
    </w:p>
    <w:p w14:paraId="2D33345B" w14:textId="77777777" w:rsidR="00483BC2" w:rsidRDefault="00FF37C8" w:rsidP="006E064C">
      <w:pPr>
        <w:pStyle w:val="ListParagraph"/>
        <w:numPr>
          <w:ilvl w:val="1"/>
          <w:numId w:val="1"/>
        </w:numPr>
        <w:spacing w:after="0" w:line="480" w:lineRule="auto"/>
        <w:ind w:left="993" w:hanging="567"/>
        <w:contextualSpacing w:val="0"/>
        <w:jc w:val="both"/>
        <w:rPr>
          <w:rFonts w:ascii="Aptos" w:hAnsi="Aptos" w:cs="Times New Roman"/>
        </w:rPr>
      </w:pPr>
      <w:r w:rsidRPr="00A97943">
        <w:rPr>
          <w:rFonts w:ascii="Aptos" w:hAnsi="Aptos" w:cs="Times New Roman"/>
        </w:rPr>
        <w:t xml:space="preserve">Finally, even if there were no longer any need for affordable housing in Birdham (which is not the case), there would remain a serious need for affordable housing at both HEDNA sub-area and district level. </w:t>
      </w:r>
      <w:r w:rsidR="00667F59">
        <w:rPr>
          <w:rFonts w:ascii="Aptos" w:hAnsi="Aptos" w:cs="Times New Roman"/>
        </w:rPr>
        <w:t>It should be noted that the inspector who granted planning permission for the Main Road site on appeal did so in circumstances where the Neighbourhood Plan (which is part of the statutory development plan for Birdham) makes clear</w:t>
      </w:r>
      <w:r w:rsidR="003454CB">
        <w:rPr>
          <w:rStyle w:val="FootnoteReference"/>
          <w:rFonts w:ascii="Aptos" w:hAnsi="Aptos" w:cs="Times New Roman"/>
        </w:rPr>
        <w:footnoteReference w:id="42"/>
      </w:r>
      <w:r w:rsidR="00667F59">
        <w:rPr>
          <w:rFonts w:ascii="Aptos" w:hAnsi="Aptos" w:cs="Times New Roman"/>
        </w:rPr>
        <w:t xml:space="preserve"> that</w:t>
      </w:r>
      <w:r w:rsidR="003454CB">
        <w:rPr>
          <w:rFonts w:ascii="Aptos" w:hAnsi="Aptos" w:cs="Times New Roman"/>
        </w:rPr>
        <w:t xml:space="preserve"> </w:t>
      </w:r>
      <w:r w:rsidR="009F7732">
        <w:rPr>
          <w:rFonts w:ascii="Aptos" w:hAnsi="Aptos" w:cs="Times New Roman"/>
        </w:rPr>
        <w:t>planning permission has already been granted</w:t>
      </w:r>
      <w:r w:rsidR="009F7732">
        <w:rPr>
          <w:rStyle w:val="FootnoteReference"/>
          <w:rFonts w:ascii="Aptos" w:hAnsi="Aptos" w:cs="Times New Roman"/>
        </w:rPr>
        <w:footnoteReference w:id="43"/>
      </w:r>
      <w:r w:rsidR="009F7732">
        <w:rPr>
          <w:rFonts w:ascii="Aptos" w:hAnsi="Aptos" w:cs="Times New Roman"/>
        </w:rPr>
        <w:t xml:space="preserve"> for 79 homes in </w:t>
      </w:r>
      <w:r w:rsidR="009F7732">
        <w:rPr>
          <w:rFonts w:ascii="Aptos" w:hAnsi="Aptos" w:cs="Times New Roman"/>
        </w:rPr>
        <w:lastRenderedPageBreak/>
        <w:t>Birdham</w:t>
      </w:r>
      <w:r w:rsidR="00321B61">
        <w:rPr>
          <w:rFonts w:ascii="Aptos" w:hAnsi="Aptos" w:cs="Times New Roman"/>
        </w:rPr>
        <w:t xml:space="preserve"> (including the Scheme)</w:t>
      </w:r>
      <w:r w:rsidR="009F7732">
        <w:rPr>
          <w:rFonts w:ascii="Aptos" w:hAnsi="Aptos" w:cs="Times New Roman"/>
        </w:rPr>
        <w:t xml:space="preserve">, meaning that “the indicative housing numbers of about 50 homes, allocated by [the Local Plan], will be met”. The Main Road inspector nevertheless concluded that </w:t>
      </w:r>
      <w:r w:rsidR="00321B61">
        <w:rPr>
          <w:rFonts w:ascii="Aptos" w:hAnsi="Aptos" w:cs="Times New Roman"/>
        </w:rPr>
        <w:t xml:space="preserve">the case for the Main Road scheme remained sufficiently strong to justify the granting of planning permission. </w:t>
      </w:r>
    </w:p>
    <w:p w14:paraId="20F92DA1" w14:textId="77777777" w:rsidR="00483BC2" w:rsidRDefault="00483BC2" w:rsidP="006E064C">
      <w:pPr>
        <w:spacing w:after="0" w:line="480" w:lineRule="auto"/>
        <w:jc w:val="both"/>
        <w:rPr>
          <w:rFonts w:ascii="Aptos" w:hAnsi="Aptos" w:cs="Times New Roman"/>
        </w:rPr>
      </w:pPr>
    </w:p>
    <w:p w14:paraId="4B58BD04" w14:textId="2BB953E9" w:rsidR="00483BC2" w:rsidRPr="00483BC2" w:rsidRDefault="00483BC2" w:rsidP="006E064C">
      <w:pPr>
        <w:spacing w:after="0" w:line="480" w:lineRule="auto"/>
        <w:jc w:val="both"/>
        <w:rPr>
          <w:rFonts w:ascii="Aptos" w:hAnsi="Aptos" w:cs="Times New Roman"/>
        </w:rPr>
      </w:pPr>
      <w:r>
        <w:rPr>
          <w:rFonts w:ascii="Aptos" w:hAnsi="Aptos" w:cs="Times New Roman"/>
          <w:b/>
          <w:bCs/>
          <w:u w:val="single"/>
        </w:rPr>
        <w:t>Human rights</w:t>
      </w:r>
    </w:p>
    <w:p w14:paraId="79F32382" w14:textId="34CD42A4" w:rsidR="002063FE" w:rsidRDefault="00483BC2" w:rsidP="006E064C">
      <w:pPr>
        <w:pStyle w:val="ListParagraph"/>
        <w:numPr>
          <w:ilvl w:val="0"/>
          <w:numId w:val="1"/>
        </w:numPr>
        <w:spacing w:after="0" w:line="480" w:lineRule="auto"/>
        <w:ind w:left="426" w:hanging="426"/>
        <w:contextualSpacing w:val="0"/>
        <w:jc w:val="both"/>
        <w:rPr>
          <w:rFonts w:ascii="Aptos" w:hAnsi="Aptos" w:cs="Times New Roman"/>
        </w:rPr>
      </w:pPr>
      <w:r w:rsidRPr="00E57F28">
        <w:rPr>
          <w:rFonts w:ascii="Aptos" w:hAnsi="Aptos" w:cs="Times New Roman"/>
        </w:rPr>
        <w:t>The Council is satisfied</w:t>
      </w:r>
      <w:r w:rsidRPr="00E57F28">
        <w:rPr>
          <w:rFonts w:ascii="Aptos" w:hAnsi="Aptos"/>
        </w:rPr>
        <w:t xml:space="preserve"> that the purpose for which it made the Order justifies interfering with the rights under the ECHR of those with an interest in the Order land</w:t>
      </w:r>
      <w:r w:rsidRPr="00E57F28">
        <w:rPr>
          <w:rStyle w:val="FootnoteReference"/>
          <w:rFonts w:ascii="Aptos" w:hAnsi="Aptos"/>
        </w:rPr>
        <w:footnoteReference w:id="44"/>
      </w:r>
      <w:r w:rsidRPr="00E57F28">
        <w:rPr>
          <w:rFonts w:ascii="Aptos" w:hAnsi="Aptos"/>
        </w:rPr>
        <w:t xml:space="preserve">. </w:t>
      </w:r>
      <w:r w:rsidRPr="00E57F28">
        <w:rPr>
          <w:rFonts w:ascii="Aptos" w:hAnsi="Aptos" w:cs="Times New Roman"/>
        </w:rPr>
        <w:t xml:space="preserve">To the extent that confirmation of the Order will affect rights under Art. 8 of and Art. 1 of the First Protocol to the </w:t>
      </w:r>
      <w:r>
        <w:rPr>
          <w:rFonts w:ascii="Aptos" w:hAnsi="Aptos" w:cs="Times New Roman"/>
        </w:rPr>
        <w:t>ECHR</w:t>
      </w:r>
      <w:r w:rsidRPr="00E57F28">
        <w:rPr>
          <w:rFonts w:ascii="Aptos" w:hAnsi="Aptos" w:cs="Times New Roman"/>
        </w:rPr>
        <w:t>, any interference with those rights is in accordance with the law, necessary in the public interest and proportionate.</w:t>
      </w:r>
      <w:r w:rsidR="004D2C42">
        <w:rPr>
          <w:rFonts w:ascii="Aptos" w:hAnsi="Aptos" w:cs="Times New Roman"/>
        </w:rPr>
        <w:t xml:space="preserve"> On the latter point (proportionality)</w:t>
      </w:r>
      <w:r>
        <w:rPr>
          <w:rFonts w:ascii="Aptos" w:hAnsi="Aptos" w:cs="Times New Roman"/>
        </w:rPr>
        <w:t>,</w:t>
      </w:r>
      <w:r w:rsidR="00820890">
        <w:rPr>
          <w:rFonts w:ascii="Aptos" w:hAnsi="Aptos" w:cs="Times New Roman"/>
        </w:rPr>
        <w:t xml:space="preserve"> it should be noted that it is proposed to regrant </w:t>
      </w:r>
      <w:r w:rsidR="002063FE">
        <w:rPr>
          <w:rFonts w:ascii="Aptos" w:hAnsi="Aptos" w:cs="Times New Roman"/>
        </w:rPr>
        <w:t xml:space="preserve">rights of way over the access road following compulsory acquisition. </w:t>
      </w:r>
    </w:p>
    <w:p w14:paraId="24262C17" w14:textId="77777777" w:rsidR="002063FE" w:rsidRDefault="002063FE" w:rsidP="006E064C">
      <w:pPr>
        <w:pStyle w:val="ListParagraph"/>
        <w:spacing w:after="0" w:line="480" w:lineRule="auto"/>
        <w:ind w:left="426"/>
        <w:contextualSpacing w:val="0"/>
        <w:jc w:val="both"/>
        <w:rPr>
          <w:rFonts w:ascii="Aptos" w:hAnsi="Aptos" w:cs="Times New Roman"/>
        </w:rPr>
      </w:pPr>
    </w:p>
    <w:p w14:paraId="1FFEACBE" w14:textId="77777777" w:rsidR="007F7FCE" w:rsidRDefault="002063FE" w:rsidP="006E064C">
      <w:pPr>
        <w:pStyle w:val="ListParagraph"/>
        <w:numPr>
          <w:ilvl w:val="0"/>
          <w:numId w:val="1"/>
        </w:numPr>
        <w:spacing w:after="0" w:line="480" w:lineRule="auto"/>
        <w:ind w:left="426" w:hanging="426"/>
        <w:contextualSpacing w:val="0"/>
        <w:jc w:val="both"/>
        <w:rPr>
          <w:rFonts w:ascii="Aptos" w:hAnsi="Aptos" w:cs="Times New Roman"/>
        </w:rPr>
      </w:pPr>
      <w:r>
        <w:rPr>
          <w:rFonts w:ascii="Aptos" w:hAnsi="Aptos" w:cs="Times New Roman"/>
        </w:rPr>
        <w:t>As explained above, there is a compelling case in the public interest for acquisition of the Order Land. The benefit</w:t>
      </w:r>
      <w:r w:rsidR="004D2C42">
        <w:rPr>
          <w:rFonts w:ascii="Aptos" w:hAnsi="Aptos" w:cs="Times New Roman"/>
        </w:rPr>
        <w:t>s</w:t>
      </w:r>
      <w:r>
        <w:rPr>
          <w:rFonts w:ascii="Aptos" w:hAnsi="Aptos" w:cs="Times New Roman"/>
        </w:rPr>
        <w:t xml:space="preserve"> of the Scheme cannot be realised </w:t>
      </w:r>
      <w:r w:rsidR="00223DDD">
        <w:rPr>
          <w:rFonts w:ascii="Aptos" w:hAnsi="Aptos" w:cs="Times New Roman"/>
        </w:rPr>
        <w:t>without acquiring the land and thus without interfering with</w:t>
      </w:r>
      <w:r w:rsidR="004D2C42">
        <w:rPr>
          <w:rFonts w:ascii="Aptos" w:hAnsi="Aptos" w:cs="Times New Roman"/>
        </w:rPr>
        <w:t xml:space="preserve"> </w:t>
      </w:r>
      <w:r w:rsidR="00F15CD6" w:rsidRPr="00E57F28">
        <w:rPr>
          <w:rFonts w:ascii="Aptos" w:hAnsi="Aptos"/>
        </w:rPr>
        <w:t xml:space="preserve">the </w:t>
      </w:r>
      <w:r w:rsidR="00F15CD6">
        <w:rPr>
          <w:rFonts w:ascii="Aptos" w:hAnsi="Aptos"/>
        </w:rPr>
        <w:t>ECHR rights</w:t>
      </w:r>
      <w:r w:rsidR="00F15CD6" w:rsidRPr="00E57F28">
        <w:rPr>
          <w:rFonts w:ascii="Aptos" w:hAnsi="Aptos"/>
        </w:rPr>
        <w:t xml:space="preserve"> of those with an interest in the Order </w:t>
      </w:r>
      <w:r w:rsidR="00F15CD6">
        <w:rPr>
          <w:rFonts w:ascii="Aptos" w:hAnsi="Aptos"/>
        </w:rPr>
        <w:t>L</w:t>
      </w:r>
      <w:r w:rsidR="00F15CD6" w:rsidRPr="00E57F28">
        <w:rPr>
          <w:rFonts w:ascii="Aptos" w:hAnsi="Aptos"/>
        </w:rPr>
        <w:t>and</w:t>
      </w:r>
      <w:r w:rsidR="00F15CD6">
        <w:rPr>
          <w:rFonts w:ascii="Aptos" w:hAnsi="Aptos"/>
        </w:rPr>
        <w:t>.</w:t>
      </w:r>
      <w:r w:rsidR="007F7FCE">
        <w:rPr>
          <w:rFonts w:ascii="Aptos" w:hAnsi="Aptos"/>
        </w:rPr>
        <w:t xml:space="preserve"> In view of the compelling case in the public interest for compulsory acquisition, the interference is justified. </w:t>
      </w:r>
      <w:r w:rsidR="00F15CD6">
        <w:rPr>
          <w:rFonts w:ascii="Aptos" w:hAnsi="Aptos"/>
        </w:rPr>
        <w:t xml:space="preserve"> </w:t>
      </w:r>
      <w:r w:rsidR="00223DDD">
        <w:rPr>
          <w:rFonts w:ascii="Aptos" w:hAnsi="Aptos" w:cs="Times New Roman"/>
        </w:rPr>
        <w:t xml:space="preserve"> </w:t>
      </w:r>
      <w:r w:rsidR="00483BC2">
        <w:rPr>
          <w:rFonts w:ascii="Aptos" w:hAnsi="Aptos" w:cs="Times New Roman"/>
        </w:rPr>
        <w:t xml:space="preserve"> </w:t>
      </w:r>
    </w:p>
    <w:p w14:paraId="0835BB03" w14:textId="77777777" w:rsidR="007F7FCE" w:rsidRPr="007F7FCE" w:rsidRDefault="007F7FCE" w:rsidP="006E064C">
      <w:pPr>
        <w:pStyle w:val="ListParagraph"/>
        <w:spacing w:after="0" w:line="480" w:lineRule="auto"/>
        <w:contextualSpacing w:val="0"/>
        <w:rPr>
          <w:rFonts w:ascii="Aptos" w:hAnsi="Aptos" w:cs="Times New Roman"/>
        </w:rPr>
      </w:pPr>
    </w:p>
    <w:p w14:paraId="6F985BC2" w14:textId="108CDCB4" w:rsidR="006C3376" w:rsidRDefault="006C3376" w:rsidP="006E064C">
      <w:pPr>
        <w:pStyle w:val="ListParagraph"/>
        <w:numPr>
          <w:ilvl w:val="0"/>
          <w:numId w:val="1"/>
        </w:numPr>
        <w:spacing w:after="0" w:line="480" w:lineRule="auto"/>
        <w:ind w:left="426" w:hanging="426"/>
        <w:contextualSpacing w:val="0"/>
        <w:jc w:val="both"/>
        <w:rPr>
          <w:rFonts w:ascii="Aptos" w:hAnsi="Aptos" w:cs="Times New Roman"/>
        </w:rPr>
      </w:pPr>
      <w:r w:rsidRPr="007F7FCE">
        <w:rPr>
          <w:rFonts w:ascii="Aptos" w:hAnsi="Aptos" w:cs="Times New Roman"/>
        </w:rPr>
        <w:t xml:space="preserve">A specific concern having been raised over negotiations being undertaken in advance of the Order being made, the Council would </w:t>
      </w:r>
      <w:r w:rsidR="005C32CC">
        <w:rPr>
          <w:rFonts w:ascii="Aptos" w:hAnsi="Aptos" w:cs="Times New Roman"/>
        </w:rPr>
        <w:t xml:space="preserve">again </w:t>
      </w:r>
      <w:r w:rsidRPr="007F7FCE">
        <w:rPr>
          <w:rFonts w:ascii="Aptos" w:hAnsi="Aptos" w:cs="Times New Roman"/>
        </w:rPr>
        <w:t>emphasise that negotiations were undertaken in accordance with best practice and the requirements of the 2019 Guidance</w:t>
      </w:r>
      <w:r>
        <w:rPr>
          <w:rStyle w:val="FootnoteReference"/>
          <w:rFonts w:ascii="Aptos" w:hAnsi="Aptos" w:cs="Times New Roman"/>
        </w:rPr>
        <w:footnoteReference w:id="45"/>
      </w:r>
      <w:r w:rsidRPr="007F7FCE">
        <w:rPr>
          <w:rFonts w:ascii="Aptos" w:hAnsi="Aptos" w:cs="Times New Roman"/>
        </w:rPr>
        <w:t>.</w:t>
      </w:r>
    </w:p>
    <w:p w14:paraId="6B58E4B2" w14:textId="77777777" w:rsidR="005C32CC" w:rsidRDefault="005C32CC" w:rsidP="006E064C">
      <w:pPr>
        <w:spacing w:after="0" w:line="480" w:lineRule="auto"/>
        <w:jc w:val="both"/>
        <w:rPr>
          <w:rFonts w:ascii="Aptos" w:hAnsi="Aptos" w:cs="Times New Roman"/>
        </w:rPr>
      </w:pPr>
    </w:p>
    <w:p w14:paraId="06970F4B" w14:textId="2CB9BBC5" w:rsidR="005C32CC" w:rsidRPr="005C32CC" w:rsidRDefault="005C32CC" w:rsidP="006E064C">
      <w:pPr>
        <w:spacing w:after="0" w:line="480" w:lineRule="auto"/>
        <w:jc w:val="both"/>
        <w:rPr>
          <w:rFonts w:ascii="Aptos" w:hAnsi="Aptos" w:cs="Times New Roman"/>
        </w:rPr>
      </w:pPr>
      <w:r>
        <w:rPr>
          <w:rFonts w:ascii="Aptos" w:hAnsi="Aptos" w:cs="Times New Roman"/>
          <w:b/>
          <w:bCs/>
          <w:u w:val="single"/>
        </w:rPr>
        <w:lastRenderedPageBreak/>
        <w:t>The PSED</w:t>
      </w:r>
    </w:p>
    <w:p w14:paraId="68F0B33B" w14:textId="7B278E86" w:rsidR="00D22318" w:rsidRPr="00670E06" w:rsidRDefault="00D22318" w:rsidP="006E064C">
      <w:pPr>
        <w:pStyle w:val="ListParagraph"/>
        <w:numPr>
          <w:ilvl w:val="0"/>
          <w:numId w:val="1"/>
        </w:numPr>
        <w:spacing w:after="0" w:line="480" w:lineRule="auto"/>
        <w:ind w:left="426" w:hanging="426"/>
        <w:contextualSpacing w:val="0"/>
        <w:jc w:val="both"/>
        <w:rPr>
          <w:rFonts w:ascii="Aptos" w:hAnsi="Aptos" w:cs="Times New Roman"/>
        </w:rPr>
      </w:pPr>
      <w:r w:rsidRPr="005C32CC">
        <w:rPr>
          <w:rFonts w:ascii="Aptos" w:hAnsi="Aptos"/>
        </w:rPr>
        <w:t>The Council has complied with its public sector equality duty (“</w:t>
      </w:r>
      <w:r w:rsidRPr="005C32CC">
        <w:rPr>
          <w:rFonts w:ascii="Aptos" w:hAnsi="Aptos"/>
          <w:b/>
          <w:bCs/>
        </w:rPr>
        <w:t>PSED</w:t>
      </w:r>
      <w:r w:rsidRPr="005C32CC">
        <w:rPr>
          <w:rFonts w:ascii="Aptos" w:hAnsi="Aptos"/>
        </w:rPr>
        <w:t>”) under s. 149 of the Equality Act 2010</w:t>
      </w:r>
      <w:r>
        <w:rPr>
          <w:rStyle w:val="FootnoteReference"/>
          <w:rFonts w:ascii="Aptos" w:hAnsi="Aptos"/>
        </w:rPr>
        <w:footnoteReference w:id="46"/>
      </w:r>
      <w:r w:rsidRPr="005C32CC">
        <w:rPr>
          <w:rFonts w:ascii="Aptos" w:hAnsi="Aptos"/>
        </w:rPr>
        <w:t>: see Section 14 of Mr Bristow’s proof of evidence</w:t>
      </w:r>
      <w:r>
        <w:rPr>
          <w:rStyle w:val="FootnoteReference"/>
          <w:rFonts w:ascii="Aptos" w:hAnsi="Aptos"/>
        </w:rPr>
        <w:footnoteReference w:id="47"/>
      </w:r>
      <w:r w:rsidRPr="005C32CC">
        <w:rPr>
          <w:rFonts w:ascii="Aptos" w:hAnsi="Aptos"/>
        </w:rPr>
        <w:t>. In particular, the Council’s decision to make the Order was informed by an equality impact assessment (“</w:t>
      </w:r>
      <w:proofErr w:type="spellStart"/>
      <w:r w:rsidRPr="005C32CC">
        <w:rPr>
          <w:rFonts w:ascii="Aptos" w:hAnsi="Aptos"/>
          <w:b/>
          <w:bCs/>
        </w:rPr>
        <w:t>EqIA</w:t>
      </w:r>
      <w:proofErr w:type="spellEnd"/>
      <w:r w:rsidRPr="005C32CC">
        <w:rPr>
          <w:rFonts w:ascii="Aptos" w:hAnsi="Aptos"/>
        </w:rPr>
        <w:t xml:space="preserve">”), which was reported to Full Council at its 21 March 2023 meeting. The </w:t>
      </w:r>
      <w:proofErr w:type="spellStart"/>
      <w:r w:rsidRPr="005C32CC">
        <w:rPr>
          <w:rFonts w:ascii="Aptos" w:hAnsi="Aptos"/>
        </w:rPr>
        <w:t>EqIA</w:t>
      </w:r>
      <w:proofErr w:type="spellEnd"/>
      <w:r w:rsidRPr="005C32CC">
        <w:rPr>
          <w:rFonts w:ascii="Aptos" w:hAnsi="Aptos"/>
        </w:rPr>
        <w:t xml:space="preserve"> shows that delivery of the Scheme will have numerous beneficial impacts for individuals in the local area with protected characteristics.</w:t>
      </w:r>
    </w:p>
    <w:p w14:paraId="070C2FF1" w14:textId="77777777" w:rsidR="00670E06" w:rsidRDefault="00670E06" w:rsidP="006E064C">
      <w:pPr>
        <w:spacing w:after="0" w:line="480" w:lineRule="auto"/>
        <w:jc w:val="both"/>
        <w:rPr>
          <w:rFonts w:ascii="Aptos" w:hAnsi="Aptos" w:cs="Times New Roman"/>
        </w:rPr>
      </w:pPr>
    </w:p>
    <w:p w14:paraId="4F6BB380" w14:textId="32A4E3CF" w:rsidR="00670E06" w:rsidRPr="00670E06" w:rsidRDefault="00670E06" w:rsidP="006E064C">
      <w:pPr>
        <w:spacing w:after="0" w:line="480" w:lineRule="auto"/>
        <w:jc w:val="both"/>
        <w:rPr>
          <w:rFonts w:ascii="Aptos" w:hAnsi="Aptos" w:cs="Times New Roman"/>
          <w:b/>
          <w:bCs/>
          <w:u w:val="single"/>
        </w:rPr>
      </w:pPr>
      <w:r>
        <w:rPr>
          <w:rFonts w:ascii="Aptos" w:hAnsi="Aptos" w:cs="Times New Roman"/>
          <w:b/>
          <w:bCs/>
          <w:u w:val="single"/>
        </w:rPr>
        <w:t xml:space="preserve">Potential modifications to the Order </w:t>
      </w:r>
    </w:p>
    <w:p w14:paraId="24C67A49" w14:textId="474C0067" w:rsidR="00670E06" w:rsidRDefault="00356CE2" w:rsidP="006E064C">
      <w:pPr>
        <w:pStyle w:val="ListParagraph"/>
        <w:numPr>
          <w:ilvl w:val="0"/>
          <w:numId w:val="1"/>
        </w:numPr>
        <w:spacing w:after="0" w:line="480" w:lineRule="auto"/>
        <w:ind w:left="426" w:hanging="426"/>
        <w:contextualSpacing w:val="0"/>
        <w:jc w:val="both"/>
        <w:rPr>
          <w:rFonts w:ascii="Aptos" w:hAnsi="Aptos" w:cs="Times New Roman"/>
        </w:rPr>
      </w:pPr>
      <w:r>
        <w:rPr>
          <w:rFonts w:ascii="Aptos" w:hAnsi="Aptos" w:cs="Times New Roman"/>
        </w:rPr>
        <w:t xml:space="preserve">The Inspector’s power to modify the Order is explained in the Council’s </w:t>
      </w:r>
      <w:r w:rsidRPr="008A2623">
        <w:rPr>
          <w:rFonts w:ascii="Aptos" w:hAnsi="Aptos" w:cs="Times New Roman"/>
          <w:i/>
          <w:iCs/>
        </w:rPr>
        <w:t>Note […] Addressing Statutory Provisions in Relation to Compulsory Purchase Orders</w:t>
      </w:r>
      <w:r w:rsidRPr="008A2623">
        <w:rPr>
          <w:rFonts w:ascii="Aptos" w:hAnsi="Aptos" w:cs="Times New Roman"/>
        </w:rPr>
        <w:t xml:space="preserve"> (7 August 2024), submitted to the inquiry.</w:t>
      </w:r>
    </w:p>
    <w:p w14:paraId="0EFBFD56" w14:textId="77777777" w:rsidR="00743076" w:rsidRDefault="00743076" w:rsidP="006E064C">
      <w:pPr>
        <w:pStyle w:val="ListParagraph"/>
        <w:spacing w:after="0" w:line="480" w:lineRule="auto"/>
        <w:ind w:left="426"/>
        <w:contextualSpacing w:val="0"/>
        <w:jc w:val="both"/>
        <w:rPr>
          <w:rFonts w:ascii="Aptos" w:hAnsi="Aptos" w:cs="Times New Roman"/>
        </w:rPr>
      </w:pPr>
    </w:p>
    <w:p w14:paraId="4A429046" w14:textId="77777777" w:rsidR="006A4BFD" w:rsidRDefault="000E7FAC" w:rsidP="006E064C">
      <w:pPr>
        <w:pStyle w:val="ListParagraph"/>
        <w:numPr>
          <w:ilvl w:val="0"/>
          <w:numId w:val="1"/>
        </w:numPr>
        <w:spacing w:after="0" w:line="480" w:lineRule="auto"/>
        <w:ind w:left="426" w:hanging="426"/>
        <w:contextualSpacing w:val="0"/>
        <w:jc w:val="both"/>
        <w:rPr>
          <w:rFonts w:ascii="Aptos" w:hAnsi="Aptos" w:cs="Times New Roman"/>
        </w:rPr>
      </w:pPr>
      <w:r>
        <w:rPr>
          <w:rFonts w:ascii="Aptos" w:hAnsi="Aptos" w:cs="Times New Roman"/>
        </w:rPr>
        <w:t xml:space="preserve">The only potential modification </w:t>
      </w:r>
      <w:r w:rsidR="00300611">
        <w:rPr>
          <w:rFonts w:ascii="Aptos" w:hAnsi="Aptos" w:cs="Times New Roman"/>
        </w:rPr>
        <w:t>to the Order of which the Council is aware is the potential addition to Table 2 of the Schedule to the Order</w:t>
      </w:r>
      <w:r w:rsidR="00300611">
        <w:rPr>
          <w:rStyle w:val="FootnoteReference"/>
          <w:rFonts w:ascii="Aptos" w:hAnsi="Aptos" w:cs="Times New Roman"/>
        </w:rPr>
        <w:footnoteReference w:id="48"/>
      </w:r>
      <w:r w:rsidR="005D78C9">
        <w:rPr>
          <w:rFonts w:ascii="Aptos" w:hAnsi="Aptos" w:cs="Times New Roman"/>
        </w:rPr>
        <w:t xml:space="preserve"> of</w:t>
      </w:r>
      <w:r w:rsidR="005A0365">
        <w:rPr>
          <w:rFonts w:ascii="Aptos" w:hAnsi="Aptos" w:cs="Times New Roman"/>
        </w:rPr>
        <w:t xml:space="preserve"> (1) Anthony John </w:t>
      </w:r>
      <w:proofErr w:type="spellStart"/>
      <w:r w:rsidR="005A0365">
        <w:rPr>
          <w:rFonts w:ascii="Aptos" w:hAnsi="Aptos" w:cs="Times New Roman"/>
        </w:rPr>
        <w:t>Corkett</w:t>
      </w:r>
      <w:proofErr w:type="spellEnd"/>
      <w:r w:rsidR="005A0365">
        <w:rPr>
          <w:rFonts w:ascii="Aptos" w:hAnsi="Aptos" w:cs="Times New Roman"/>
        </w:rPr>
        <w:t xml:space="preserve"> and (2) Linda Mary </w:t>
      </w:r>
      <w:proofErr w:type="spellStart"/>
      <w:r w:rsidR="005A0365">
        <w:rPr>
          <w:rFonts w:ascii="Aptos" w:hAnsi="Aptos" w:cs="Times New Roman"/>
        </w:rPr>
        <w:t>Corkett</w:t>
      </w:r>
      <w:proofErr w:type="spellEnd"/>
      <w:r w:rsidR="00E16D02">
        <w:rPr>
          <w:rFonts w:ascii="Aptos" w:hAnsi="Aptos" w:cs="Times New Roman"/>
        </w:rPr>
        <w:t xml:space="preserve"> as “Other qualifying persons under section 12(2A)</w:t>
      </w:r>
      <w:r w:rsidR="00CC7BB4">
        <w:rPr>
          <w:rFonts w:ascii="Aptos" w:hAnsi="Aptos" w:cs="Times New Roman"/>
        </w:rPr>
        <w:t>(b) of the Acquisiti</w:t>
      </w:r>
      <w:r w:rsidR="001F5B8C">
        <w:rPr>
          <w:rFonts w:ascii="Aptos" w:hAnsi="Aptos" w:cs="Times New Roman"/>
        </w:rPr>
        <w:t>o</w:t>
      </w:r>
      <w:r w:rsidR="00CC7BB4">
        <w:rPr>
          <w:rFonts w:ascii="Aptos" w:hAnsi="Aptos" w:cs="Times New Roman"/>
        </w:rPr>
        <w:t>n of Land Act 1981 – not otherwise shown in Tables 1 &amp; 2”</w:t>
      </w:r>
      <w:r w:rsidR="00E16D02">
        <w:rPr>
          <w:rFonts w:ascii="Aptos" w:hAnsi="Aptos" w:cs="Times New Roman"/>
        </w:rPr>
        <w:t>, in respect of a right of way</w:t>
      </w:r>
      <w:r w:rsidR="001F5B8C">
        <w:rPr>
          <w:rFonts w:ascii="Aptos" w:hAnsi="Aptos" w:cs="Times New Roman"/>
        </w:rPr>
        <w:t xml:space="preserve"> over Plot 5</w:t>
      </w:r>
      <w:r w:rsidR="00E16D02">
        <w:rPr>
          <w:rFonts w:ascii="Aptos" w:hAnsi="Aptos" w:cs="Times New Roman"/>
        </w:rPr>
        <w:t>.</w:t>
      </w:r>
      <w:r w:rsidR="00C02F48">
        <w:rPr>
          <w:rFonts w:ascii="Aptos" w:hAnsi="Aptos" w:cs="Times New Roman"/>
        </w:rPr>
        <w:t xml:space="preserve"> Mr and Mrs </w:t>
      </w:r>
      <w:proofErr w:type="spellStart"/>
      <w:r w:rsidR="00C02F48">
        <w:rPr>
          <w:rFonts w:ascii="Aptos" w:hAnsi="Aptos" w:cs="Times New Roman"/>
        </w:rPr>
        <w:t>Corkett’s</w:t>
      </w:r>
      <w:proofErr w:type="spellEnd"/>
      <w:r w:rsidR="00C02F48">
        <w:rPr>
          <w:rFonts w:ascii="Aptos" w:hAnsi="Aptos" w:cs="Times New Roman"/>
        </w:rPr>
        <w:t xml:space="preserve"> claimed right of way over Plot 4 is noted in Table 2 but their claimed right of way over Plot 5 is not so noted (at present) </w:t>
      </w:r>
      <w:r w:rsidR="005E37EE">
        <w:rPr>
          <w:rFonts w:ascii="Aptos" w:hAnsi="Aptos" w:cs="Times New Roman"/>
        </w:rPr>
        <w:t xml:space="preserve">because it was not identified (by them) </w:t>
      </w:r>
      <w:r w:rsidR="00AE0BE5">
        <w:rPr>
          <w:rFonts w:ascii="Aptos" w:hAnsi="Aptos" w:cs="Times New Roman"/>
        </w:rPr>
        <w:t xml:space="preserve">in the </w:t>
      </w:r>
      <w:r w:rsidR="00AE0BE5">
        <w:rPr>
          <w:rFonts w:ascii="Aptos" w:hAnsi="Aptos" w:cs="Times New Roman"/>
          <w:i/>
          <w:iCs/>
        </w:rPr>
        <w:t xml:space="preserve">Requisition for information </w:t>
      </w:r>
      <w:r w:rsidR="00AE0BE5">
        <w:rPr>
          <w:rFonts w:ascii="Aptos" w:hAnsi="Aptos" w:cs="Times New Roman"/>
        </w:rPr>
        <w:t xml:space="preserve">form. </w:t>
      </w:r>
    </w:p>
    <w:p w14:paraId="76A59848" w14:textId="77777777" w:rsidR="006A4BFD" w:rsidRPr="006A4BFD" w:rsidRDefault="006A4BFD" w:rsidP="006E064C">
      <w:pPr>
        <w:pStyle w:val="ListParagraph"/>
        <w:spacing w:after="0" w:line="480" w:lineRule="auto"/>
        <w:contextualSpacing w:val="0"/>
        <w:rPr>
          <w:rFonts w:ascii="Aptos" w:hAnsi="Aptos" w:cs="Times New Roman"/>
        </w:rPr>
      </w:pPr>
    </w:p>
    <w:p w14:paraId="65CD8728" w14:textId="56D31448" w:rsidR="005060C8" w:rsidRDefault="006A4BFD" w:rsidP="006E064C">
      <w:pPr>
        <w:pStyle w:val="ListParagraph"/>
        <w:numPr>
          <w:ilvl w:val="0"/>
          <w:numId w:val="1"/>
        </w:numPr>
        <w:spacing w:after="0" w:line="480" w:lineRule="auto"/>
        <w:ind w:left="426" w:hanging="426"/>
        <w:contextualSpacing w:val="0"/>
        <w:jc w:val="both"/>
        <w:rPr>
          <w:rFonts w:ascii="Aptos" w:hAnsi="Aptos" w:cs="Times New Roman"/>
        </w:rPr>
      </w:pPr>
      <w:r>
        <w:rPr>
          <w:rFonts w:ascii="Aptos" w:hAnsi="Aptos" w:cs="Times New Roman"/>
        </w:rPr>
        <w:t>The Council has no objection to the modification of Table 2 of the Schedule to the Order</w:t>
      </w:r>
      <w:r w:rsidR="00667F93">
        <w:rPr>
          <w:rFonts w:ascii="Aptos" w:hAnsi="Aptos" w:cs="Times New Roman"/>
        </w:rPr>
        <w:t xml:space="preserve"> </w:t>
      </w:r>
      <w:proofErr w:type="gramStart"/>
      <w:r w:rsidR="00667F93">
        <w:rPr>
          <w:rFonts w:ascii="Aptos" w:hAnsi="Aptos" w:cs="Times New Roman"/>
        </w:rPr>
        <w:t>so as to</w:t>
      </w:r>
      <w:proofErr w:type="gramEnd"/>
      <w:r w:rsidR="00667F93">
        <w:rPr>
          <w:rFonts w:ascii="Aptos" w:hAnsi="Aptos" w:cs="Times New Roman"/>
        </w:rPr>
        <w:t xml:space="preserve"> show Mr and Mrs </w:t>
      </w:r>
      <w:proofErr w:type="spellStart"/>
      <w:r w:rsidR="00667F93">
        <w:rPr>
          <w:rFonts w:ascii="Aptos" w:hAnsi="Aptos" w:cs="Times New Roman"/>
        </w:rPr>
        <w:t>Corkett’s</w:t>
      </w:r>
      <w:proofErr w:type="spellEnd"/>
      <w:r w:rsidR="00667F93">
        <w:rPr>
          <w:rFonts w:ascii="Aptos" w:hAnsi="Aptos" w:cs="Times New Roman"/>
        </w:rPr>
        <w:t xml:space="preserve"> claimed right of way over Plot 5. It reiterates however that inclusion within the Schedule would not </w:t>
      </w:r>
      <w:r w:rsidR="007A16F5">
        <w:rPr>
          <w:rFonts w:ascii="Aptos" w:hAnsi="Aptos" w:cs="Times New Roman"/>
        </w:rPr>
        <w:t xml:space="preserve">change the land ownership position. If the Order is </w:t>
      </w:r>
      <w:r w:rsidR="007A16F5">
        <w:rPr>
          <w:rFonts w:ascii="Aptos" w:hAnsi="Aptos" w:cs="Times New Roman"/>
        </w:rPr>
        <w:lastRenderedPageBreak/>
        <w:t xml:space="preserve">modified it will still be necessary </w:t>
      </w:r>
      <w:r w:rsidR="004740EC">
        <w:rPr>
          <w:rFonts w:ascii="Aptos" w:hAnsi="Aptos" w:cs="Times New Roman"/>
        </w:rPr>
        <w:t xml:space="preserve">for Mr and Mrs </w:t>
      </w:r>
      <w:proofErr w:type="spellStart"/>
      <w:r w:rsidR="004740EC">
        <w:rPr>
          <w:rFonts w:ascii="Aptos" w:hAnsi="Aptos" w:cs="Times New Roman"/>
        </w:rPr>
        <w:t>Corkett</w:t>
      </w:r>
      <w:proofErr w:type="spellEnd"/>
      <w:r w:rsidR="004740EC">
        <w:rPr>
          <w:rFonts w:ascii="Aptos" w:hAnsi="Aptos" w:cs="Times New Roman"/>
        </w:rPr>
        <w:t xml:space="preserve"> to prove their title claim (in respect of the claimed right of way over Plot 5 and </w:t>
      </w:r>
      <w:r w:rsidR="003F511D">
        <w:rPr>
          <w:rFonts w:ascii="Aptos" w:hAnsi="Aptos" w:cs="Times New Roman"/>
        </w:rPr>
        <w:t>their</w:t>
      </w:r>
      <w:r w:rsidR="004740EC">
        <w:rPr>
          <w:rFonts w:ascii="Aptos" w:hAnsi="Aptos" w:cs="Times New Roman"/>
        </w:rPr>
        <w:t xml:space="preserve"> other claimed interests in the Order Land) </w:t>
      </w:r>
      <w:r w:rsidR="003F511D">
        <w:rPr>
          <w:rFonts w:ascii="Aptos" w:hAnsi="Aptos" w:cs="Times New Roman"/>
        </w:rPr>
        <w:t xml:space="preserve">before the Tribunal </w:t>
      </w:r>
      <w:proofErr w:type="gramStart"/>
      <w:r w:rsidR="003F511D">
        <w:rPr>
          <w:rFonts w:ascii="Aptos" w:hAnsi="Aptos" w:cs="Times New Roman"/>
        </w:rPr>
        <w:t>in order to</w:t>
      </w:r>
      <w:proofErr w:type="gramEnd"/>
      <w:r w:rsidR="00405AFB">
        <w:rPr>
          <w:rFonts w:ascii="Aptos" w:hAnsi="Aptos" w:cs="Times New Roman"/>
        </w:rPr>
        <w:t xml:space="preserve"> receive compensation in respect of their claimed interest</w:t>
      </w:r>
      <w:r w:rsidR="009E0523">
        <w:rPr>
          <w:rFonts w:ascii="Aptos" w:hAnsi="Aptos" w:cs="Times New Roman"/>
        </w:rPr>
        <w:t>s</w:t>
      </w:r>
      <w:r w:rsidR="00405AFB">
        <w:rPr>
          <w:rFonts w:ascii="Aptos" w:hAnsi="Aptos" w:cs="Times New Roman"/>
        </w:rPr>
        <w:t xml:space="preserve"> in the Order Land. </w:t>
      </w:r>
      <w:r w:rsidR="003F511D">
        <w:rPr>
          <w:rFonts w:ascii="Aptos" w:hAnsi="Aptos" w:cs="Times New Roman"/>
        </w:rPr>
        <w:t xml:space="preserve"> </w:t>
      </w:r>
      <w:r w:rsidR="00E16D02">
        <w:rPr>
          <w:rFonts w:ascii="Aptos" w:hAnsi="Aptos" w:cs="Times New Roman"/>
        </w:rPr>
        <w:t xml:space="preserve"> </w:t>
      </w:r>
      <w:r w:rsidR="005D78C9">
        <w:rPr>
          <w:rFonts w:ascii="Aptos" w:hAnsi="Aptos" w:cs="Times New Roman"/>
        </w:rPr>
        <w:t xml:space="preserve">  </w:t>
      </w:r>
    </w:p>
    <w:p w14:paraId="7C63C1DA" w14:textId="77777777" w:rsidR="005060C8" w:rsidRPr="00095786" w:rsidRDefault="005060C8" w:rsidP="006E064C">
      <w:pPr>
        <w:spacing w:after="0" w:line="480" w:lineRule="auto"/>
        <w:ind w:left="426" w:hanging="426"/>
        <w:jc w:val="both"/>
        <w:rPr>
          <w:rFonts w:ascii="Aptos" w:hAnsi="Aptos" w:cs="Times New Roman"/>
          <w:b/>
          <w:bCs/>
          <w:u w:val="single"/>
        </w:rPr>
      </w:pPr>
    </w:p>
    <w:p w14:paraId="1A10B73E" w14:textId="77777777" w:rsidR="005060C8" w:rsidRPr="00095786" w:rsidRDefault="005060C8" w:rsidP="006E064C">
      <w:pPr>
        <w:spacing w:after="0" w:line="480" w:lineRule="auto"/>
        <w:ind w:left="426" w:hanging="426"/>
        <w:jc w:val="both"/>
        <w:rPr>
          <w:rFonts w:ascii="Aptos" w:hAnsi="Aptos" w:cs="Times New Roman"/>
        </w:rPr>
      </w:pPr>
      <w:r w:rsidRPr="00095786">
        <w:rPr>
          <w:rFonts w:ascii="Aptos" w:hAnsi="Aptos" w:cs="Times New Roman"/>
          <w:b/>
          <w:bCs/>
          <w:u w:val="single"/>
        </w:rPr>
        <w:t>Conclusion</w:t>
      </w:r>
    </w:p>
    <w:p w14:paraId="7A45A7D1" w14:textId="77777777" w:rsidR="006E064C" w:rsidRPr="006E064C" w:rsidRDefault="00095786" w:rsidP="006E064C">
      <w:pPr>
        <w:pStyle w:val="ListParagraph"/>
        <w:numPr>
          <w:ilvl w:val="0"/>
          <w:numId w:val="1"/>
        </w:numPr>
        <w:spacing w:after="0" w:line="480" w:lineRule="auto"/>
        <w:ind w:left="426" w:hanging="426"/>
        <w:contextualSpacing w:val="0"/>
        <w:jc w:val="both"/>
        <w:rPr>
          <w:rFonts w:ascii="Aptos" w:hAnsi="Aptos" w:cs="Times New Roman"/>
        </w:rPr>
      </w:pPr>
      <w:r w:rsidRPr="006E064C">
        <w:rPr>
          <w:rFonts w:ascii="Aptos" w:hAnsi="Aptos" w:cs="Times New Roman"/>
        </w:rPr>
        <w:t>To conclude</w:t>
      </w:r>
      <w:r w:rsidR="00CD2469" w:rsidRPr="006E064C">
        <w:rPr>
          <w:rFonts w:ascii="Aptos" w:hAnsi="Aptos" w:cs="Times New Roman"/>
        </w:rPr>
        <w:t xml:space="preserve">, </w:t>
      </w:r>
      <w:r w:rsidR="005060C8" w:rsidRPr="006E064C">
        <w:rPr>
          <w:rFonts w:ascii="Aptos" w:hAnsi="Aptos" w:cs="Times New Roman"/>
        </w:rPr>
        <w:t>the Council’s evidence shows that the requisite</w:t>
      </w:r>
      <w:r w:rsidR="005060C8" w:rsidRPr="006E064C">
        <w:rPr>
          <w:rStyle w:val="FootnoteReference"/>
          <w:rFonts w:ascii="Aptos" w:hAnsi="Aptos" w:cs="Times New Roman"/>
        </w:rPr>
        <w:footnoteReference w:id="49"/>
      </w:r>
      <w:r w:rsidR="005060C8" w:rsidRPr="006E064C">
        <w:rPr>
          <w:rFonts w:ascii="Aptos" w:hAnsi="Aptos" w:cs="Times New Roman"/>
        </w:rPr>
        <w:t xml:space="preserve"> compelling case in the public interest for confirmation of the Order is clearly established. The Scheme will contribute to the economic, social and environmental well-being of the area in which the Order Land is situated. Planning permission is in place, as are funding arrangements. Appropriate efforts have been made by the Council to acquire by agreement the land and rights necessary for the Scheme. To the extent that confirmation of the Order will affect rights under Art. 8 of the </w:t>
      </w:r>
      <w:r w:rsidR="006E064C" w:rsidRPr="006E064C">
        <w:rPr>
          <w:rFonts w:ascii="Aptos" w:hAnsi="Aptos" w:cs="Times New Roman"/>
        </w:rPr>
        <w:t>ECHR and</w:t>
      </w:r>
      <w:r w:rsidR="005060C8" w:rsidRPr="006E064C">
        <w:rPr>
          <w:rFonts w:ascii="Aptos" w:hAnsi="Aptos" w:cs="Times New Roman"/>
        </w:rPr>
        <w:t xml:space="preserve"> Art. 1 of the First Protocol to the same, any interference with those rights is in accordance with the law, necessary in the public interest and proportionate.  </w:t>
      </w:r>
    </w:p>
    <w:p w14:paraId="11618E9F" w14:textId="77777777" w:rsidR="006E064C" w:rsidRPr="006E064C" w:rsidRDefault="006E064C" w:rsidP="006E064C">
      <w:pPr>
        <w:pStyle w:val="ListParagraph"/>
        <w:spacing w:after="0" w:line="480" w:lineRule="auto"/>
        <w:ind w:left="426"/>
        <w:contextualSpacing w:val="0"/>
        <w:jc w:val="both"/>
        <w:rPr>
          <w:rFonts w:ascii="Aptos" w:hAnsi="Aptos" w:cs="Times New Roman"/>
        </w:rPr>
      </w:pPr>
    </w:p>
    <w:p w14:paraId="1A4D6B52" w14:textId="019D5ECA" w:rsidR="00CD2469" w:rsidRPr="006E064C" w:rsidRDefault="006E064C" w:rsidP="006E064C">
      <w:pPr>
        <w:pStyle w:val="ListParagraph"/>
        <w:numPr>
          <w:ilvl w:val="0"/>
          <w:numId w:val="1"/>
        </w:numPr>
        <w:spacing w:after="0" w:line="480" w:lineRule="auto"/>
        <w:ind w:left="426" w:hanging="426"/>
        <w:contextualSpacing w:val="0"/>
        <w:jc w:val="both"/>
        <w:rPr>
          <w:rFonts w:ascii="Aptos" w:hAnsi="Aptos" w:cs="Times New Roman"/>
        </w:rPr>
      </w:pPr>
      <w:r w:rsidRPr="006E064C">
        <w:rPr>
          <w:rFonts w:ascii="Aptos" w:hAnsi="Aptos" w:cs="Times New Roman"/>
        </w:rPr>
        <w:t>H</w:t>
      </w:r>
      <w:r w:rsidR="00CD2469" w:rsidRPr="006E064C">
        <w:rPr>
          <w:rFonts w:ascii="Aptos" w:hAnsi="Aptos" w:cs="Times New Roman"/>
        </w:rPr>
        <w:t xml:space="preserve">aving regard to the </w:t>
      </w:r>
      <w:r w:rsidR="00C10CD2" w:rsidRPr="006E064C">
        <w:rPr>
          <w:rFonts w:ascii="Aptos" w:hAnsi="Aptos" w:cs="Times New Roman"/>
        </w:rPr>
        <w:t>2019 Guidance</w:t>
      </w:r>
      <w:r w:rsidR="00095786" w:rsidRPr="006E064C">
        <w:rPr>
          <w:rStyle w:val="FootnoteReference"/>
          <w:rFonts w:ascii="Aptos" w:hAnsi="Aptos" w:cs="Times New Roman"/>
        </w:rPr>
        <w:footnoteReference w:id="50"/>
      </w:r>
      <w:r w:rsidRPr="006E064C">
        <w:rPr>
          <w:rFonts w:ascii="Aptos" w:hAnsi="Aptos" w:cs="Times New Roman"/>
        </w:rPr>
        <w:t xml:space="preserve">, </w:t>
      </w:r>
      <w:r w:rsidR="00095786" w:rsidRPr="006E064C">
        <w:rPr>
          <w:rFonts w:ascii="Aptos" w:hAnsi="Aptos" w:cs="Times New Roman"/>
        </w:rPr>
        <w:t>the Order should therefore</w:t>
      </w:r>
      <w:r w:rsidR="00CD2469" w:rsidRPr="006E064C">
        <w:rPr>
          <w:rFonts w:ascii="Aptos" w:hAnsi="Aptos" w:cs="Times New Roman"/>
        </w:rPr>
        <w:t xml:space="preserve"> be confirmed.</w:t>
      </w:r>
    </w:p>
    <w:p w14:paraId="79115E1C" w14:textId="77777777" w:rsidR="00E4220D" w:rsidRPr="00BC12C4" w:rsidRDefault="00E4220D" w:rsidP="00D945A5">
      <w:pPr>
        <w:pStyle w:val="ListParagraph"/>
        <w:spacing w:line="360" w:lineRule="auto"/>
        <w:jc w:val="both"/>
        <w:rPr>
          <w:rFonts w:ascii="Aptos" w:hAnsi="Aptos" w:cs="Times New Roman"/>
        </w:rPr>
      </w:pPr>
    </w:p>
    <w:p w14:paraId="7C162522" w14:textId="0D9E37BC" w:rsidR="00D945A5" w:rsidRPr="00BC12C4" w:rsidRDefault="00D945A5" w:rsidP="007D0F10">
      <w:pPr>
        <w:spacing w:after="0" w:line="240" w:lineRule="auto"/>
        <w:jc w:val="right"/>
        <w:rPr>
          <w:rFonts w:ascii="Aptos" w:hAnsi="Aptos" w:cs="Times New Roman"/>
        </w:rPr>
      </w:pPr>
      <w:r w:rsidRPr="00BC12C4">
        <w:rPr>
          <w:rFonts w:ascii="Aptos" w:hAnsi="Aptos" w:cs="Times New Roman"/>
        </w:rPr>
        <w:t>HEATHER SARGENT</w:t>
      </w:r>
    </w:p>
    <w:p w14:paraId="3FB327C8" w14:textId="77777777" w:rsidR="007D0F10" w:rsidRPr="00BC12C4" w:rsidRDefault="007D0F10" w:rsidP="007D0F10">
      <w:pPr>
        <w:spacing w:after="0" w:line="240" w:lineRule="auto"/>
        <w:jc w:val="right"/>
        <w:rPr>
          <w:rFonts w:ascii="Aptos" w:hAnsi="Aptos" w:cs="Times New Roman"/>
        </w:rPr>
      </w:pPr>
    </w:p>
    <w:p w14:paraId="26BD7173" w14:textId="16E73A45" w:rsidR="00D945A5" w:rsidRPr="00BC12C4" w:rsidRDefault="00D945A5" w:rsidP="007D0F10">
      <w:pPr>
        <w:spacing w:after="0" w:line="240" w:lineRule="auto"/>
        <w:jc w:val="right"/>
        <w:rPr>
          <w:rFonts w:ascii="Aptos" w:hAnsi="Aptos" w:cs="Times New Roman"/>
        </w:rPr>
      </w:pPr>
      <w:r w:rsidRPr="00BC12C4">
        <w:rPr>
          <w:rFonts w:ascii="Aptos" w:hAnsi="Aptos" w:cs="Times New Roman"/>
        </w:rPr>
        <w:t>Landmark Chambers</w:t>
      </w:r>
    </w:p>
    <w:p w14:paraId="53DF4FED" w14:textId="31B8D79A" w:rsidR="00D945A5" w:rsidRPr="00BC12C4" w:rsidRDefault="00D945A5" w:rsidP="007D0F10">
      <w:pPr>
        <w:spacing w:after="0" w:line="240" w:lineRule="auto"/>
        <w:jc w:val="right"/>
        <w:rPr>
          <w:rFonts w:ascii="Aptos" w:hAnsi="Aptos" w:cs="Times New Roman"/>
        </w:rPr>
      </w:pPr>
      <w:r w:rsidRPr="00BC12C4">
        <w:rPr>
          <w:rFonts w:ascii="Aptos" w:hAnsi="Aptos" w:cs="Times New Roman"/>
        </w:rPr>
        <w:t>180 Fleet Street</w:t>
      </w:r>
    </w:p>
    <w:p w14:paraId="35956074" w14:textId="4B3F59CA" w:rsidR="00D945A5" w:rsidRPr="00BC12C4" w:rsidRDefault="00D945A5" w:rsidP="007D0F10">
      <w:pPr>
        <w:spacing w:after="0" w:line="240" w:lineRule="auto"/>
        <w:jc w:val="right"/>
        <w:rPr>
          <w:rFonts w:ascii="Aptos" w:hAnsi="Aptos" w:cs="Times New Roman"/>
        </w:rPr>
      </w:pPr>
      <w:r w:rsidRPr="00BC12C4">
        <w:rPr>
          <w:rFonts w:ascii="Aptos" w:hAnsi="Aptos" w:cs="Times New Roman"/>
        </w:rPr>
        <w:t>London EC4A 2HG</w:t>
      </w:r>
    </w:p>
    <w:p w14:paraId="357FA09C" w14:textId="77777777" w:rsidR="007D0F10" w:rsidRPr="00BC12C4" w:rsidRDefault="007D0F10" w:rsidP="007D0F10">
      <w:pPr>
        <w:spacing w:after="0" w:line="240" w:lineRule="auto"/>
        <w:jc w:val="right"/>
        <w:rPr>
          <w:rFonts w:ascii="Aptos" w:hAnsi="Aptos" w:cs="Times New Roman"/>
        </w:rPr>
      </w:pPr>
    </w:p>
    <w:p w14:paraId="212D3BFC" w14:textId="2EBC26AB" w:rsidR="00D945A5" w:rsidRPr="00BC12C4" w:rsidRDefault="00E458FA" w:rsidP="007D0F10">
      <w:pPr>
        <w:spacing w:after="0" w:line="240" w:lineRule="auto"/>
        <w:jc w:val="right"/>
        <w:rPr>
          <w:rFonts w:ascii="Aptos" w:hAnsi="Aptos" w:cs="Times New Roman"/>
        </w:rPr>
      </w:pPr>
      <w:r>
        <w:rPr>
          <w:rFonts w:ascii="Aptos" w:hAnsi="Aptos" w:cs="Times New Roman"/>
        </w:rPr>
        <w:t>13</w:t>
      </w:r>
      <w:r w:rsidR="007D0F10" w:rsidRPr="00BC12C4">
        <w:rPr>
          <w:rFonts w:ascii="Aptos" w:hAnsi="Aptos" w:cs="Times New Roman"/>
        </w:rPr>
        <w:t xml:space="preserve"> August 2024</w:t>
      </w:r>
    </w:p>
    <w:p w14:paraId="2D2434F2" w14:textId="77777777" w:rsidR="00CD2469" w:rsidRPr="00BC12C4" w:rsidRDefault="00CD2469" w:rsidP="00CD2469">
      <w:pPr>
        <w:spacing w:line="360" w:lineRule="auto"/>
        <w:jc w:val="both"/>
        <w:rPr>
          <w:rFonts w:ascii="Aptos" w:hAnsi="Aptos" w:cs="Times New Roman"/>
        </w:rPr>
      </w:pPr>
    </w:p>
    <w:p w14:paraId="079552BE" w14:textId="77777777" w:rsidR="00CD2469" w:rsidRPr="00BC12C4" w:rsidRDefault="00CD2469" w:rsidP="00CD2469">
      <w:pPr>
        <w:spacing w:line="360" w:lineRule="auto"/>
        <w:jc w:val="both"/>
        <w:rPr>
          <w:rFonts w:ascii="Aptos" w:hAnsi="Aptos" w:cs="Times New Roman"/>
        </w:rPr>
      </w:pPr>
    </w:p>
    <w:sectPr w:rsidR="00CD2469" w:rsidRPr="00BC12C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35954" w14:textId="77777777" w:rsidR="005B3B4D" w:rsidRDefault="005B3B4D" w:rsidP="001B0C3B">
      <w:pPr>
        <w:spacing w:after="0" w:line="240" w:lineRule="auto"/>
      </w:pPr>
      <w:r>
        <w:separator/>
      </w:r>
    </w:p>
  </w:endnote>
  <w:endnote w:type="continuationSeparator" w:id="0">
    <w:p w14:paraId="16F03977" w14:textId="77777777" w:rsidR="005B3B4D" w:rsidRDefault="005B3B4D" w:rsidP="001B0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ptos" w:hAnsi="Aptos"/>
      </w:rPr>
      <w:id w:val="765188840"/>
      <w:docPartObj>
        <w:docPartGallery w:val="Page Numbers (Bottom of Page)"/>
        <w:docPartUnique/>
      </w:docPartObj>
    </w:sdtPr>
    <w:sdtEndPr>
      <w:rPr>
        <w:noProof/>
      </w:rPr>
    </w:sdtEndPr>
    <w:sdtContent>
      <w:p w14:paraId="5FC827C2" w14:textId="361935D3" w:rsidR="001B0C3B" w:rsidRPr="007D0F10" w:rsidRDefault="001B0C3B">
        <w:pPr>
          <w:pStyle w:val="Footer"/>
          <w:jc w:val="center"/>
          <w:rPr>
            <w:rFonts w:ascii="Aptos" w:hAnsi="Aptos"/>
          </w:rPr>
        </w:pPr>
        <w:r w:rsidRPr="007D0F10">
          <w:rPr>
            <w:rFonts w:ascii="Aptos" w:hAnsi="Aptos"/>
          </w:rPr>
          <w:fldChar w:fldCharType="begin"/>
        </w:r>
        <w:r w:rsidRPr="007D0F10">
          <w:rPr>
            <w:rFonts w:ascii="Aptos" w:hAnsi="Aptos"/>
          </w:rPr>
          <w:instrText xml:space="preserve"> PAGE   \* MERGEFORMAT </w:instrText>
        </w:r>
        <w:r w:rsidRPr="007D0F10">
          <w:rPr>
            <w:rFonts w:ascii="Aptos" w:hAnsi="Aptos"/>
          </w:rPr>
          <w:fldChar w:fldCharType="separate"/>
        </w:r>
        <w:r w:rsidRPr="007D0F10">
          <w:rPr>
            <w:rFonts w:ascii="Aptos" w:hAnsi="Aptos"/>
            <w:noProof/>
          </w:rPr>
          <w:t>2</w:t>
        </w:r>
        <w:r w:rsidRPr="007D0F10">
          <w:rPr>
            <w:rFonts w:ascii="Aptos" w:hAnsi="Aptos"/>
            <w:noProof/>
          </w:rPr>
          <w:fldChar w:fldCharType="end"/>
        </w:r>
      </w:p>
    </w:sdtContent>
  </w:sdt>
  <w:p w14:paraId="3A354403" w14:textId="77777777" w:rsidR="001B0C3B" w:rsidRPr="007D0F10" w:rsidRDefault="001B0C3B">
    <w:pPr>
      <w:pStyle w:val="Footer"/>
      <w:rPr>
        <w:rFonts w:ascii="Aptos" w:hAnsi="Apt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41539" w14:textId="77777777" w:rsidR="005B3B4D" w:rsidRDefault="005B3B4D" w:rsidP="001B0C3B">
      <w:pPr>
        <w:spacing w:after="0" w:line="240" w:lineRule="auto"/>
      </w:pPr>
      <w:r>
        <w:separator/>
      </w:r>
    </w:p>
  </w:footnote>
  <w:footnote w:type="continuationSeparator" w:id="0">
    <w:p w14:paraId="223B30AC" w14:textId="77777777" w:rsidR="005B3B4D" w:rsidRDefault="005B3B4D" w:rsidP="001B0C3B">
      <w:pPr>
        <w:spacing w:after="0" w:line="240" w:lineRule="auto"/>
      </w:pPr>
      <w:r>
        <w:continuationSeparator/>
      </w:r>
    </w:p>
  </w:footnote>
  <w:footnote w:id="1">
    <w:p w14:paraId="656739AD" w14:textId="5D9E89C4" w:rsidR="00D04DA1" w:rsidRPr="006E064C" w:rsidRDefault="00D04DA1"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CD A.16. </w:t>
      </w:r>
    </w:p>
  </w:footnote>
  <w:footnote w:id="2">
    <w:p w14:paraId="4B361717" w14:textId="77777777" w:rsidR="006F7C84" w:rsidRPr="006E064C" w:rsidRDefault="006F7C84"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The “Scheme” also includes the construction of the access road on the Order Land. </w:t>
      </w:r>
    </w:p>
  </w:footnote>
  <w:footnote w:id="3">
    <w:p w14:paraId="3836F83D" w14:textId="7D324585" w:rsidR="000F458B" w:rsidRPr="006E064C" w:rsidRDefault="000F458B"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See Bristow proof </w:t>
      </w:r>
      <w:r w:rsidR="005B42EE" w:rsidRPr="006E064C">
        <w:rPr>
          <w:rFonts w:ascii="Aptos" w:hAnsi="Aptos"/>
        </w:rPr>
        <w:t xml:space="preserve">of evidence, </w:t>
      </w:r>
      <w:r w:rsidRPr="006E064C">
        <w:rPr>
          <w:rFonts w:ascii="Aptos" w:hAnsi="Aptos"/>
        </w:rPr>
        <w:t xml:space="preserve">Sections 16 and 17 (CD D.1). </w:t>
      </w:r>
    </w:p>
  </w:footnote>
  <w:footnote w:id="4">
    <w:p w14:paraId="7B2BBA29" w14:textId="2A1ABFAA" w:rsidR="00675C4C" w:rsidRPr="006E064C" w:rsidRDefault="00675C4C"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Bristow proof</w:t>
      </w:r>
      <w:r w:rsidR="005B42EE" w:rsidRPr="006E064C">
        <w:rPr>
          <w:rFonts w:ascii="Aptos" w:hAnsi="Aptos"/>
        </w:rPr>
        <w:t xml:space="preserve"> of evidence</w:t>
      </w:r>
      <w:r w:rsidRPr="006E064C">
        <w:rPr>
          <w:rFonts w:ascii="Aptos" w:hAnsi="Aptos"/>
        </w:rPr>
        <w:t xml:space="preserve"> para. 16.47 ff. (CD D.1). </w:t>
      </w:r>
    </w:p>
  </w:footnote>
  <w:footnote w:id="5">
    <w:p w14:paraId="312A2CC1" w14:textId="21B7DB76" w:rsidR="005C4E13" w:rsidRPr="006E064C" w:rsidRDefault="005C4E13"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See the Council’s Statement of Case (CD A.16) </w:t>
      </w:r>
      <w:r w:rsidR="00913385" w:rsidRPr="006E064C">
        <w:rPr>
          <w:rFonts w:ascii="Aptos" w:hAnsi="Aptos"/>
        </w:rPr>
        <w:t>at para. 2.1 ff.</w:t>
      </w:r>
    </w:p>
  </w:footnote>
  <w:footnote w:id="6">
    <w:p w14:paraId="4BF2E52E" w14:textId="2DBA7DEF" w:rsidR="00177892" w:rsidRPr="006E064C" w:rsidRDefault="00177892"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CD A.8. </w:t>
      </w:r>
    </w:p>
  </w:footnote>
  <w:footnote w:id="7">
    <w:p w14:paraId="358FB89A" w14:textId="77777777" w:rsidR="00DA0A62" w:rsidRPr="006E064C" w:rsidRDefault="00DA0A62"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Martlet is a </w:t>
      </w:r>
      <w:proofErr w:type="gramStart"/>
      <w:r w:rsidRPr="006E064C">
        <w:rPr>
          <w:rFonts w:ascii="Aptos" w:hAnsi="Aptos"/>
        </w:rPr>
        <w:t>wholly-owned</w:t>
      </w:r>
      <w:proofErr w:type="gramEnd"/>
      <w:r w:rsidRPr="006E064C">
        <w:rPr>
          <w:rFonts w:ascii="Aptos" w:hAnsi="Aptos"/>
        </w:rPr>
        <w:t xml:space="preserve"> subsidiary within the Hyde Group of companies (“</w:t>
      </w:r>
      <w:r w:rsidRPr="006E064C">
        <w:rPr>
          <w:rFonts w:ascii="Aptos" w:hAnsi="Aptos"/>
          <w:b/>
          <w:bCs/>
        </w:rPr>
        <w:t>Hyde</w:t>
      </w:r>
      <w:r w:rsidRPr="006E064C">
        <w:rPr>
          <w:rFonts w:ascii="Aptos" w:hAnsi="Aptos"/>
        </w:rPr>
        <w:t>”) (CD D.1 para. 3.18).</w:t>
      </w:r>
    </w:p>
  </w:footnote>
  <w:footnote w:id="8">
    <w:p w14:paraId="31A50695" w14:textId="77777777" w:rsidR="00D64AEF" w:rsidRPr="006E064C" w:rsidRDefault="00D64AEF" w:rsidP="003E704B">
      <w:pPr>
        <w:pStyle w:val="FootnoteText"/>
        <w:jc w:val="both"/>
        <w:rPr>
          <w:rFonts w:ascii="Aptos" w:hAnsi="Aptos" w:cstheme="minorHAnsi"/>
        </w:rPr>
      </w:pPr>
      <w:r w:rsidRPr="006E064C">
        <w:rPr>
          <w:rStyle w:val="FootnoteReference"/>
          <w:rFonts w:ascii="Aptos" w:hAnsi="Aptos" w:cstheme="minorHAnsi"/>
        </w:rPr>
        <w:footnoteRef/>
      </w:r>
      <w:r w:rsidRPr="006E064C">
        <w:rPr>
          <w:rFonts w:ascii="Aptos" w:hAnsi="Aptos" w:cstheme="minorHAnsi"/>
          <w:lang w:val="fr-FR"/>
        </w:rPr>
        <w:t xml:space="preserve"> CD A.8 paras. </w:t>
      </w:r>
      <w:r w:rsidRPr="006E064C">
        <w:rPr>
          <w:rFonts w:ascii="Aptos" w:hAnsi="Aptos" w:cstheme="minorHAnsi"/>
        </w:rPr>
        <w:t xml:space="preserve">13 and 104. </w:t>
      </w:r>
    </w:p>
  </w:footnote>
  <w:footnote w:id="9">
    <w:p w14:paraId="773DB7F7" w14:textId="4C757171" w:rsidR="00CC12E2" w:rsidRPr="006E064C" w:rsidRDefault="00CC12E2"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CD D.1. </w:t>
      </w:r>
    </w:p>
  </w:footnote>
  <w:footnote w:id="10">
    <w:p w14:paraId="25D41C21" w14:textId="77777777" w:rsidR="00DA1684" w:rsidRPr="006E064C" w:rsidRDefault="00DA1684" w:rsidP="003E704B">
      <w:pPr>
        <w:pStyle w:val="FootnoteText"/>
        <w:jc w:val="both"/>
        <w:rPr>
          <w:rFonts w:ascii="Aptos" w:hAnsi="Aptos" w:cstheme="minorHAnsi"/>
        </w:rPr>
      </w:pPr>
      <w:r w:rsidRPr="006E064C">
        <w:rPr>
          <w:rStyle w:val="FootnoteReference"/>
          <w:rFonts w:ascii="Aptos" w:hAnsi="Aptos" w:cstheme="minorHAnsi"/>
        </w:rPr>
        <w:footnoteRef/>
      </w:r>
      <w:r w:rsidRPr="006E064C">
        <w:rPr>
          <w:rFonts w:ascii="Aptos" w:hAnsi="Aptos" w:cstheme="minorHAnsi"/>
        </w:rPr>
        <w:t xml:space="preserve"> See CD5.01 (2019 Guidance), para. 106 (first bullet point). Mr Bristow’s proof of evidence (CD D.1) at Section 8 provides further detail. </w:t>
      </w:r>
    </w:p>
  </w:footnote>
  <w:footnote w:id="11">
    <w:p w14:paraId="5547D2BD" w14:textId="77777777" w:rsidR="00DA1684" w:rsidRPr="006E064C" w:rsidRDefault="00DA1684"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Appendix 12 to Bristow proof of evidence – CD D.2. </w:t>
      </w:r>
    </w:p>
  </w:footnote>
  <w:footnote w:id="12">
    <w:p w14:paraId="3F6C71B4" w14:textId="77777777" w:rsidR="00DA1684" w:rsidRPr="006E064C" w:rsidRDefault="00DA1684"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Appendix 14 to Bristow proof of evidence – CD D.2.</w:t>
      </w:r>
    </w:p>
  </w:footnote>
  <w:footnote w:id="13">
    <w:p w14:paraId="3E52E673" w14:textId="77777777" w:rsidR="00DA1684" w:rsidRPr="006E064C" w:rsidRDefault="00DA1684"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Appendix 16 to Bristow proof of evidence – CD D.2.</w:t>
      </w:r>
    </w:p>
  </w:footnote>
  <w:footnote w:id="14">
    <w:p w14:paraId="0BCB33AC" w14:textId="3A249698" w:rsidR="009E583D" w:rsidRPr="006E064C" w:rsidRDefault="009E583D"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CD C.4. </w:t>
      </w:r>
    </w:p>
  </w:footnote>
  <w:footnote w:id="15">
    <w:p w14:paraId="39C3C685" w14:textId="77777777" w:rsidR="00F103BF" w:rsidRPr="006E064C" w:rsidRDefault="00F103BF"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Section 3.5, p. 11. </w:t>
      </w:r>
    </w:p>
  </w:footnote>
  <w:footnote w:id="16">
    <w:p w14:paraId="26A3AC0B" w14:textId="77777777" w:rsidR="00F103BF" w:rsidRPr="006E064C" w:rsidRDefault="00F103BF"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Given in principle subject to s. 106 obligation. </w:t>
      </w:r>
    </w:p>
  </w:footnote>
  <w:footnote w:id="17">
    <w:p w14:paraId="700BDFA9" w14:textId="77777777" w:rsidR="00F103BF" w:rsidRPr="006E064C" w:rsidRDefault="00F103BF"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Policy 5. </w:t>
      </w:r>
    </w:p>
  </w:footnote>
  <w:footnote w:id="18">
    <w:p w14:paraId="4DE541F2" w14:textId="5DC3B4DC" w:rsidR="00AA0AA5" w:rsidRPr="006E064C" w:rsidRDefault="00AA0AA5"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CD C.4, p. 33. </w:t>
      </w:r>
    </w:p>
  </w:footnote>
  <w:footnote w:id="19">
    <w:p w14:paraId="3560FC92" w14:textId="67F21490" w:rsidR="00846376" w:rsidRPr="006E064C" w:rsidRDefault="00846376"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CD D.</w:t>
      </w:r>
      <w:r w:rsidR="00FD6C3E" w:rsidRPr="006E064C">
        <w:rPr>
          <w:rFonts w:ascii="Aptos" w:hAnsi="Aptos"/>
        </w:rPr>
        <w:t xml:space="preserve">5. </w:t>
      </w:r>
    </w:p>
  </w:footnote>
  <w:footnote w:id="20">
    <w:p w14:paraId="22A66ADC" w14:textId="1BA4E026" w:rsidR="0087247A" w:rsidRPr="006E064C" w:rsidRDefault="0087247A"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Para. 12.11 of Mr Bristow’s proof of evidence (CD D.1) refers.</w:t>
      </w:r>
      <w:r w:rsidR="003E704B">
        <w:rPr>
          <w:rFonts w:ascii="Aptos" w:hAnsi="Aptos"/>
        </w:rPr>
        <w:t xml:space="preserve"> Additionally, p</w:t>
      </w:r>
      <w:r w:rsidR="003E704B" w:rsidRPr="003E704B">
        <w:rPr>
          <w:rFonts w:ascii="Aptos" w:hAnsi="Aptos"/>
        </w:rPr>
        <w:t>lanning permission is granted for the work under Class A of Part 9 of Sch</w:t>
      </w:r>
      <w:r w:rsidR="003E704B">
        <w:rPr>
          <w:rFonts w:ascii="Aptos" w:hAnsi="Aptos"/>
        </w:rPr>
        <w:t>.</w:t>
      </w:r>
      <w:r w:rsidR="003E704B" w:rsidRPr="003E704B">
        <w:rPr>
          <w:rFonts w:ascii="Aptos" w:hAnsi="Aptos"/>
        </w:rPr>
        <w:t xml:space="preserve"> 2 to the </w:t>
      </w:r>
      <w:r w:rsidR="003E704B">
        <w:rPr>
          <w:rFonts w:ascii="Aptos" w:hAnsi="Aptos"/>
        </w:rPr>
        <w:t>Town and Country Planning (General Permitted Development) (England) Order 2015.</w:t>
      </w:r>
    </w:p>
  </w:footnote>
  <w:footnote w:id="21">
    <w:p w14:paraId="3866383C" w14:textId="77777777" w:rsidR="00D60B21" w:rsidRPr="006E064C" w:rsidRDefault="00D60B21"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CD A.8 para. 106, bullet point 2. </w:t>
      </w:r>
    </w:p>
  </w:footnote>
  <w:footnote w:id="22">
    <w:p w14:paraId="44881795" w14:textId="77777777" w:rsidR="00D60B21" w:rsidRPr="006E064C" w:rsidRDefault="00D60B21"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CD D.1. </w:t>
      </w:r>
    </w:p>
  </w:footnote>
  <w:footnote w:id="23">
    <w:p w14:paraId="33FD9B67" w14:textId="77777777" w:rsidR="00D60B21" w:rsidRPr="006E064C" w:rsidRDefault="00D60B21"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Bristow proof of evidence (CD D.1) para. 9.9. </w:t>
      </w:r>
    </w:p>
  </w:footnote>
  <w:footnote w:id="24">
    <w:p w14:paraId="233F83F4" w14:textId="77777777" w:rsidR="00D60B21" w:rsidRPr="006E064C" w:rsidRDefault="00D60B21"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“Housing and Economic Development Needs Assessment”, undertaken by the Council as part of its Local Plan review. See Bristow proof of evidence (CD D.1) at para. 9.2.</w:t>
      </w:r>
    </w:p>
  </w:footnote>
  <w:footnote w:id="25">
    <w:p w14:paraId="56B5F0B2" w14:textId="77777777" w:rsidR="00D60B21" w:rsidRPr="006E064C" w:rsidRDefault="00D60B21"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See Bristow proof of evidence (CD D.1)</w:t>
      </w:r>
      <w:r w:rsidRPr="006E064C">
        <w:rPr>
          <w:rFonts w:ascii="Aptos" w:hAnsi="Aptos"/>
          <w:i/>
          <w:iCs/>
        </w:rPr>
        <w:t xml:space="preserve"> </w:t>
      </w:r>
      <w:r w:rsidRPr="006E064C">
        <w:rPr>
          <w:rFonts w:ascii="Aptos" w:hAnsi="Aptos"/>
        </w:rPr>
        <w:t xml:space="preserve">para. 9.6. </w:t>
      </w:r>
    </w:p>
  </w:footnote>
  <w:footnote w:id="26">
    <w:p w14:paraId="51B0B6E8" w14:textId="4D9E3B4F" w:rsidR="00144827" w:rsidRPr="006E064C" w:rsidRDefault="00144827"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Appendix SP13 to Poulter proof of evidence (CD </w:t>
      </w:r>
      <w:r w:rsidR="005B0AB3" w:rsidRPr="006E064C">
        <w:rPr>
          <w:rFonts w:ascii="Aptos" w:hAnsi="Aptos"/>
        </w:rPr>
        <w:t xml:space="preserve">D.8). </w:t>
      </w:r>
    </w:p>
  </w:footnote>
  <w:footnote w:id="27">
    <w:p w14:paraId="10E17DC9" w14:textId="77777777" w:rsidR="00DF5B18" w:rsidRPr="006E064C" w:rsidRDefault="00DF5B18"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2019 Guidance (CD A.8) at paras. 13 and 106 (fourth bullet point). </w:t>
      </w:r>
    </w:p>
  </w:footnote>
  <w:footnote w:id="28">
    <w:p w14:paraId="35A33820" w14:textId="77777777" w:rsidR="00DF5B18" w:rsidRPr="006E064C" w:rsidRDefault="00DF5B18"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CD D.7. </w:t>
      </w:r>
    </w:p>
  </w:footnote>
  <w:footnote w:id="29">
    <w:p w14:paraId="047FDDF4" w14:textId="3E40E73F" w:rsidR="0031604D" w:rsidRPr="006E064C" w:rsidRDefault="0031604D"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Poulter proof, para. 7.6. </w:t>
      </w:r>
    </w:p>
  </w:footnote>
  <w:footnote w:id="30">
    <w:p w14:paraId="43B926ED" w14:textId="017C7D5E" w:rsidR="00DA3C20" w:rsidRPr="006E064C" w:rsidRDefault="00DA3C20"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CD A.8</w:t>
      </w:r>
      <w:r w:rsidR="00A70573" w:rsidRPr="006E064C">
        <w:rPr>
          <w:rFonts w:ascii="Aptos" w:hAnsi="Aptos"/>
        </w:rPr>
        <w:t xml:space="preserve"> para. 2. </w:t>
      </w:r>
    </w:p>
  </w:footnote>
  <w:footnote w:id="31">
    <w:p w14:paraId="53B15AF4" w14:textId="77777777" w:rsidR="005E29E6" w:rsidRPr="006E064C" w:rsidRDefault="005E29E6"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CD A.8, para. 15. </w:t>
      </w:r>
    </w:p>
  </w:footnote>
  <w:footnote w:id="32">
    <w:p w14:paraId="55FB174F" w14:textId="77777777" w:rsidR="005E29E6" w:rsidRPr="006E064C" w:rsidRDefault="005E29E6"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Bristow proof (CD D.1) at para. 12.9. </w:t>
      </w:r>
    </w:p>
  </w:footnote>
  <w:footnote w:id="33">
    <w:p w14:paraId="1CBA1548" w14:textId="77777777" w:rsidR="005E29E6" w:rsidRPr="006E064C" w:rsidRDefault="005E29E6"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CD D.1 at paras. 12.11 to 12.14. </w:t>
      </w:r>
    </w:p>
  </w:footnote>
  <w:footnote w:id="34">
    <w:p w14:paraId="0217A28B" w14:textId="2855D2C2" w:rsidR="000A488B" w:rsidRPr="006E064C" w:rsidRDefault="000A488B"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Listed at para. 2 above.</w:t>
      </w:r>
    </w:p>
  </w:footnote>
  <w:footnote w:id="35">
    <w:p w14:paraId="614992CB" w14:textId="77777777" w:rsidR="006A50DA" w:rsidRPr="006E064C" w:rsidRDefault="006A50DA"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CD A.8. </w:t>
      </w:r>
    </w:p>
  </w:footnote>
  <w:footnote w:id="36">
    <w:p w14:paraId="08F0B292" w14:textId="77777777" w:rsidR="00487B53" w:rsidRPr="006E064C" w:rsidRDefault="00487B53"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CD D.4.</w:t>
      </w:r>
    </w:p>
  </w:footnote>
  <w:footnote w:id="37">
    <w:p w14:paraId="2E2287CF" w14:textId="77777777" w:rsidR="00FF37C8" w:rsidRPr="006E064C" w:rsidRDefault="00FF37C8"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2019 Guidance (CD A.8) para. 106, third bullet point.</w:t>
      </w:r>
    </w:p>
  </w:footnote>
  <w:footnote w:id="38">
    <w:p w14:paraId="7DC0D85A" w14:textId="77777777" w:rsidR="00FF37C8" w:rsidRPr="006E064C" w:rsidRDefault="00FF37C8"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CD D.1 and CD D.7, respectively. </w:t>
      </w:r>
    </w:p>
  </w:footnote>
  <w:footnote w:id="39">
    <w:p w14:paraId="71C7B018" w14:textId="50BA18EC" w:rsidR="00C51030" w:rsidRPr="006E064C" w:rsidRDefault="00C51030"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Poulter proof of evidence at para. 3.7 (CD D.</w:t>
      </w:r>
      <w:r w:rsidR="0073578F" w:rsidRPr="006E064C">
        <w:rPr>
          <w:rFonts w:ascii="Aptos" w:hAnsi="Aptos"/>
        </w:rPr>
        <w:t xml:space="preserve">7). </w:t>
      </w:r>
    </w:p>
  </w:footnote>
  <w:footnote w:id="40">
    <w:p w14:paraId="34E7CF11" w14:textId="3F4573C6" w:rsidR="000774FF" w:rsidRPr="006E064C" w:rsidRDefault="000774FF"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w:t>
      </w:r>
      <w:r w:rsidR="00CD5DD8" w:rsidRPr="006E064C">
        <w:rPr>
          <w:rFonts w:ascii="Aptos" w:hAnsi="Aptos"/>
        </w:rPr>
        <w:t xml:space="preserve">CD D.10. </w:t>
      </w:r>
    </w:p>
  </w:footnote>
  <w:footnote w:id="41">
    <w:p w14:paraId="4163FC20" w14:textId="77777777" w:rsidR="00E1140C" w:rsidRPr="006E064C" w:rsidRDefault="00E1140C"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Appendix SP13 to Poulter proof of evidence (CD D.8). </w:t>
      </w:r>
    </w:p>
  </w:footnote>
  <w:footnote w:id="42">
    <w:p w14:paraId="6410A15F" w14:textId="0B964BB8" w:rsidR="003454CB" w:rsidRPr="006E064C" w:rsidRDefault="003454CB"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CD C.4 at Section 3.5. </w:t>
      </w:r>
    </w:p>
  </w:footnote>
  <w:footnote w:id="43">
    <w:p w14:paraId="3F08EBD3" w14:textId="31C98645" w:rsidR="009F7732" w:rsidRPr="006E064C" w:rsidRDefault="009F7732"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Subject to s. 106 obligations. </w:t>
      </w:r>
    </w:p>
  </w:footnote>
  <w:footnote w:id="44">
    <w:p w14:paraId="1A2594B5" w14:textId="77777777" w:rsidR="00483BC2" w:rsidRPr="006E064C" w:rsidRDefault="00483BC2"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2019 Guidance (CD A.8), paras. 2 and 12. </w:t>
      </w:r>
    </w:p>
  </w:footnote>
  <w:footnote w:id="45">
    <w:p w14:paraId="09878BDF" w14:textId="77777777" w:rsidR="006C3376" w:rsidRPr="006E064C" w:rsidRDefault="006C3376"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CD A.8. </w:t>
      </w:r>
    </w:p>
  </w:footnote>
  <w:footnote w:id="46">
    <w:p w14:paraId="7518CCF3" w14:textId="77777777" w:rsidR="00D22318" w:rsidRPr="006E064C" w:rsidRDefault="00D22318"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2019 Guidance (CD A.8), para. 6. </w:t>
      </w:r>
    </w:p>
  </w:footnote>
  <w:footnote w:id="47">
    <w:p w14:paraId="537B8368" w14:textId="77777777" w:rsidR="00D22318" w:rsidRPr="006E064C" w:rsidRDefault="00D22318"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CD D.1. </w:t>
      </w:r>
    </w:p>
  </w:footnote>
  <w:footnote w:id="48">
    <w:p w14:paraId="5A7F285F" w14:textId="7131833E" w:rsidR="00300611" w:rsidRPr="006E064C" w:rsidRDefault="00300611"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A copy of the Schedule can be found in Appendix 1 to Ms Blackman’s rebuttal (CD D.</w:t>
      </w:r>
      <w:r w:rsidR="005D78C9" w:rsidRPr="006E064C">
        <w:rPr>
          <w:rFonts w:ascii="Aptos" w:hAnsi="Aptos"/>
        </w:rPr>
        <w:t xml:space="preserve">11). </w:t>
      </w:r>
    </w:p>
  </w:footnote>
  <w:footnote w:id="49">
    <w:p w14:paraId="3BF88FAD" w14:textId="77777777" w:rsidR="005060C8" w:rsidRPr="006E064C" w:rsidRDefault="005060C8"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CD A.8 paras. 2 and 12. </w:t>
      </w:r>
    </w:p>
  </w:footnote>
  <w:footnote w:id="50">
    <w:p w14:paraId="3F41CE19" w14:textId="5837AAC0" w:rsidR="00095786" w:rsidRPr="006E064C" w:rsidRDefault="00095786" w:rsidP="003E704B">
      <w:pPr>
        <w:pStyle w:val="FootnoteText"/>
        <w:jc w:val="both"/>
        <w:rPr>
          <w:rFonts w:ascii="Aptos" w:hAnsi="Aptos"/>
        </w:rPr>
      </w:pPr>
      <w:r w:rsidRPr="006E064C">
        <w:rPr>
          <w:rStyle w:val="FootnoteReference"/>
          <w:rFonts w:ascii="Aptos" w:hAnsi="Aptos"/>
        </w:rPr>
        <w:footnoteRef/>
      </w:r>
      <w:r w:rsidRPr="006E064C">
        <w:rPr>
          <w:rFonts w:ascii="Aptos" w:hAnsi="Aptos"/>
        </w:rPr>
        <w:t xml:space="preserve"> CD A.8.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951A3"/>
    <w:multiLevelType w:val="multilevel"/>
    <w:tmpl w:val="EEF03666"/>
    <w:lvl w:ilvl="0">
      <w:start w:val="1"/>
      <w:numFmt w:val="decimal"/>
      <w:lvlText w:val="%1."/>
      <w:lvlJc w:val="left"/>
      <w:pPr>
        <w:ind w:left="360" w:hanging="360"/>
      </w:pPr>
      <w:rPr>
        <w:rFonts w:hint="default"/>
        <w:i w:val="0"/>
        <w:iCs w:val="0"/>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010816"/>
    <w:multiLevelType w:val="hybridMultilevel"/>
    <w:tmpl w:val="9D380E0A"/>
    <w:lvl w:ilvl="0" w:tplc="DC042FE4">
      <w:start w:val="1"/>
      <w:numFmt w:val="decimal"/>
      <w:lvlText w:val="(%1)"/>
      <w:lvlJc w:val="left"/>
      <w:pPr>
        <w:ind w:left="1800" w:hanging="360"/>
      </w:pPr>
      <w:rPr>
        <w:rFonts w:ascii="Times New Roman" w:eastAsiaTheme="minorHAnsi" w:hAnsi="Times New Roman"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E5F31FA"/>
    <w:multiLevelType w:val="hybridMultilevel"/>
    <w:tmpl w:val="07DE51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6905672"/>
    <w:multiLevelType w:val="hybridMultilevel"/>
    <w:tmpl w:val="0908C44E"/>
    <w:lvl w:ilvl="0" w:tplc="B532ED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3850FD"/>
    <w:multiLevelType w:val="hybridMultilevel"/>
    <w:tmpl w:val="2788EE06"/>
    <w:lvl w:ilvl="0" w:tplc="37B6AE7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53F40F56"/>
    <w:multiLevelType w:val="hybridMultilevel"/>
    <w:tmpl w:val="77DCD6DC"/>
    <w:lvl w:ilvl="0" w:tplc="C046D4F6">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B36839"/>
    <w:multiLevelType w:val="multilevel"/>
    <w:tmpl w:val="840422E0"/>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rPr>
        <w:i w:val="0"/>
        <w:iCs w:val="0"/>
      </w:rPr>
    </w:lvl>
    <w:lvl w:ilvl="3">
      <w:start w:val="1"/>
      <w:numFmt w:val="decimal"/>
      <w:lvlText w:val="%1.%2.%3.%4."/>
      <w:lvlJc w:val="left"/>
      <w:pPr>
        <w:ind w:left="1701" w:hanging="62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9D510FD"/>
    <w:multiLevelType w:val="hybridMultilevel"/>
    <w:tmpl w:val="3FEE183C"/>
    <w:lvl w:ilvl="0" w:tplc="FDDEF316">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57FD1"/>
    <w:multiLevelType w:val="hybridMultilevel"/>
    <w:tmpl w:val="CB0660D0"/>
    <w:lvl w:ilvl="0" w:tplc="96EA1A1E">
      <w:start w:val="1"/>
      <w:numFmt w:val="decimal"/>
      <w:lvlText w:val="(%1)"/>
      <w:lvlJc w:val="left"/>
      <w:pPr>
        <w:ind w:left="1800" w:hanging="360"/>
      </w:pPr>
      <w:rPr>
        <w:rFonts w:eastAsia="Times New Roman" w:hint="default"/>
        <w:color w:val="000000"/>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6D547636"/>
    <w:multiLevelType w:val="hybridMultilevel"/>
    <w:tmpl w:val="5C9C40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DA225CC"/>
    <w:multiLevelType w:val="hybridMultilevel"/>
    <w:tmpl w:val="D494B766"/>
    <w:lvl w:ilvl="0" w:tplc="192898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18C54A7"/>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1D37AA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32E76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62888337">
    <w:abstractNumId w:val="0"/>
  </w:num>
  <w:num w:numId="2" w16cid:durableId="656306193">
    <w:abstractNumId w:val="8"/>
  </w:num>
  <w:num w:numId="3" w16cid:durableId="1637753665">
    <w:abstractNumId w:val="4"/>
  </w:num>
  <w:num w:numId="4" w16cid:durableId="780799674">
    <w:abstractNumId w:val="1"/>
  </w:num>
  <w:num w:numId="5" w16cid:durableId="76756727">
    <w:abstractNumId w:val="3"/>
  </w:num>
  <w:num w:numId="6" w16cid:durableId="977302282">
    <w:abstractNumId w:val="10"/>
  </w:num>
  <w:num w:numId="7" w16cid:durableId="282536035">
    <w:abstractNumId w:val="2"/>
  </w:num>
  <w:num w:numId="8" w16cid:durableId="60255669">
    <w:abstractNumId w:val="7"/>
  </w:num>
  <w:num w:numId="9" w16cid:durableId="18968196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9992433">
    <w:abstractNumId w:val="11"/>
  </w:num>
  <w:num w:numId="11" w16cid:durableId="350569335">
    <w:abstractNumId w:val="12"/>
  </w:num>
  <w:num w:numId="12" w16cid:durableId="12284217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8461469">
    <w:abstractNumId w:val="13"/>
  </w:num>
  <w:num w:numId="14" w16cid:durableId="3028504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3B"/>
    <w:rsid w:val="00001E12"/>
    <w:rsid w:val="000078FF"/>
    <w:rsid w:val="000130ED"/>
    <w:rsid w:val="00013D0A"/>
    <w:rsid w:val="00013FBE"/>
    <w:rsid w:val="00015047"/>
    <w:rsid w:val="00021AC2"/>
    <w:rsid w:val="00021D9E"/>
    <w:rsid w:val="0004146E"/>
    <w:rsid w:val="00044FCE"/>
    <w:rsid w:val="00044FD0"/>
    <w:rsid w:val="000450AE"/>
    <w:rsid w:val="0004522E"/>
    <w:rsid w:val="000500C3"/>
    <w:rsid w:val="00050905"/>
    <w:rsid w:val="000529B5"/>
    <w:rsid w:val="00054AE7"/>
    <w:rsid w:val="00055772"/>
    <w:rsid w:val="0005755E"/>
    <w:rsid w:val="00061E5D"/>
    <w:rsid w:val="00062D5D"/>
    <w:rsid w:val="000654C0"/>
    <w:rsid w:val="00067D94"/>
    <w:rsid w:val="000703FD"/>
    <w:rsid w:val="00072B51"/>
    <w:rsid w:val="0007415D"/>
    <w:rsid w:val="000774FF"/>
    <w:rsid w:val="000831EA"/>
    <w:rsid w:val="00083E05"/>
    <w:rsid w:val="0008405C"/>
    <w:rsid w:val="00095786"/>
    <w:rsid w:val="000973E7"/>
    <w:rsid w:val="000A488B"/>
    <w:rsid w:val="000A55F4"/>
    <w:rsid w:val="000B7490"/>
    <w:rsid w:val="000B7AEC"/>
    <w:rsid w:val="000C100C"/>
    <w:rsid w:val="000C48F8"/>
    <w:rsid w:val="000E7FAC"/>
    <w:rsid w:val="000F15CB"/>
    <w:rsid w:val="000F3526"/>
    <w:rsid w:val="000F458B"/>
    <w:rsid w:val="001003A4"/>
    <w:rsid w:val="001022FD"/>
    <w:rsid w:val="00103F2F"/>
    <w:rsid w:val="00105385"/>
    <w:rsid w:val="001060B2"/>
    <w:rsid w:val="00110CE6"/>
    <w:rsid w:val="00112A99"/>
    <w:rsid w:val="00114748"/>
    <w:rsid w:val="00114DF0"/>
    <w:rsid w:val="00115514"/>
    <w:rsid w:val="00123A0C"/>
    <w:rsid w:val="00124590"/>
    <w:rsid w:val="00125804"/>
    <w:rsid w:val="00130E15"/>
    <w:rsid w:val="0013140F"/>
    <w:rsid w:val="00131916"/>
    <w:rsid w:val="00135899"/>
    <w:rsid w:val="00141A92"/>
    <w:rsid w:val="00144827"/>
    <w:rsid w:val="00150598"/>
    <w:rsid w:val="00151F39"/>
    <w:rsid w:val="00154D4B"/>
    <w:rsid w:val="00162B80"/>
    <w:rsid w:val="00171E7F"/>
    <w:rsid w:val="001721D8"/>
    <w:rsid w:val="0017510B"/>
    <w:rsid w:val="00177540"/>
    <w:rsid w:val="00177892"/>
    <w:rsid w:val="00177D98"/>
    <w:rsid w:val="00180CD1"/>
    <w:rsid w:val="00184A2C"/>
    <w:rsid w:val="00187321"/>
    <w:rsid w:val="001A4C01"/>
    <w:rsid w:val="001B03C5"/>
    <w:rsid w:val="001B0C3B"/>
    <w:rsid w:val="001B28F8"/>
    <w:rsid w:val="001C034A"/>
    <w:rsid w:val="001C3804"/>
    <w:rsid w:val="001C5227"/>
    <w:rsid w:val="001C5327"/>
    <w:rsid w:val="001C7B77"/>
    <w:rsid w:val="001D48FF"/>
    <w:rsid w:val="001D5F65"/>
    <w:rsid w:val="001D6B7F"/>
    <w:rsid w:val="001E0F18"/>
    <w:rsid w:val="001E29F3"/>
    <w:rsid w:val="001E5182"/>
    <w:rsid w:val="001E5860"/>
    <w:rsid w:val="001E643B"/>
    <w:rsid w:val="001E6DF3"/>
    <w:rsid w:val="001F1219"/>
    <w:rsid w:val="001F5B8C"/>
    <w:rsid w:val="001F6090"/>
    <w:rsid w:val="002023E1"/>
    <w:rsid w:val="00204DE4"/>
    <w:rsid w:val="002063FE"/>
    <w:rsid w:val="0020770A"/>
    <w:rsid w:val="00210595"/>
    <w:rsid w:val="00213C07"/>
    <w:rsid w:val="002144EF"/>
    <w:rsid w:val="00214F14"/>
    <w:rsid w:val="002171F1"/>
    <w:rsid w:val="00220215"/>
    <w:rsid w:val="00223DDD"/>
    <w:rsid w:val="00231EA9"/>
    <w:rsid w:val="00232D56"/>
    <w:rsid w:val="00234766"/>
    <w:rsid w:val="00236ED3"/>
    <w:rsid w:val="00247923"/>
    <w:rsid w:val="00255BB0"/>
    <w:rsid w:val="00256C4C"/>
    <w:rsid w:val="00261415"/>
    <w:rsid w:val="00272127"/>
    <w:rsid w:val="00272AC4"/>
    <w:rsid w:val="0027306C"/>
    <w:rsid w:val="00274C9E"/>
    <w:rsid w:val="00277D82"/>
    <w:rsid w:val="002814F0"/>
    <w:rsid w:val="00290FCD"/>
    <w:rsid w:val="0029115C"/>
    <w:rsid w:val="00297E00"/>
    <w:rsid w:val="002A4367"/>
    <w:rsid w:val="002A57B0"/>
    <w:rsid w:val="002A67C1"/>
    <w:rsid w:val="002B1AEC"/>
    <w:rsid w:val="002B284D"/>
    <w:rsid w:val="002B3BD9"/>
    <w:rsid w:val="002B6E22"/>
    <w:rsid w:val="002B7013"/>
    <w:rsid w:val="002C285F"/>
    <w:rsid w:val="002C3E24"/>
    <w:rsid w:val="002D2C2F"/>
    <w:rsid w:val="002D2C55"/>
    <w:rsid w:val="002D4F44"/>
    <w:rsid w:val="002D674E"/>
    <w:rsid w:val="002E4591"/>
    <w:rsid w:val="00300611"/>
    <w:rsid w:val="00303BA9"/>
    <w:rsid w:val="0031604D"/>
    <w:rsid w:val="00317D16"/>
    <w:rsid w:val="00321B61"/>
    <w:rsid w:val="00337B1D"/>
    <w:rsid w:val="00343565"/>
    <w:rsid w:val="00343FD3"/>
    <w:rsid w:val="00344288"/>
    <w:rsid w:val="003454CB"/>
    <w:rsid w:val="00350A17"/>
    <w:rsid w:val="00350C36"/>
    <w:rsid w:val="00350FE6"/>
    <w:rsid w:val="00353699"/>
    <w:rsid w:val="003545CD"/>
    <w:rsid w:val="003558D1"/>
    <w:rsid w:val="00356CE2"/>
    <w:rsid w:val="003574E6"/>
    <w:rsid w:val="0036192C"/>
    <w:rsid w:val="00362D45"/>
    <w:rsid w:val="00374F95"/>
    <w:rsid w:val="00382772"/>
    <w:rsid w:val="00386FA9"/>
    <w:rsid w:val="00392163"/>
    <w:rsid w:val="003A00EA"/>
    <w:rsid w:val="003A1C07"/>
    <w:rsid w:val="003A5C9F"/>
    <w:rsid w:val="003A69AC"/>
    <w:rsid w:val="003C185B"/>
    <w:rsid w:val="003C262F"/>
    <w:rsid w:val="003C2676"/>
    <w:rsid w:val="003C34CC"/>
    <w:rsid w:val="003C3850"/>
    <w:rsid w:val="003C6060"/>
    <w:rsid w:val="003D46C7"/>
    <w:rsid w:val="003D47BF"/>
    <w:rsid w:val="003E2287"/>
    <w:rsid w:val="003E4F89"/>
    <w:rsid w:val="003E54DD"/>
    <w:rsid w:val="003E704B"/>
    <w:rsid w:val="003E753C"/>
    <w:rsid w:val="003E761A"/>
    <w:rsid w:val="003F1C82"/>
    <w:rsid w:val="003F511D"/>
    <w:rsid w:val="00400BC0"/>
    <w:rsid w:val="00405AFB"/>
    <w:rsid w:val="00410D69"/>
    <w:rsid w:val="0041211A"/>
    <w:rsid w:val="00412B93"/>
    <w:rsid w:val="00416629"/>
    <w:rsid w:val="0042075D"/>
    <w:rsid w:val="00425972"/>
    <w:rsid w:val="00426D75"/>
    <w:rsid w:val="00430FF3"/>
    <w:rsid w:val="004332F6"/>
    <w:rsid w:val="0043510A"/>
    <w:rsid w:val="00437196"/>
    <w:rsid w:val="00437273"/>
    <w:rsid w:val="004438D7"/>
    <w:rsid w:val="00451839"/>
    <w:rsid w:val="004544D6"/>
    <w:rsid w:val="004555F3"/>
    <w:rsid w:val="0046048A"/>
    <w:rsid w:val="0046147D"/>
    <w:rsid w:val="00461B1F"/>
    <w:rsid w:val="00462D25"/>
    <w:rsid w:val="004651A7"/>
    <w:rsid w:val="00465D14"/>
    <w:rsid w:val="004666F2"/>
    <w:rsid w:val="004740EC"/>
    <w:rsid w:val="00476DD8"/>
    <w:rsid w:val="00480A9B"/>
    <w:rsid w:val="004824EE"/>
    <w:rsid w:val="00483BC2"/>
    <w:rsid w:val="00483EB1"/>
    <w:rsid w:val="0048523A"/>
    <w:rsid w:val="004859B8"/>
    <w:rsid w:val="00487B53"/>
    <w:rsid w:val="00490115"/>
    <w:rsid w:val="004904FF"/>
    <w:rsid w:val="00491693"/>
    <w:rsid w:val="004925F3"/>
    <w:rsid w:val="00492F86"/>
    <w:rsid w:val="00495AC5"/>
    <w:rsid w:val="004A3AD3"/>
    <w:rsid w:val="004A3D43"/>
    <w:rsid w:val="004A6A1F"/>
    <w:rsid w:val="004B6BAF"/>
    <w:rsid w:val="004C0B17"/>
    <w:rsid w:val="004C7643"/>
    <w:rsid w:val="004D1611"/>
    <w:rsid w:val="004D2C42"/>
    <w:rsid w:val="004D5BCC"/>
    <w:rsid w:val="004E1001"/>
    <w:rsid w:val="004E1E2C"/>
    <w:rsid w:val="004E5329"/>
    <w:rsid w:val="004E719C"/>
    <w:rsid w:val="004E78B0"/>
    <w:rsid w:val="004F0071"/>
    <w:rsid w:val="004F06A4"/>
    <w:rsid w:val="00500865"/>
    <w:rsid w:val="00505990"/>
    <w:rsid w:val="005060C8"/>
    <w:rsid w:val="00520924"/>
    <w:rsid w:val="00521547"/>
    <w:rsid w:val="0053048E"/>
    <w:rsid w:val="00540A91"/>
    <w:rsid w:val="0054333A"/>
    <w:rsid w:val="00545118"/>
    <w:rsid w:val="00546649"/>
    <w:rsid w:val="005522C0"/>
    <w:rsid w:val="00552BE8"/>
    <w:rsid w:val="005720DD"/>
    <w:rsid w:val="00572747"/>
    <w:rsid w:val="005854C5"/>
    <w:rsid w:val="00586476"/>
    <w:rsid w:val="005878B6"/>
    <w:rsid w:val="005A0365"/>
    <w:rsid w:val="005B065A"/>
    <w:rsid w:val="005B0AB3"/>
    <w:rsid w:val="005B2EA7"/>
    <w:rsid w:val="005B3B4D"/>
    <w:rsid w:val="005B3E9B"/>
    <w:rsid w:val="005B42EE"/>
    <w:rsid w:val="005B4E59"/>
    <w:rsid w:val="005B555E"/>
    <w:rsid w:val="005B67AC"/>
    <w:rsid w:val="005B7B1F"/>
    <w:rsid w:val="005C32CC"/>
    <w:rsid w:val="005C4E13"/>
    <w:rsid w:val="005C5CCB"/>
    <w:rsid w:val="005C6607"/>
    <w:rsid w:val="005D10E4"/>
    <w:rsid w:val="005D46D6"/>
    <w:rsid w:val="005D6C6E"/>
    <w:rsid w:val="005D78C9"/>
    <w:rsid w:val="005E29E6"/>
    <w:rsid w:val="005E37EE"/>
    <w:rsid w:val="005F0F2F"/>
    <w:rsid w:val="00611DCA"/>
    <w:rsid w:val="00613C4C"/>
    <w:rsid w:val="00613D60"/>
    <w:rsid w:val="00624947"/>
    <w:rsid w:val="00627CEB"/>
    <w:rsid w:val="00633C25"/>
    <w:rsid w:val="00633F79"/>
    <w:rsid w:val="00634C2B"/>
    <w:rsid w:val="00635307"/>
    <w:rsid w:val="00636926"/>
    <w:rsid w:val="006422E0"/>
    <w:rsid w:val="006426CD"/>
    <w:rsid w:val="006426DF"/>
    <w:rsid w:val="006440E4"/>
    <w:rsid w:val="00646B00"/>
    <w:rsid w:val="00647D7F"/>
    <w:rsid w:val="006618BD"/>
    <w:rsid w:val="00664217"/>
    <w:rsid w:val="00667F59"/>
    <w:rsid w:val="00667F93"/>
    <w:rsid w:val="006706CB"/>
    <w:rsid w:val="00670E06"/>
    <w:rsid w:val="006719E0"/>
    <w:rsid w:val="006736E0"/>
    <w:rsid w:val="00675C4C"/>
    <w:rsid w:val="00675FEB"/>
    <w:rsid w:val="006801B7"/>
    <w:rsid w:val="006843F7"/>
    <w:rsid w:val="00690272"/>
    <w:rsid w:val="00695549"/>
    <w:rsid w:val="006965E5"/>
    <w:rsid w:val="0069699F"/>
    <w:rsid w:val="00697729"/>
    <w:rsid w:val="006A1A0B"/>
    <w:rsid w:val="006A4BFD"/>
    <w:rsid w:val="006A50DA"/>
    <w:rsid w:val="006A5901"/>
    <w:rsid w:val="006A65AD"/>
    <w:rsid w:val="006B4013"/>
    <w:rsid w:val="006B630D"/>
    <w:rsid w:val="006B75AC"/>
    <w:rsid w:val="006C04FE"/>
    <w:rsid w:val="006C1C54"/>
    <w:rsid w:val="006C2C03"/>
    <w:rsid w:val="006C3376"/>
    <w:rsid w:val="006D0469"/>
    <w:rsid w:val="006D1E5F"/>
    <w:rsid w:val="006D2E3D"/>
    <w:rsid w:val="006D375A"/>
    <w:rsid w:val="006D4536"/>
    <w:rsid w:val="006E064C"/>
    <w:rsid w:val="006E37ED"/>
    <w:rsid w:val="006E4F32"/>
    <w:rsid w:val="006F00A3"/>
    <w:rsid w:val="006F760E"/>
    <w:rsid w:val="006F7C84"/>
    <w:rsid w:val="0070282D"/>
    <w:rsid w:val="007029E1"/>
    <w:rsid w:val="00733E16"/>
    <w:rsid w:val="007345A2"/>
    <w:rsid w:val="0073578F"/>
    <w:rsid w:val="0074237C"/>
    <w:rsid w:val="007425EE"/>
    <w:rsid w:val="00743076"/>
    <w:rsid w:val="00743496"/>
    <w:rsid w:val="0074590F"/>
    <w:rsid w:val="00746BC5"/>
    <w:rsid w:val="00752348"/>
    <w:rsid w:val="00753D5F"/>
    <w:rsid w:val="007613D8"/>
    <w:rsid w:val="00761788"/>
    <w:rsid w:val="00761A60"/>
    <w:rsid w:val="00765FBF"/>
    <w:rsid w:val="00766FDA"/>
    <w:rsid w:val="00770002"/>
    <w:rsid w:val="00771762"/>
    <w:rsid w:val="00774681"/>
    <w:rsid w:val="0077514F"/>
    <w:rsid w:val="00776C93"/>
    <w:rsid w:val="0077706C"/>
    <w:rsid w:val="00781541"/>
    <w:rsid w:val="00783B01"/>
    <w:rsid w:val="0078653A"/>
    <w:rsid w:val="007906A7"/>
    <w:rsid w:val="00790EB9"/>
    <w:rsid w:val="00792B07"/>
    <w:rsid w:val="00793383"/>
    <w:rsid w:val="00793E10"/>
    <w:rsid w:val="00796C2B"/>
    <w:rsid w:val="007A169E"/>
    <w:rsid w:val="007A16D2"/>
    <w:rsid w:val="007A16F5"/>
    <w:rsid w:val="007B0CB9"/>
    <w:rsid w:val="007B5048"/>
    <w:rsid w:val="007D0F10"/>
    <w:rsid w:val="007D1549"/>
    <w:rsid w:val="007D4158"/>
    <w:rsid w:val="007D4675"/>
    <w:rsid w:val="007D5DFA"/>
    <w:rsid w:val="007D6B67"/>
    <w:rsid w:val="007E6409"/>
    <w:rsid w:val="007E6578"/>
    <w:rsid w:val="007F16D5"/>
    <w:rsid w:val="007F7FCE"/>
    <w:rsid w:val="0080186A"/>
    <w:rsid w:val="0080290A"/>
    <w:rsid w:val="00805FC2"/>
    <w:rsid w:val="0080639E"/>
    <w:rsid w:val="008068DF"/>
    <w:rsid w:val="00806B23"/>
    <w:rsid w:val="00810717"/>
    <w:rsid w:val="00820890"/>
    <w:rsid w:val="0082493E"/>
    <w:rsid w:val="008253BC"/>
    <w:rsid w:val="0083098F"/>
    <w:rsid w:val="00840753"/>
    <w:rsid w:val="0084353B"/>
    <w:rsid w:val="0084555B"/>
    <w:rsid w:val="008457B1"/>
    <w:rsid w:val="00846376"/>
    <w:rsid w:val="0085251A"/>
    <w:rsid w:val="00856B2D"/>
    <w:rsid w:val="008617C9"/>
    <w:rsid w:val="0087247A"/>
    <w:rsid w:val="00877107"/>
    <w:rsid w:val="00877812"/>
    <w:rsid w:val="00880071"/>
    <w:rsid w:val="00880138"/>
    <w:rsid w:val="00894865"/>
    <w:rsid w:val="008A10A3"/>
    <w:rsid w:val="008A19AC"/>
    <w:rsid w:val="008A204D"/>
    <w:rsid w:val="008A2623"/>
    <w:rsid w:val="008A3B2B"/>
    <w:rsid w:val="008A7A3E"/>
    <w:rsid w:val="008B0910"/>
    <w:rsid w:val="008B5264"/>
    <w:rsid w:val="008B7A2D"/>
    <w:rsid w:val="008C3652"/>
    <w:rsid w:val="008D22BD"/>
    <w:rsid w:val="008D5349"/>
    <w:rsid w:val="008E1FB8"/>
    <w:rsid w:val="008E6F21"/>
    <w:rsid w:val="008E760B"/>
    <w:rsid w:val="008E7ED5"/>
    <w:rsid w:val="008F04A9"/>
    <w:rsid w:val="009003A0"/>
    <w:rsid w:val="009024C3"/>
    <w:rsid w:val="00910262"/>
    <w:rsid w:val="00912D6A"/>
    <w:rsid w:val="00913385"/>
    <w:rsid w:val="009148F3"/>
    <w:rsid w:val="0093115D"/>
    <w:rsid w:val="009345B9"/>
    <w:rsid w:val="00935123"/>
    <w:rsid w:val="00935D87"/>
    <w:rsid w:val="00941B08"/>
    <w:rsid w:val="00942353"/>
    <w:rsid w:val="00943443"/>
    <w:rsid w:val="00946B22"/>
    <w:rsid w:val="00952201"/>
    <w:rsid w:val="00955620"/>
    <w:rsid w:val="00957F05"/>
    <w:rsid w:val="00962D4E"/>
    <w:rsid w:val="00962EA1"/>
    <w:rsid w:val="00965491"/>
    <w:rsid w:val="00965B10"/>
    <w:rsid w:val="00971C95"/>
    <w:rsid w:val="00972A89"/>
    <w:rsid w:val="009739C5"/>
    <w:rsid w:val="00983FAC"/>
    <w:rsid w:val="00986466"/>
    <w:rsid w:val="00987601"/>
    <w:rsid w:val="00990C1C"/>
    <w:rsid w:val="00997718"/>
    <w:rsid w:val="009A011D"/>
    <w:rsid w:val="009A0760"/>
    <w:rsid w:val="009A6F15"/>
    <w:rsid w:val="009A7298"/>
    <w:rsid w:val="009B0AC4"/>
    <w:rsid w:val="009B2640"/>
    <w:rsid w:val="009B6B04"/>
    <w:rsid w:val="009D0767"/>
    <w:rsid w:val="009D20BD"/>
    <w:rsid w:val="009D4D96"/>
    <w:rsid w:val="009D65D2"/>
    <w:rsid w:val="009E0523"/>
    <w:rsid w:val="009E2264"/>
    <w:rsid w:val="009E583D"/>
    <w:rsid w:val="009E6B0E"/>
    <w:rsid w:val="009F179F"/>
    <w:rsid w:val="009F182F"/>
    <w:rsid w:val="009F3C7E"/>
    <w:rsid w:val="009F76B8"/>
    <w:rsid w:val="009F7732"/>
    <w:rsid w:val="00A007ED"/>
    <w:rsid w:val="00A0176A"/>
    <w:rsid w:val="00A03A02"/>
    <w:rsid w:val="00A04678"/>
    <w:rsid w:val="00A108D8"/>
    <w:rsid w:val="00A15E62"/>
    <w:rsid w:val="00A16924"/>
    <w:rsid w:val="00A1723A"/>
    <w:rsid w:val="00A212C4"/>
    <w:rsid w:val="00A2354C"/>
    <w:rsid w:val="00A238C7"/>
    <w:rsid w:val="00A276D8"/>
    <w:rsid w:val="00A3411F"/>
    <w:rsid w:val="00A3414B"/>
    <w:rsid w:val="00A4419D"/>
    <w:rsid w:val="00A44F44"/>
    <w:rsid w:val="00A54012"/>
    <w:rsid w:val="00A5531F"/>
    <w:rsid w:val="00A600C9"/>
    <w:rsid w:val="00A62264"/>
    <w:rsid w:val="00A64343"/>
    <w:rsid w:val="00A70573"/>
    <w:rsid w:val="00A73DF5"/>
    <w:rsid w:val="00A777AF"/>
    <w:rsid w:val="00A8184D"/>
    <w:rsid w:val="00A8263A"/>
    <w:rsid w:val="00A84877"/>
    <w:rsid w:val="00A90120"/>
    <w:rsid w:val="00A916CC"/>
    <w:rsid w:val="00A91CA9"/>
    <w:rsid w:val="00A95C6D"/>
    <w:rsid w:val="00A97943"/>
    <w:rsid w:val="00AA0AA5"/>
    <w:rsid w:val="00AA6C9B"/>
    <w:rsid w:val="00AA7D41"/>
    <w:rsid w:val="00AB39A9"/>
    <w:rsid w:val="00AD0D43"/>
    <w:rsid w:val="00AD40EE"/>
    <w:rsid w:val="00AD67FB"/>
    <w:rsid w:val="00AD7D54"/>
    <w:rsid w:val="00AE0BE5"/>
    <w:rsid w:val="00AE3187"/>
    <w:rsid w:val="00AE5F9B"/>
    <w:rsid w:val="00AF0903"/>
    <w:rsid w:val="00B01B45"/>
    <w:rsid w:val="00B1133E"/>
    <w:rsid w:val="00B163CA"/>
    <w:rsid w:val="00B227B1"/>
    <w:rsid w:val="00B26EFD"/>
    <w:rsid w:val="00B3777C"/>
    <w:rsid w:val="00B41744"/>
    <w:rsid w:val="00B451DB"/>
    <w:rsid w:val="00B5337A"/>
    <w:rsid w:val="00B60195"/>
    <w:rsid w:val="00B61FB7"/>
    <w:rsid w:val="00B7200C"/>
    <w:rsid w:val="00B87992"/>
    <w:rsid w:val="00BB7623"/>
    <w:rsid w:val="00BC12C4"/>
    <w:rsid w:val="00BC16B9"/>
    <w:rsid w:val="00BC6225"/>
    <w:rsid w:val="00BC784D"/>
    <w:rsid w:val="00BD149A"/>
    <w:rsid w:val="00BD3874"/>
    <w:rsid w:val="00BD4308"/>
    <w:rsid w:val="00BF1D5E"/>
    <w:rsid w:val="00C01F93"/>
    <w:rsid w:val="00C02F48"/>
    <w:rsid w:val="00C054F9"/>
    <w:rsid w:val="00C05ED5"/>
    <w:rsid w:val="00C07004"/>
    <w:rsid w:val="00C10CD2"/>
    <w:rsid w:val="00C11063"/>
    <w:rsid w:val="00C11C70"/>
    <w:rsid w:val="00C22B14"/>
    <w:rsid w:val="00C2403F"/>
    <w:rsid w:val="00C301FB"/>
    <w:rsid w:val="00C31A44"/>
    <w:rsid w:val="00C332C3"/>
    <w:rsid w:val="00C33CAD"/>
    <w:rsid w:val="00C352AC"/>
    <w:rsid w:val="00C409AC"/>
    <w:rsid w:val="00C509B1"/>
    <w:rsid w:val="00C51030"/>
    <w:rsid w:val="00C52535"/>
    <w:rsid w:val="00C54409"/>
    <w:rsid w:val="00C55F9C"/>
    <w:rsid w:val="00C566CD"/>
    <w:rsid w:val="00C63724"/>
    <w:rsid w:val="00C63A91"/>
    <w:rsid w:val="00C641F7"/>
    <w:rsid w:val="00C67770"/>
    <w:rsid w:val="00C73DD9"/>
    <w:rsid w:val="00C753F2"/>
    <w:rsid w:val="00C75B01"/>
    <w:rsid w:val="00C761E5"/>
    <w:rsid w:val="00C766F4"/>
    <w:rsid w:val="00C76902"/>
    <w:rsid w:val="00C805E6"/>
    <w:rsid w:val="00C81035"/>
    <w:rsid w:val="00C8419B"/>
    <w:rsid w:val="00C841EE"/>
    <w:rsid w:val="00C8531F"/>
    <w:rsid w:val="00CA05A5"/>
    <w:rsid w:val="00CA0FAA"/>
    <w:rsid w:val="00CA18A1"/>
    <w:rsid w:val="00CA37DA"/>
    <w:rsid w:val="00CA3E72"/>
    <w:rsid w:val="00CA615E"/>
    <w:rsid w:val="00CA7F7D"/>
    <w:rsid w:val="00CB1E95"/>
    <w:rsid w:val="00CB494D"/>
    <w:rsid w:val="00CB5913"/>
    <w:rsid w:val="00CC00E5"/>
    <w:rsid w:val="00CC12E2"/>
    <w:rsid w:val="00CC7BB4"/>
    <w:rsid w:val="00CD2469"/>
    <w:rsid w:val="00CD2948"/>
    <w:rsid w:val="00CD3C9D"/>
    <w:rsid w:val="00CD3EC4"/>
    <w:rsid w:val="00CD5DD8"/>
    <w:rsid w:val="00CD6458"/>
    <w:rsid w:val="00CE3492"/>
    <w:rsid w:val="00CE7A58"/>
    <w:rsid w:val="00CF1C20"/>
    <w:rsid w:val="00CF37B8"/>
    <w:rsid w:val="00CF3D33"/>
    <w:rsid w:val="00CF4B48"/>
    <w:rsid w:val="00D00F96"/>
    <w:rsid w:val="00D013A6"/>
    <w:rsid w:val="00D04DA1"/>
    <w:rsid w:val="00D06D83"/>
    <w:rsid w:val="00D07D93"/>
    <w:rsid w:val="00D10414"/>
    <w:rsid w:val="00D10EA4"/>
    <w:rsid w:val="00D13D38"/>
    <w:rsid w:val="00D21319"/>
    <w:rsid w:val="00D21EC6"/>
    <w:rsid w:val="00D22318"/>
    <w:rsid w:val="00D33197"/>
    <w:rsid w:val="00D33804"/>
    <w:rsid w:val="00D33C79"/>
    <w:rsid w:val="00D44213"/>
    <w:rsid w:val="00D51988"/>
    <w:rsid w:val="00D51BD0"/>
    <w:rsid w:val="00D55064"/>
    <w:rsid w:val="00D57EA7"/>
    <w:rsid w:val="00D60B21"/>
    <w:rsid w:val="00D60BEB"/>
    <w:rsid w:val="00D64AEF"/>
    <w:rsid w:val="00D65A2B"/>
    <w:rsid w:val="00D663C5"/>
    <w:rsid w:val="00D75285"/>
    <w:rsid w:val="00D7649F"/>
    <w:rsid w:val="00D77712"/>
    <w:rsid w:val="00D8013B"/>
    <w:rsid w:val="00D832A7"/>
    <w:rsid w:val="00D83BBE"/>
    <w:rsid w:val="00D83BE6"/>
    <w:rsid w:val="00D84DE6"/>
    <w:rsid w:val="00D87960"/>
    <w:rsid w:val="00D90EE9"/>
    <w:rsid w:val="00D945A5"/>
    <w:rsid w:val="00D9488D"/>
    <w:rsid w:val="00D97CB9"/>
    <w:rsid w:val="00DA0A62"/>
    <w:rsid w:val="00DA1684"/>
    <w:rsid w:val="00DA3C20"/>
    <w:rsid w:val="00DA47BD"/>
    <w:rsid w:val="00DA6EB2"/>
    <w:rsid w:val="00DB0FB3"/>
    <w:rsid w:val="00DB631E"/>
    <w:rsid w:val="00DB7027"/>
    <w:rsid w:val="00DB7143"/>
    <w:rsid w:val="00DC3D2F"/>
    <w:rsid w:val="00DC47E6"/>
    <w:rsid w:val="00DC76F1"/>
    <w:rsid w:val="00DD181D"/>
    <w:rsid w:val="00DD47E6"/>
    <w:rsid w:val="00DD6DAA"/>
    <w:rsid w:val="00DE10A4"/>
    <w:rsid w:val="00DE39BA"/>
    <w:rsid w:val="00DE56E7"/>
    <w:rsid w:val="00DE5AE2"/>
    <w:rsid w:val="00DF3224"/>
    <w:rsid w:val="00DF5B18"/>
    <w:rsid w:val="00E05028"/>
    <w:rsid w:val="00E1140C"/>
    <w:rsid w:val="00E139B2"/>
    <w:rsid w:val="00E16D02"/>
    <w:rsid w:val="00E22FE3"/>
    <w:rsid w:val="00E27128"/>
    <w:rsid w:val="00E34E0B"/>
    <w:rsid w:val="00E35106"/>
    <w:rsid w:val="00E4220D"/>
    <w:rsid w:val="00E44942"/>
    <w:rsid w:val="00E458FA"/>
    <w:rsid w:val="00E46128"/>
    <w:rsid w:val="00E466F6"/>
    <w:rsid w:val="00E500A0"/>
    <w:rsid w:val="00E565C9"/>
    <w:rsid w:val="00E57F28"/>
    <w:rsid w:val="00E76460"/>
    <w:rsid w:val="00E76FDE"/>
    <w:rsid w:val="00E82CF7"/>
    <w:rsid w:val="00E849D4"/>
    <w:rsid w:val="00E87357"/>
    <w:rsid w:val="00E911FA"/>
    <w:rsid w:val="00E9323D"/>
    <w:rsid w:val="00EA0B08"/>
    <w:rsid w:val="00EA4812"/>
    <w:rsid w:val="00EB07B4"/>
    <w:rsid w:val="00EB14FD"/>
    <w:rsid w:val="00EC14B9"/>
    <w:rsid w:val="00ED0FA4"/>
    <w:rsid w:val="00ED330B"/>
    <w:rsid w:val="00ED509B"/>
    <w:rsid w:val="00ED5E1F"/>
    <w:rsid w:val="00EE210B"/>
    <w:rsid w:val="00EE223A"/>
    <w:rsid w:val="00F011D1"/>
    <w:rsid w:val="00F01E8C"/>
    <w:rsid w:val="00F0252F"/>
    <w:rsid w:val="00F02E2B"/>
    <w:rsid w:val="00F039A3"/>
    <w:rsid w:val="00F03C2F"/>
    <w:rsid w:val="00F103BF"/>
    <w:rsid w:val="00F106EC"/>
    <w:rsid w:val="00F1128C"/>
    <w:rsid w:val="00F15CD6"/>
    <w:rsid w:val="00F17984"/>
    <w:rsid w:val="00F25FE5"/>
    <w:rsid w:val="00F33EC5"/>
    <w:rsid w:val="00F344C6"/>
    <w:rsid w:val="00F357CC"/>
    <w:rsid w:val="00F35C76"/>
    <w:rsid w:val="00F4130F"/>
    <w:rsid w:val="00F51E56"/>
    <w:rsid w:val="00F562DF"/>
    <w:rsid w:val="00F61A2B"/>
    <w:rsid w:val="00F651DD"/>
    <w:rsid w:val="00F655E1"/>
    <w:rsid w:val="00F65E29"/>
    <w:rsid w:val="00F65F39"/>
    <w:rsid w:val="00F713BC"/>
    <w:rsid w:val="00F71B2D"/>
    <w:rsid w:val="00F73339"/>
    <w:rsid w:val="00F73B63"/>
    <w:rsid w:val="00F74EF7"/>
    <w:rsid w:val="00F77041"/>
    <w:rsid w:val="00F804AC"/>
    <w:rsid w:val="00F843D7"/>
    <w:rsid w:val="00F8594C"/>
    <w:rsid w:val="00F863D5"/>
    <w:rsid w:val="00F87A18"/>
    <w:rsid w:val="00F91627"/>
    <w:rsid w:val="00F92F68"/>
    <w:rsid w:val="00FA449D"/>
    <w:rsid w:val="00FA72B0"/>
    <w:rsid w:val="00FB19CD"/>
    <w:rsid w:val="00FB3474"/>
    <w:rsid w:val="00FB3BBA"/>
    <w:rsid w:val="00FB4076"/>
    <w:rsid w:val="00FB7BD9"/>
    <w:rsid w:val="00FC549B"/>
    <w:rsid w:val="00FD0E50"/>
    <w:rsid w:val="00FD299C"/>
    <w:rsid w:val="00FD5DDE"/>
    <w:rsid w:val="00FD6C3E"/>
    <w:rsid w:val="00FE240D"/>
    <w:rsid w:val="00FE518B"/>
    <w:rsid w:val="00FE5E74"/>
    <w:rsid w:val="00FF37C8"/>
    <w:rsid w:val="00FF3878"/>
    <w:rsid w:val="00FF5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19260"/>
  <w15:chartTrackingRefBased/>
  <w15:docId w15:val="{0348D5DF-BC7E-4249-AE85-1AF10F97F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4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770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C3B"/>
    <w:pPr>
      <w:ind w:left="720"/>
      <w:contextualSpacing/>
    </w:pPr>
  </w:style>
  <w:style w:type="paragraph" w:styleId="Header">
    <w:name w:val="header"/>
    <w:basedOn w:val="Normal"/>
    <w:link w:val="HeaderChar"/>
    <w:uiPriority w:val="99"/>
    <w:unhideWhenUsed/>
    <w:rsid w:val="001B0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C3B"/>
  </w:style>
  <w:style w:type="paragraph" w:styleId="Footer">
    <w:name w:val="footer"/>
    <w:basedOn w:val="Normal"/>
    <w:link w:val="FooterChar"/>
    <w:uiPriority w:val="99"/>
    <w:unhideWhenUsed/>
    <w:rsid w:val="001B0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C3B"/>
  </w:style>
  <w:style w:type="paragraph" w:styleId="Revision">
    <w:name w:val="Revision"/>
    <w:hidden/>
    <w:uiPriority w:val="99"/>
    <w:semiHidden/>
    <w:rsid w:val="00D832A7"/>
    <w:pPr>
      <w:spacing w:after="0" w:line="240" w:lineRule="auto"/>
    </w:pPr>
  </w:style>
  <w:style w:type="paragraph" w:styleId="FootnoteText">
    <w:name w:val="footnote text"/>
    <w:basedOn w:val="Normal"/>
    <w:link w:val="FootnoteTextChar"/>
    <w:uiPriority w:val="99"/>
    <w:semiHidden/>
    <w:unhideWhenUsed/>
    <w:rsid w:val="00B377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777C"/>
    <w:rPr>
      <w:sz w:val="20"/>
      <w:szCs w:val="20"/>
    </w:rPr>
  </w:style>
  <w:style w:type="character" w:styleId="FootnoteReference">
    <w:name w:val="footnote reference"/>
    <w:basedOn w:val="DefaultParagraphFont"/>
    <w:uiPriority w:val="99"/>
    <w:semiHidden/>
    <w:unhideWhenUsed/>
    <w:rsid w:val="00B3777C"/>
    <w:rPr>
      <w:vertAlign w:val="superscript"/>
    </w:rPr>
  </w:style>
  <w:style w:type="character" w:styleId="CommentReference">
    <w:name w:val="annotation reference"/>
    <w:basedOn w:val="DefaultParagraphFont"/>
    <w:uiPriority w:val="99"/>
    <w:semiHidden/>
    <w:unhideWhenUsed/>
    <w:rsid w:val="00C766F4"/>
    <w:rPr>
      <w:sz w:val="16"/>
      <w:szCs w:val="16"/>
    </w:rPr>
  </w:style>
  <w:style w:type="paragraph" w:styleId="CommentText">
    <w:name w:val="annotation text"/>
    <w:basedOn w:val="Normal"/>
    <w:link w:val="CommentTextChar"/>
    <w:uiPriority w:val="99"/>
    <w:unhideWhenUsed/>
    <w:rsid w:val="00C766F4"/>
    <w:pPr>
      <w:spacing w:line="240" w:lineRule="auto"/>
    </w:pPr>
    <w:rPr>
      <w:sz w:val="20"/>
      <w:szCs w:val="20"/>
    </w:rPr>
  </w:style>
  <w:style w:type="character" w:customStyle="1" w:styleId="CommentTextChar">
    <w:name w:val="Comment Text Char"/>
    <w:basedOn w:val="DefaultParagraphFont"/>
    <w:link w:val="CommentText"/>
    <w:uiPriority w:val="99"/>
    <w:rsid w:val="00C766F4"/>
    <w:rPr>
      <w:sz w:val="20"/>
      <w:szCs w:val="20"/>
    </w:rPr>
  </w:style>
  <w:style w:type="paragraph" w:styleId="CommentSubject">
    <w:name w:val="annotation subject"/>
    <w:basedOn w:val="CommentText"/>
    <w:next w:val="CommentText"/>
    <w:link w:val="CommentSubjectChar"/>
    <w:uiPriority w:val="99"/>
    <w:semiHidden/>
    <w:unhideWhenUsed/>
    <w:rsid w:val="00C766F4"/>
    <w:rPr>
      <w:b/>
      <w:bCs/>
    </w:rPr>
  </w:style>
  <w:style w:type="character" w:customStyle="1" w:styleId="CommentSubjectChar">
    <w:name w:val="Comment Subject Char"/>
    <w:basedOn w:val="CommentTextChar"/>
    <w:link w:val="CommentSubject"/>
    <w:uiPriority w:val="99"/>
    <w:semiHidden/>
    <w:rsid w:val="00C766F4"/>
    <w:rPr>
      <w:b/>
      <w:bCs/>
      <w:sz w:val="20"/>
      <w:szCs w:val="20"/>
    </w:rPr>
  </w:style>
  <w:style w:type="paragraph" w:customStyle="1" w:styleId="Default">
    <w:name w:val="Default"/>
    <w:rsid w:val="004651A7"/>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F7704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824E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0040">
      <w:bodyDiv w:val="1"/>
      <w:marLeft w:val="0"/>
      <w:marRight w:val="0"/>
      <w:marTop w:val="0"/>
      <w:marBottom w:val="0"/>
      <w:divBdr>
        <w:top w:val="none" w:sz="0" w:space="0" w:color="auto"/>
        <w:left w:val="none" w:sz="0" w:space="0" w:color="auto"/>
        <w:bottom w:val="none" w:sz="0" w:space="0" w:color="auto"/>
        <w:right w:val="none" w:sz="0" w:space="0" w:color="auto"/>
      </w:divBdr>
    </w:div>
    <w:div w:id="455804111">
      <w:bodyDiv w:val="1"/>
      <w:marLeft w:val="0"/>
      <w:marRight w:val="0"/>
      <w:marTop w:val="0"/>
      <w:marBottom w:val="0"/>
      <w:divBdr>
        <w:top w:val="none" w:sz="0" w:space="0" w:color="auto"/>
        <w:left w:val="none" w:sz="0" w:space="0" w:color="auto"/>
        <w:bottom w:val="none" w:sz="0" w:space="0" w:color="auto"/>
        <w:right w:val="none" w:sz="0" w:space="0" w:color="auto"/>
      </w:divBdr>
    </w:div>
    <w:div w:id="460076876">
      <w:bodyDiv w:val="1"/>
      <w:marLeft w:val="0"/>
      <w:marRight w:val="0"/>
      <w:marTop w:val="0"/>
      <w:marBottom w:val="0"/>
      <w:divBdr>
        <w:top w:val="none" w:sz="0" w:space="0" w:color="auto"/>
        <w:left w:val="none" w:sz="0" w:space="0" w:color="auto"/>
        <w:bottom w:val="none" w:sz="0" w:space="0" w:color="auto"/>
        <w:right w:val="none" w:sz="0" w:space="0" w:color="auto"/>
      </w:divBdr>
    </w:div>
    <w:div w:id="763501120">
      <w:bodyDiv w:val="1"/>
      <w:marLeft w:val="0"/>
      <w:marRight w:val="0"/>
      <w:marTop w:val="0"/>
      <w:marBottom w:val="0"/>
      <w:divBdr>
        <w:top w:val="none" w:sz="0" w:space="0" w:color="auto"/>
        <w:left w:val="none" w:sz="0" w:space="0" w:color="auto"/>
        <w:bottom w:val="none" w:sz="0" w:space="0" w:color="auto"/>
        <w:right w:val="none" w:sz="0" w:space="0" w:color="auto"/>
      </w:divBdr>
    </w:div>
    <w:div w:id="904678606">
      <w:bodyDiv w:val="1"/>
      <w:marLeft w:val="0"/>
      <w:marRight w:val="0"/>
      <w:marTop w:val="0"/>
      <w:marBottom w:val="0"/>
      <w:divBdr>
        <w:top w:val="none" w:sz="0" w:space="0" w:color="auto"/>
        <w:left w:val="none" w:sz="0" w:space="0" w:color="auto"/>
        <w:bottom w:val="none" w:sz="0" w:space="0" w:color="auto"/>
        <w:right w:val="none" w:sz="0" w:space="0" w:color="auto"/>
      </w:divBdr>
    </w:div>
    <w:div w:id="1057820543">
      <w:bodyDiv w:val="1"/>
      <w:marLeft w:val="0"/>
      <w:marRight w:val="0"/>
      <w:marTop w:val="0"/>
      <w:marBottom w:val="0"/>
      <w:divBdr>
        <w:top w:val="none" w:sz="0" w:space="0" w:color="auto"/>
        <w:left w:val="none" w:sz="0" w:space="0" w:color="auto"/>
        <w:bottom w:val="none" w:sz="0" w:space="0" w:color="auto"/>
        <w:right w:val="none" w:sz="0" w:space="0" w:color="auto"/>
      </w:divBdr>
    </w:div>
    <w:div w:id="1312248431">
      <w:bodyDiv w:val="1"/>
      <w:marLeft w:val="0"/>
      <w:marRight w:val="0"/>
      <w:marTop w:val="0"/>
      <w:marBottom w:val="0"/>
      <w:divBdr>
        <w:top w:val="none" w:sz="0" w:space="0" w:color="auto"/>
        <w:left w:val="none" w:sz="0" w:space="0" w:color="auto"/>
        <w:bottom w:val="none" w:sz="0" w:space="0" w:color="auto"/>
        <w:right w:val="none" w:sz="0" w:space="0" w:color="auto"/>
      </w:divBdr>
    </w:div>
    <w:div w:id="1342928395">
      <w:bodyDiv w:val="1"/>
      <w:marLeft w:val="0"/>
      <w:marRight w:val="0"/>
      <w:marTop w:val="0"/>
      <w:marBottom w:val="0"/>
      <w:divBdr>
        <w:top w:val="none" w:sz="0" w:space="0" w:color="auto"/>
        <w:left w:val="none" w:sz="0" w:space="0" w:color="auto"/>
        <w:bottom w:val="none" w:sz="0" w:space="0" w:color="auto"/>
        <w:right w:val="none" w:sz="0" w:space="0" w:color="auto"/>
      </w:divBdr>
    </w:div>
    <w:div w:id="197702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1D32C-A5BA-4925-95E0-A385A5E61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6184</Words>
  <Characters>35253</Characters>
  <Application>Microsoft Office Word</Application>
  <DocSecurity>4</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Mould KC</dc:creator>
  <cp:keywords/>
  <dc:description/>
  <cp:lastModifiedBy>Louise Williams</cp:lastModifiedBy>
  <cp:revision>2</cp:revision>
  <cp:lastPrinted>2024-08-14T08:01:00Z</cp:lastPrinted>
  <dcterms:created xsi:type="dcterms:W3CDTF">2024-08-14T08:15:00Z</dcterms:created>
  <dcterms:modified xsi:type="dcterms:W3CDTF">2024-08-14T08:15:00Z</dcterms:modified>
</cp:coreProperties>
</file>