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B761" w14:textId="090B368D" w:rsidR="007A2F51" w:rsidRPr="00707401" w:rsidRDefault="00F121BC" w:rsidP="00707401">
      <w:pPr>
        <w:rPr>
          <w:rFonts w:ascii="Arial" w:hAnsi="Arial" w:cs="Arial"/>
          <w:b/>
          <w:bCs/>
          <w:sz w:val="28"/>
          <w:szCs w:val="28"/>
        </w:rPr>
      </w:pPr>
      <w:r>
        <w:rPr>
          <w:rFonts w:ascii="Arial" w:hAnsi="Arial" w:cs="Arial"/>
          <w:b/>
          <w:bCs/>
          <w:sz w:val="28"/>
          <w:szCs w:val="28"/>
        </w:rPr>
        <w:t xml:space="preserve">Rural England Prosperity Fund </w:t>
      </w:r>
      <w:r w:rsidR="00D735C3" w:rsidRPr="009C4FD9">
        <w:rPr>
          <w:rFonts w:ascii="Arial" w:hAnsi="Arial" w:cs="Arial"/>
          <w:b/>
          <w:bCs/>
          <w:sz w:val="28"/>
          <w:szCs w:val="28"/>
        </w:rPr>
        <w:t>Grant Policy</w:t>
      </w:r>
    </w:p>
    <w:p w14:paraId="01F5A20B" w14:textId="77777777" w:rsidR="00707401" w:rsidRDefault="00707401" w:rsidP="00F945C7">
      <w:pPr>
        <w:pStyle w:val="NoSpacing"/>
        <w:jc w:val="both"/>
        <w:rPr>
          <w:rFonts w:ascii="Arial" w:hAnsi="Arial" w:cs="Arial"/>
          <w:b/>
          <w:bCs/>
          <w:sz w:val="24"/>
          <w:szCs w:val="24"/>
        </w:rPr>
      </w:pPr>
    </w:p>
    <w:p w14:paraId="7A95666B" w14:textId="296C4DFB" w:rsidR="001612D5" w:rsidRDefault="007A2F51" w:rsidP="007A2F51">
      <w:pPr>
        <w:pStyle w:val="NoSpacing"/>
        <w:jc w:val="both"/>
        <w:rPr>
          <w:rFonts w:ascii="Arial" w:hAnsi="Arial" w:cs="Arial"/>
          <w:sz w:val="24"/>
          <w:szCs w:val="24"/>
        </w:rPr>
      </w:pPr>
      <w:r w:rsidRPr="009C4FD9">
        <w:rPr>
          <w:rFonts w:ascii="Arial" w:hAnsi="Arial" w:cs="Arial"/>
          <w:sz w:val="24"/>
          <w:szCs w:val="24"/>
        </w:rPr>
        <w:t xml:space="preserve">Chichester District Council has </w:t>
      </w:r>
      <w:r w:rsidR="00B7266D">
        <w:rPr>
          <w:rFonts w:ascii="Arial" w:hAnsi="Arial" w:cs="Arial"/>
          <w:sz w:val="24"/>
          <w:szCs w:val="24"/>
        </w:rPr>
        <w:t xml:space="preserve">also </w:t>
      </w:r>
      <w:r w:rsidRPr="009C4FD9">
        <w:rPr>
          <w:rFonts w:ascii="Arial" w:hAnsi="Arial" w:cs="Arial"/>
          <w:sz w:val="24"/>
          <w:szCs w:val="24"/>
        </w:rPr>
        <w:t xml:space="preserve">been allocated funding through the </w:t>
      </w:r>
      <w:r>
        <w:rPr>
          <w:rFonts w:ascii="Arial" w:hAnsi="Arial" w:cs="Arial"/>
          <w:sz w:val="24"/>
          <w:szCs w:val="24"/>
        </w:rPr>
        <w:t>Rural England Prosperity Fund (REPF).  The</w:t>
      </w:r>
      <w:r w:rsidR="001612D5">
        <w:rPr>
          <w:rFonts w:ascii="Arial" w:hAnsi="Arial" w:cs="Arial"/>
          <w:sz w:val="24"/>
          <w:szCs w:val="24"/>
        </w:rPr>
        <w:t xml:space="preserve"> Rural England Prosperity Fund provides </w:t>
      </w:r>
      <w:r w:rsidR="001612D5" w:rsidRPr="00154054">
        <w:rPr>
          <w:rFonts w:ascii="Arial" w:hAnsi="Arial" w:cs="Arial"/>
          <w:b/>
          <w:bCs/>
          <w:sz w:val="24"/>
          <w:szCs w:val="24"/>
        </w:rPr>
        <w:t>capital</w:t>
      </w:r>
      <w:r w:rsidR="001612D5">
        <w:rPr>
          <w:rFonts w:ascii="Arial" w:hAnsi="Arial" w:cs="Arial"/>
          <w:sz w:val="24"/>
          <w:szCs w:val="24"/>
        </w:rPr>
        <w:t xml:space="preserve"> funding to:</w:t>
      </w:r>
    </w:p>
    <w:p w14:paraId="21230A81" w14:textId="4BE1DA86" w:rsidR="001612D5" w:rsidRDefault="001612D5" w:rsidP="001612D5">
      <w:pPr>
        <w:pStyle w:val="NoSpacing"/>
        <w:numPr>
          <w:ilvl w:val="0"/>
          <w:numId w:val="29"/>
        </w:numPr>
        <w:jc w:val="both"/>
        <w:rPr>
          <w:rFonts w:ascii="Arial" w:hAnsi="Arial" w:cs="Arial"/>
          <w:sz w:val="24"/>
          <w:szCs w:val="24"/>
        </w:rPr>
      </w:pPr>
      <w:r>
        <w:rPr>
          <w:rFonts w:ascii="Arial" w:hAnsi="Arial" w:cs="Arial"/>
          <w:sz w:val="24"/>
          <w:szCs w:val="24"/>
        </w:rPr>
        <w:t>Support new and existing rural businesses to develop new products and facilities that will be of wider benefit to the local economy.  This includes farm businesses looking to diversi</w:t>
      </w:r>
      <w:r w:rsidR="00A8797F">
        <w:rPr>
          <w:rFonts w:ascii="Arial" w:hAnsi="Arial" w:cs="Arial"/>
          <w:sz w:val="24"/>
          <w:szCs w:val="24"/>
        </w:rPr>
        <w:t>f</w:t>
      </w:r>
      <w:r>
        <w:rPr>
          <w:rFonts w:ascii="Arial" w:hAnsi="Arial" w:cs="Arial"/>
          <w:sz w:val="24"/>
          <w:szCs w:val="24"/>
        </w:rPr>
        <w:t>y income streams.</w:t>
      </w:r>
      <w:r w:rsidR="00530EA0">
        <w:rPr>
          <w:rFonts w:ascii="Arial" w:hAnsi="Arial" w:cs="Arial"/>
          <w:sz w:val="24"/>
          <w:szCs w:val="24"/>
        </w:rPr>
        <w:t xml:space="preserve">  £107,754 has been allocated to this in grant funding for 2025/26.</w:t>
      </w:r>
    </w:p>
    <w:p w14:paraId="5ACF97A8" w14:textId="4BD06A41" w:rsidR="001612D5" w:rsidRDefault="001612D5" w:rsidP="001612D5">
      <w:pPr>
        <w:pStyle w:val="NoSpacing"/>
        <w:numPr>
          <w:ilvl w:val="0"/>
          <w:numId w:val="29"/>
        </w:numPr>
        <w:jc w:val="both"/>
        <w:rPr>
          <w:rFonts w:ascii="Arial" w:hAnsi="Arial" w:cs="Arial"/>
          <w:sz w:val="24"/>
          <w:szCs w:val="24"/>
        </w:rPr>
      </w:pPr>
      <w:r>
        <w:rPr>
          <w:rFonts w:ascii="Arial" w:hAnsi="Arial" w:cs="Arial"/>
          <w:sz w:val="24"/>
          <w:szCs w:val="24"/>
        </w:rPr>
        <w:t>Support new and improved community infrastructure, providing essential community services and assets for local people and businesses to benefit the local economy.</w:t>
      </w:r>
      <w:r w:rsidR="00530EA0">
        <w:rPr>
          <w:rFonts w:ascii="Arial" w:hAnsi="Arial" w:cs="Arial"/>
          <w:sz w:val="24"/>
          <w:szCs w:val="24"/>
        </w:rPr>
        <w:t xml:space="preserve">  £107,754 has been allocated to this in grant funding for 2025/26.</w:t>
      </w:r>
    </w:p>
    <w:p w14:paraId="73B1BD03" w14:textId="77777777" w:rsidR="00530EA0" w:rsidRDefault="00530EA0" w:rsidP="000916EE">
      <w:pPr>
        <w:pStyle w:val="NoSpacing"/>
        <w:ind w:left="780"/>
        <w:jc w:val="both"/>
        <w:rPr>
          <w:rFonts w:ascii="Arial" w:hAnsi="Arial" w:cs="Arial"/>
          <w:sz w:val="24"/>
          <w:szCs w:val="24"/>
        </w:rPr>
      </w:pPr>
    </w:p>
    <w:p w14:paraId="756F1701" w14:textId="77777777" w:rsidR="007A2F51" w:rsidRPr="009C4FD9" w:rsidRDefault="007A2F51" w:rsidP="007A2F51">
      <w:pPr>
        <w:pStyle w:val="NoSpacing"/>
        <w:jc w:val="both"/>
        <w:rPr>
          <w:rFonts w:ascii="Arial" w:hAnsi="Arial" w:cs="Arial"/>
          <w:sz w:val="16"/>
          <w:szCs w:val="16"/>
        </w:rPr>
      </w:pPr>
    </w:p>
    <w:p w14:paraId="42C5E912" w14:textId="77777777" w:rsidR="007A2F51" w:rsidRPr="009C4FD9" w:rsidRDefault="007A2F51" w:rsidP="007A2F51">
      <w:pPr>
        <w:pStyle w:val="NoSpacing"/>
        <w:jc w:val="both"/>
        <w:rPr>
          <w:rFonts w:ascii="Arial" w:hAnsi="Arial" w:cs="Arial"/>
          <w:sz w:val="16"/>
          <w:szCs w:val="16"/>
        </w:rPr>
      </w:pPr>
    </w:p>
    <w:p w14:paraId="3D8B3C18" w14:textId="62AA7DBE" w:rsidR="007A2F51" w:rsidRDefault="00083BB6" w:rsidP="007A2F51">
      <w:pPr>
        <w:pStyle w:val="NoSpacing"/>
        <w:jc w:val="both"/>
        <w:rPr>
          <w:rFonts w:ascii="Arial" w:hAnsi="Arial" w:cs="Arial"/>
          <w:sz w:val="24"/>
          <w:szCs w:val="24"/>
        </w:rPr>
      </w:pPr>
      <w:r>
        <w:rPr>
          <w:rFonts w:ascii="Arial" w:hAnsi="Arial" w:cs="Arial"/>
          <w:sz w:val="24"/>
          <w:szCs w:val="24"/>
        </w:rPr>
        <w:t xml:space="preserve">The Rural England Prosperity Fund is purely to support </w:t>
      </w:r>
      <w:r w:rsidRPr="00154054">
        <w:rPr>
          <w:rFonts w:ascii="Arial" w:hAnsi="Arial" w:cs="Arial"/>
          <w:b/>
          <w:bCs/>
          <w:sz w:val="24"/>
          <w:szCs w:val="24"/>
        </w:rPr>
        <w:t>capital</w:t>
      </w:r>
      <w:r>
        <w:rPr>
          <w:rFonts w:ascii="Arial" w:hAnsi="Arial" w:cs="Arial"/>
          <w:sz w:val="24"/>
          <w:szCs w:val="24"/>
        </w:rPr>
        <w:t xml:space="preserve"> projects with no revenue expenditure permitted.  Expenditure must be on assets such as buildings or equipment and cannot fund any running costs </w:t>
      </w:r>
      <w:r w:rsidR="007536CE">
        <w:rPr>
          <w:rFonts w:ascii="Arial" w:hAnsi="Arial" w:cs="Arial"/>
          <w:sz w:val="24"/>
          <w:szCs w:val="24"/>
        </w:rPr>
        <w:t xml:space="preserve">or </w:t>
      </w:r>
      <w:r>
        <w:rPr>
          <w:rFonts w:ascii="Arial" w:hAnsi="Arial" w:cs="Arial"/>
          <w:sz w:val="24"/>
          <w:szCs w:val="24"/>
        </w:rPr>
        <w:t xml:space="preserve">promotional activity.  Projects will also not be funded where they have already benefitted from other current DEFRA funding.  </w:t>
      </w:r>
    </w:p>
    <w:p w14:paraId="6E5B4AF0" w14:textId="77777777" w:rsidR="00707401" w:rsidRDefault="00707401" w:rsidP="007A2F51">
      <w:pPr>
        <w:pStyle w:val="NoSpacing"/>
        <w:jc w:val="both"/>
        <w:rPr>
          <w:rFonts w:ascii="Arial" w:hAnsi="Arial" w:cs="Arial"/>
          <w:b/>
          <w:bCs/>
          <w:sz w:val="24"/>
          <w:szCs w:val="24"/>
        </w:rPr>
      </w:pPr>
    </w:p>
    <w:p w14:paraId="0D997722" w14:textId="3AF868C1" w:rsidR="00FF7012" w:rsidRDefault="00FF7012" w:rsidP="007A2F51">
      <w:pPr>
        <w:pStyle w:val="NoSpacing"/>
        <w:jc w:val="both"/>
        <w:rPr>
          <w:rFonts w:ascii="Arial" w:hAnsi="Arial" w:cs="Arial"/>
          <w:b/>
          <w:bCs/>
          <w:sz w:val="24"/>
          <w:szCs w:val="24"/>
        </w:rPr>
      </w:pPr>
      <w:r>
        <w:rPr>
          <w:rFonts w:ascii="Arial" w:hAnsi="Arial" w:cs="Arial"/>
          <w:b/>
          <w:bCs/>
          <w:sz w:val="24"/>
          <w:szCs w:val="24"/>
        </w:rPr>
        <w:t>General Guidance for Rural England Prosperity Fund</w:t>
      </w:r>
    </w:p>
    <w:p w14:paraId="7764D030" w14:textId="77777777" w:rsidR="00154054" w:rsidRPr="00FF7012" w:rsidRDefault="00154054" w:rsidP="007A2F51">
      <w:pPr>
        <w:pStyle w:val="NoSpacing"/>
        <w:jc w:val="both"/>
        <w:rPr>
          <w:rFonts w:ascii="Arial" w:hAnsi="Arial" w:cs="Arial"/>
          <w:b/>
          <w:bCs/>
          <w:sz w:val="24"/>
          <w:szCs w:val="24"/>
        </w:rPr>
      </w:pPr>
    </w:p>
    <w:p w14:paraId="16C376D5" w14:textId="0AF89498" w:rsidR="00E2374D" w:rsidRPr="009C4FD9" w:rsidRDefault="00E2374D" w:rsidP="00D735C3">
      <w:pPr>
        <w:pStyle w:val="NoSpacing"/>
        <w:jc w:val="both"/>
        <w:rPr>
          <w:rFonts w:ascii="Arial" w:hAnsi="Arial" w:cs="Arial"/>
          <w:sz w:val="24"/>
          <w:szCs w:val="24"/>
        </w:rPr>
      </w:pPr>
      <w:r w:rsidRPr="009C4FD9">
        <w:rPr>
          <w:rFonts w:ascii="Arial" w:hAnsi="Arial" w:cs="Arial"/>
          <w:sz w:val="24"/>
          <w:szCs w:val="24"/>
        </w:rPr>
        <w:t xml:space="preserve">Through preparing CDC’s </w:t>
      </w:r>
      <w:r w:rsidR="00745CD0">
        <w:rPr>
          <w:rFonts w:ascii="Arial" w:hAnsi="Arial" w:cs="Arial"/>
          <w:sz w:val="24"/>
          <w:szCs w:val="24"/>
        </w:rPr>
        <w:t xml:space="preserve">initial </w:t>
      </w:r>
      <w:r w:rsidRPr="009C4FD9">
        <w:rPr>
          <w:rFonts w:ascii="Arial" w:hAnsi="Arial" w:cs="Arial"/>
          <w:sz w:val="24"/>
          <w:szCs w:val="24"/>
        </w:rPr>
        <w:t>Investment Plan for the</w:t>
      </w:r>
      <w:r w:rsidR="00154054">
        <w:rPr>
          <w:rFonts w:ascii="Arial" w:hAnsi="Arial" w:cs="Arial"/>
          <w:sz w:val="24"/>
          <w:szCs w:val="24"/>
        </w:rPr>
        <w:t xml:space="preserve"> </w:t>
      </w:r>
      <w:r w:rsidR="00A70282">
        <w:rPr>
          <w:rFonts w:ascii="Arial" w:hAnsi="Arial" w:cs="Arial"/>
          <w:sz w:val="24"/>
          <w:szCs w:val="24"/>
        </w:rPr>
        <w:t>Rural England Prosperity Fund</w:t>
      </w:r>
      <w:r w:rsidRPr="009C4FD9">
        <w:rPr>
          <w:rFonts w:ascii="Arial" w:hAnsi="Arial" w:cs="Arial"/>
          <w:sz w:val="24"/>
          <w:szCs w:val="24"/>
        </w:rPr>
        <w:t xml:space="preserve">, </w:t>
      </w:r>
      <w:r w:rsidR="006F1E7F">
        <w:rPr>
          <w:rFonts w:ascii="Arial" w:hAnsi="Arial" w:cs="Arial"/>
          <w:sz w:val="24"/>
          <w:szCs w:val="24"/>
        </w:rPr>
        <w:t>t</w:t>
      </w:r>
      <w:r w:rsidR="007D5263">
        <w:rPr>
          <w:rFonts w:ascii="Arial" w:hAnsi="Arial" w:cs="Arial"/>
          <w:sz w:val="24"/>
          <w:szCs w:val="24"/>
        </w:rPr>
        <w:t>hemes</w:t>
      </w:r>
      <w:r w:rsidRPr="009C4FD9">
        <w:rPr>
          <w:rFonts w:ascii="Arial" w:hAnsi="Arial" w:cs="Arial"/>
          <w:sz w:val="24"/>
          <w:szCs w:val="24"/>
        </w:rPr>
        <w:t xml:space="preserve">, </w:t>
      </w:r>
      <w:r w:rsidR="007D5263">
        <w:rPr>
          <w:rFonts w:ascii="Arial" w:hAnsi="Arial" w:cs="Arial"/>
          <w:sz w:val="24"/>
          <w:szCs w:val="24"/>
        </w:rPr>
        <w:t xml:space="preserve">sub-themes, </w:t>
      </w:r>
      <w:r w:rsidR="00B7266D">
        <w:rPr>
          <w:rFonts w:ascii="Arial" w:hAnsi="Arial" w:cs="Arial"/>
          <w:sz w:val="24"/>
          <w:szCs w:val="24"/>
        </w:rPr>
        <w:t>o</w:t>
      </w:r>
      <w:r w:rsidRPr="009C4FD9">
        <w:rPr>
          <w:rFonts w:ascii="Arial" w:hAnsi="Arial" w:cs="Arial"/>
          <w:sz w:val="24"/>
          <w:szCs w:val="24"/>
        </w:rPr>
        <w:t xml:space="preserve">utputs and </w:t>
      </w:r>
      <w:r w:rsidR="00B7266D">
        <w:rPr>
          <w:rFonts w:ascii="Arial" w:hAnsi="Arial" w:cs="Arial"/>
          <w:sz w:val="24"/>
          <w:szCs w:val="24"/>
        </w:rPr>
        <w:t>o</w:t>
      </w:r>
      <w:r w:rsidRPr="009C4FD9">
        <w:rPr>
          <w:rFonts w:ascii="Arial" w:hAnsi="Arial" w:cs="Arial"/>
          <w:sz w:val="24"/>
          <w:szCs w:val="24"/>
        </w:rPr>
        <w:t>utcomes were selected</w:t>
      </w:r>
      <w:r w:rsidR="00B7266D">
        <w:rPr>
          <w:rFonts w:ascii="Arial" w:hAnsi="Arial" w:cs="Arial"/>
          <w:sz w:val="24"/>
          <w:szCs w:val="24"/>
        </w:rPr>
        <w:t>.</w:t>
      </w:r>
      <w:r w:rsidRPr="009C4FD9">
        <w:rPr>
          <w:rFonts w:ascii="Arial" w:hAnsi="Arial" w:cs="Arial"/>
          <w:sz w:val="24"/>
          <w:szCs w:val="24"/>
        </w:rPr>
        <w:t xml:space="preserve"> These were selected based on understanding of projects which would have the greatest impact in our district and that can be delivered by either CDC</w:t>
      </w:r>
      <w:r w:rsidR="007536CE">
        <w:rPr>
          <w:rFonts w:ascii="Arial" w:hAnsi="Arial" w:cs="Arial"/>
          <w:sz w:val="24"/>
          <w:szCs w:val="24"/>
        </w:rPr>
        <w:t xml:space="preserve">, </w:t>
      </w:r>
      <w:r w:rsidRPr="009C4FD9">
        <w:rPr>
          <w:rFonts w:ascii="Arial" w:hAnsi="Arial" w:cs="Arial"/>
          <w:sz w:val="24"/>
          <w:szCs w:val="24"/>
        </w:rPr>
        <w:t>partner organisations or community groups.</w:t>
      </w:r>
      <w:r w:rsidR="00F945C7" w:rsidRPr="009C4FD9">
        <w:rPr>
          <w:rFonts w:ascii="Arial" w:hAnsi="Arial" w:cs="Arial"/>
          <w:sz w:val="24"/>
          <w:szCs w:val="24"/>
        </w:rPr>
        <w:t xml:space="preserve">  A list of the </w:t>
      </w:r>
      <w:r w:rsidR="007536CE">
        <w:rPr>
          <w:rFonts w:ascii="Arial" w:hAnsi="Arial" w:cs="Arial"/>
          <w:sz w:val="24"/>
          <w:szCs w:val="24"/>
        </w:rPr>
        <w:t xml:space="preserve">selected </w:t>
      </w:r>
      <w:r w:rsidR="006F1E7F">
        <w:rPr>
          <w:rFonts w:ascii="Arial" w:hAnsi="Arial" w:cs="Arial"/>
          <w:sz w:val="24"/>
          <w:szCs w:val="24"/>
        </w:rPr>
        <w:t>t</w:t>
      </w:r>
      <w:r w:rsidR="007D5263">
        <w:rPr>
          <w:rFonts w:ascii="Arial" w:hAnsi="Arial" w:cs="Arial"/>
          <w:sz w:val="24"/>
          <w:szCs w:val="24"/>
        </w:rPr>
        <w:t>hemes, sub-themes</w:t>
      </w:r>
      <w:r w:rsidR="006F1E7F">
        <w:rPr>
          <w:rFonts w:ascii="Arial" w:hAnsi="Arial" w:cs="Arial"/>
          <w:sz w:val="24"/>
          <w:szCs w:val="24"/>
        </w:rPr>
        <w:t>,</w:t>
      </w:r>
      <w:r w:rsidR="00F945C7" w:rsidRPr="009C4FD9">
        <w:rPr>
          <w:rFonts w:ascii="Arial" w:hAnsi="Arial" w:cs="Arial"/>
          <w:sz w:val="24"/>
          <w:szCs w:val="24"/>
        </w:rPr>
        <w:t xml:space="preserve"> outputs and outcomes is provided at the end of this document.</w:t>
      </w:r>
    </w:p>
    <w:p w14:paraId="12DE09DF" w14:textId="6B2D5C38" w:rsidR="00E2374D" w:rsidRPr="009C4FD9" w:rsidRDefault="00E2374D" w:rsidP="00D735C3">
      <w:pPr>
        <w:pStyle w:val="NoSpacing"/>
        <w:jc w:val="both"/>
        <w:rPr>
          <w:rFonts w:ascii="Arial" w:hAnsi="Arial" w:cs="Arial"/>
          <w:sz w:val="24"/>
          <w:szCs w:val="24"/>
        </w:rPr>
      </w:pPr>
    </w:p>
    <w:p w14:paraId="1319947D" w14:textId="7D6938EC" w:rsidR="00E2374D" w:rsidRPr="009C4FD9" w:rsidRDefault="00E2374D" w:rsidP="00E2374D">
      <w:pPr>
        <w:pStyle w:val="NoSpacing"/>
        <w:jc w:val="both"/>
        <w:rPr>
          <w:rFonts w:ascii="Arial" w:hAnsi="Arial" w:cs="Arial"/>
          <w:sz w:val="24"/>
          <w:szCs w:val="24"/>
        </w:rPr>
      </w:pPr>
      <w:r w:rsidRPr="009C4FD9">
        <w:rPr>
          <w:rFonts w:ascii="Arial" w:hAnsi="Arial" w:cs="Arial"/>
          <w:sz w:val="24"/>
          <w:szCs w:val="24"/>
        </w:rPr>
        <w:t xml:space="preserve">Grant applicants will be required to set out how their project meets the </w:t>
      </w:r>
      <w:r w:rsidR="006F1E7F">
        <w:rPr>
          <w:rFonts w:ascii="Arial" w:hAnsi="Arial" w:cs="Arial"/>
          <w:sz w:val="24"/>
          <w:szCs w:val="24"/>
        </w:rPr>
        <w:t>t</w:t>
      </w:r>
      <w:r w:rsidR="007D5263">
        <w:rPr>
          <w:rFonts w:ascii="Arial" w:hAnsi="Arial" w:cs="Arial"/>
          <w:sz w:val="24"/>
          <w:szCs w:val="24"/>
        </w:rPr>
        <w:t>heme</w:t>
      </w:r>
      <w:r w:rsidR="006F1E7F">
        <w:rPr>
          <w:rFonts w:ascii="Arial" w:hAnsi="Arial" w:cs="Arial"/>
          <w:sz w:val="24"/>
          <w:szCs w:val="24"/>
        </w:rPr>
        <w:t xml:space="preserve">, </w:t>
      </w:r>
      <w:r w:rsidR="007D5263">
        <w:rPr>
          <w:rFonts w:ascii="Arial" w:hAnsi="Arial" w:cs="Arial"/>
          <w:sz w:val="24"/>
          <w:szCs w:val="24"/>
        </w:rPr>
        <w:t>sub-theme</w:t>
      </w:r>
      <w:r w:rsidRPr="009C4FD9">
        <w:rPr>
          <w:rFonts w:ascii="Arial" w:hAnsi="Arial" w:cs="Arial"/>
          <w:sz w:val="24"/>
          <w:szCs w:val="24"/>
        </w:rPr>
        <w:t xml:space="preserve"> as specified and how the outputs and outcomes will be measured against the baseline. For example, an organisation requesting a grant to fund a social action project will need to provide a baseline for their engagement numbers and monitor them throughout the life of their project, </w:t>
      </w:r>
      <w:r w:rsidR="00745D10">
        <w:rPr>
          <w:rFonts w:ascii="Arial" w:hAnsi="Arial" w:cs="Arial"/>
          <w:sz w:val="24"/>
          <w:szCs w:val="24"/>
        </w:rPr>
        <w:t xml:space="preserve">with the project activity </w:t>
      </w:r>
      <w:r w:rsidRPr="009C4FD9">
        <w:rPr>
          <w:rFonts w:ascii="Arial" w:hAnsi="Arial" w:cs="Arial"/>
          <w:sz w:val="24"/>
          <w:szCs w:val="24"/>
        </w:rPr>
        <w:t xml:space="preserve">contributing to an overall increase. </w:t>
      </w:r>
      <w:r w:rsidR="00D651B0">
        <w:rPr>
          <w:rFonts w:ascii="Arial" w:hAnsi="Arial" w:cs="Arial"/>
          <w:sz w:val="24"/>
          <w:szCs w:val="24"/>
        </w:rPr>
        <w:t>Chichester District Council will also collect o</w:t>
      </w:r>
      <w:r w:rsidRPr="009C4FD9">
        <w:rPr>
          <w:rFonts w:ascii="Arial" w:hAnsi="Arial" w:cs="Arial"/>
          <w:sz w:val="24"/>
          <w:szCs w:val="24"/>
        </w:rPr>
        <w:t xml:space="preserve">ther evidence to show improvement brought about by </w:t>
      </w:r>
      <w:r w:rsidR="00FF7012">
        <w:rPr>
          <w:rFonts w:ascii="Arial" w:hAnsi="Arial" w:cs="Arial"/>
          <w:sz w:val="24"/>
          <w:szCs w:val="24"/>
        </w:rPr>
        <w:t xml:space="preserve">REPF projects </w:t>
      </w:r>
      <w:r w:rsidRPr="009C4FD9">
        <w:rPr>
          <w:rFonts w:ascii="Arial" w:hAnsi="Arial" w:cs="Arial"/>
          <w:sz w:val="24"/>
          <w:szCs w:val="24"/>
        </w:rPr>
        <w:t xml:space="preserve">including photographs, enrolment registers, planning and completion documentation. </w:t>
      </w:r>
    </w:p>
    <w:p w14:paraId="0565DACE" w14:textId="2F87BC5F" w:rsidR="00E2374D" w:rsidRPr="009C4FD9" w:rsidRDefault="00E2374D" w:rsidP="00E2374D">
      <w:pPr>
        <w:pStyle w:val="NoSpacing"/>
        <w:jc w:val="both"/>
        <w:rPr>
          <w:rFonts w:ascii="Arial" w:hAnsi="Arial" w:cs="Arial"/>
          <w:sz w:val="24"/>
          <w:szCs w:val="24"/>
        </w:rPr>
      </w:pPr>
    </w:p>
    <w:p w14:paraId="05525072" w14:textId="65A2DBA2" w:rsidR="00E2374D" w:rsidRDefault="00E2374D" w:rsidP="00E2374D">
      <w:pPr>
        <w:pStyle w:val="NoSpacing"/>
        <w:jc w:val="both"/>
        <w:rPr>
          <w:rFonts w:ascii="Arial" w:hAnsi="Arial" w:cs="Arial"/>
          <w:sz w:val="24"/>
          <w:szCs w:val="24"/>
        </w:rPr>
      </w:pPr>
      <w:r w:rsidRPr="009C4FD9">
        <w:rPr>
          <w:rFonts w:ascii="Arial" w:hAnsi="Arial" w:cs="Arial"/>
          <w:sz w:val="24"/>
          <w:szCs w:val="24"/>
        </w:rPr>
        <w:t xml:space="preserve">Grant </w:t>
      </w:r>
      <w:r w:rsidR="00502591">
        <w:rPr>
          <w:rFonts w:ascii="Arial" w:hAnsi="Arial" w:cs="Arial"/>
          <w:sz w:val="24"/>
          <w:szCs w:val="24"/>
        </w:rPr>
        <w:t>recipients</w:t>
      </w:r>
      <w:r w:rsidRPr="009C4FD9">
        <w:rPr>
          <w:rFonts w:ascii="Arial" w:hAnsi="Arial" w:cs="Arial"/>
          <w:sz w:val="24"/>
          <w:szCs w:val="24"/>
        </w:rPr>
        <w:t xml:space="preserve"> will be required to submit data, evidence</w:t>
      </w:r>
      <w:r w:rsidR="00745D10">
        <w:rPr>
          <w:rFonts w:ascii="Arial" w:hAnsi="Arial" w:cs="Arial"/>
          <w:sz w:val="24"/>
          <w:szCs w:val="24"/>
        </w:rPr>
        <w:t xml:space="preserve"> and narrative progress updates on a quarterly or six-monthly basis (depending on the nature and scale of the project)</w:t>
      </w:r>
      <w:r w:rsidRPr="009C4FD9">
        <w:rPr>
          <w:rFonts w:ascii="Arial" w:hAnsi="Arial" w:cs="Arial"/>
          <w:sz w:val="24"/>
          <w:szCs w:val="24"/>
        </w:rPr>
        <w:t xml:space="preserve"> through the life of the project</w:t>
      </w:r>
      <w:r w:rsidR="00745D10">
        <w:rPr>
          <w:rFonts w:ascii="Arial" w:hAnsi="Arial" w:cs="Arial"/>
          <w:sz w:val="24"/>
          <w:szCs w:val="24"/>
        </w:rPr>
        <w:t>. This is to allow CDC to</w:t>
      </w:r>
      <w:r w:rsidRPr="009C4FD9">
        <w:rPr>
          <w:rFonts w:ascii="Arial" w:hAnsi="Arial" w:cs="Arial"/>
          <w:sz w:val="24"/>
          <w:szCs w:val="24"/>
        </w:rPr>
        <w:t xml:space="preserve"> </w:t>
      </w:r>
      <w:r w:rsidR="00502591">
        <w:rPr>
          <w:rFonts w:ascii="Arial" w:hAnsi="Arial" w:cs="Arial"/>
          <w:sz w:val="24"/>
          <w:szCs w:val="24"/>
        </w:rPr>
        <w:t xml:space="preserve">complete the required </w:t>
      </w:r>
      <w:r w:rsidR="00502591">
        <w:rPr>
          <w:rFonts w:ascii="Arial" w:hAnsi="Arial" w:cs="Arial"/>
          <w:sz w:val="24"/>
          <w:szCs w:val="24"/>
        </w:rPr>
        <w:lastRenderedPageBreak/>
        <w:t xml:space="preserve">information </w:t>
      </w:r>
      <w:r w:rsidR="00745D10">
        <w:rPr>
          <w:rFonts w:ascii="Arial" w:hAnsi="Arial" w:cs="Arial"/>
          <w:sz w:val="24"/>
          <w:szCs w:val="24"/>
        </w:rPr>
        <w:t xml:space="preserve">returns </w:t>
      </w:r>
      <w:r w:rsidR="00502591">
        <w:rPr>
          <w:rFonts w:ascii="Arial" w:hAnsi="Arial" w:cs="Arial"/>
          <w:sz w:val="24"/>
          <w:szCs w:val="24"/>
        </w:rPr>
        <w:t xml:space="preserve">for the </w:t>
      </w:r>
      <w:r w:rsidR="00BE780B">
        <w:rPr>
          <w:rFonts w:ascii="Arial" w:hAnsi="Arial" w:cs="Arial"/>
          <w:sz w:val="24"/>
          <w:szCs w:val="24"/>
        </w:rPr>
        <w:t xml:space="preserve">Ministry of Housing, Communities and Local Government.  </w:t>
      </w:r>
      <w:r w:rsidR="00502591">
        <w:rPr>
          <w:rFonts w:ascii="Arial" w:hAnsi="Arial" w:cs="Arial"/>
          <w:sz w:val="24"/>
          <w:szCs w:val="24"/>
        </w:rPr>
        <w:t xml:space="preserve"> The frequency </w:t>
      </w:r>
      <w:r w:rsidR="00745D10">
        <w:rPr>
          <w:rFonts w:ascii="Arial" w:hAnsi="Arial" w:cs="Arial"/>
          <w:sz w:val="24"/>
          <w:szCs w:val="24"/>
        </w:rPr>
        <w:t xml:space="preserve">and nature of required reporting </w:t>
      </w:r>
      <w:r w:rsidR="00502591">
        <w:rPr>
          <w:rFonts w:ascii="Arial" w:hAnsi="Arial" w:cs="Arial"/>
          <w:sz w:val="24"/>
          <w:szCs w:val="24"/>
        </w:rPr>
        <w:t>will be confirmed to grant recipients.</w:t>
      </w:r>
    </w:p>
    <w:p w14:paraId="1C4E21F3" w14:textId="77777777" w:rsidR="00F32726" w:rsidRPr="009C4FD9" w:rsidRDefault="00F32726" w:rsidP="00F32726">
      <w:pPr>
        <w:pStyle w:val="NoSpacing"/>
        <w:jc w:val="both"/>
        <w:rPr>
          <w:rFonts w:ascii="Arial" w:hAnsi="Arial" w:cs="Arial"/>
          <w:sz w:val="16"/>
          <w:szCs w:val="16"/>
        </w:rPr>
      </w:pPr>
    </w:p>
    <w:p w14:paraId="46D0AEF2" w14:textId="149FD134" w:rsidR="00F32726" w:rsidRPr="009C4FD9" w:rsidRDefault="00F32726" w:rsidP="00E2374D">
      <w:pPr>
        <w:pStyle w:val="NoSpacing"/>
        <w:jc w:val="both"/>
        <w:rPr>
          <w:rFonts w:ascii="Arial" w:hAnsi="Arial" w:cs="Arial"/>
          <w:sz w:val="24"/>
          <w:szCs w:val="24"/>
        </w:rPr>
      </w:pPr>
      <w:r w:rsidRPr="009C4FD9">
        <w:rPr>
          <w:rFonts w:ascii="Arial" w:hAnsi="Arial" w:cs="Arial"/>
          <w:sz w:val="24"/>
          <w:szCs w:val="24"/>
        </w:rPr>
        <w:t xml:space="preserve">Should grant recipients consider that their project might not meet the stated </w:t>
      </w:r>
      <w:r w:rsidR="00802776">
        <w:rPr>
          <w:rFonts w:ascii="Arial" w:hAnsi="Arial" w:cs="Arial"/>
          <w:sz w:val="24"/>
          <w:szCs w:val="24"/>
        </w:rPr>
        <w:t>theme, sub-theme</w:t>
      </w:r>
      <w:r w:rsidRPr="009C4FD9">
        <w:rPr>
          <w:rFonts w:ascii="Arial" w:hAnsi="Arial" w:cs="Arial"/>
          <w:sz w:val="24"/>
          <w:szCs w:val="24"/>
        </w:rPr>
        <w:t>, outcomes or outputs or will be deviating from the original application, this must be advised immediately to CDC.  In most cases these requests are required before the change is made to the project.  Grant recipients must allow sufficient time for CDC to consider and process these changes.</w:t>
      </w:r>
    </w:p>
    <w:p w14:paraId="6DCFF269" w14:textId="5D9398EF" w:rsidR="00F32726" w:rsidRPr="009C4FD9" w:rsidRDefault="00F32726" w:rsidP="00E2374D">
      <w:pPr>
        <w:pStyle w:val="NoSpacing"/>
        <w:jc w:val="both"/>
        <w:rPr>
          <w:rFonts w:ascii="Arial" w:hAnsi="Arial" w:cs="Arial"/>
          <w:sz w:val="24"/>
          <w:szCs w:val="24"/>
        </w:rPr>
      </w:pPr>
    </w:p>
    <w:p w14:paraId="025EED28" w14:textId="6AB12CD1" w:rsidR="00F32726" w:rsidRPr="009C4FD9" w:rsidRDefault="00F32726" w:rsidP="00E2374D">
      <w:pPr>
        <w:pStyle w:val="NoSpacing"/>
        <w:jc w:val="both"/>
        <w:rPr>
          <w:rFonts w:ascii="Arial" w:hAnsi="Arial" w:cs="Arial"/>
          <w:sz w:val="24"/>
          <w:szCs w:val="24"/>
        </w:rPr>
      </w:pPr>
      <w:r w:rsidRPr="009C4FD9">
        <w:rPr>
          <w:rFonts w:ascii="Arial" w:hAnsi="Arial" w:cs="Arial"/>
          <w:sz w:val="24"/>
          <w:szCs w:val="24"/>
        </w:rPr>
        <w:t>CDC will be required to demonstrate that any funding is spent during the financial year in which it has been allocated.  Fund recipients must ensure that their projects meet the timescales for delivery</w:t>
      </w:r>
      <w:r w:rsidR="00502591">
        <w:rPr>
          <w:rFonts w:ascii="Arial" w:hAnsi="Arial" w:cs="Arial"/>
          <w:sz w:val="24"/>
          <w:szCs w:val="24"/>
        </w:rPr>
        <w:t xml:space="preserve">.  The </w:t>
      </w:r>
      <w:r w:rsidR="00BE780B">
        <w:rPr>
          <w:rFonts w:ascii="Arial" w:hAnsi="Arial" w:cs="Arial"/>
          <w:sz w:val="24"/>
          <w:szCs w:val="24"/>
        </w:rPr>
        <w:t>Ministry of Housing, Communities and Local Government</w:t>
      </w:r>
      <w:r w:rsidRPr="009C4FD9">
        <w:rPr>
          <w:rFonts w:ascii="Arial" w:hAnsi="Arial" w:cs="Arial"/>
          <w:sz w:val="24"/>
          <w:szCs w:val="24"/>
        </w:rPr>
        <w:t xml:space="preserve"> </w:t>
      </w:r>
      <w:proofErr w:type="gramStart"/>
      <w:r w:rsidRPr="009C4FD9">
        <w:rPr>
          <w:rFonts w:ascii="Arial" w:hAnsi="Arial" w:cs="Arial"/>
          <w:sz w:val="24"/>
          <w:szCs w:val="24"/>
        </w:rPr>
        <w:t>are able to</w:t>
      </w:r>
      <w:proofErr w:type="gramEnd"/>
      <w:r w:rsidRPr="009C4FD9">
        <w:rPr>
          <w:rFonts w:ascii="Arial" w:hAnsi="Arial" w:cs="Arial"/>
          <w:sz w:val="24"/>
          <w:szCs w:val="24"/>
        </w:rPr>
        <w:t xml:space="preserve"> claim back any underspend should projects not be completed by 31</w:t>
      </w:r>
      <w:r w:rsidRPr="009C4FD9">
        <w:rPr>
          <w:rFonts w:ascii="Arial" w:hAnsi="Arial" w:cs="Arial"/>
          <w:sz w:val="24"/>
          <w:szCs w:val="24"/>
          <w:vertAlign w:val="superscript"/>
        </w:rPr>
        <w:t>st</w:t>
      </w:r>
      <w:r w:rsidRPr="009C4FD9">
        <w:rPr>
          <w:rFonts w:ascii="Arial" w:hAnsi="Arial" w:cs="Arial"/>
          <w:sz w:val="24"/>
          <w:szCs w:val="24"/>
        </w:rPr>
        <w:t xml:space="preserve"> March</w:t>
      </w:r>
      <w:r w:rsidR="00BC0D7C">
        <w:rPr>
          <w:rFonts w:ascii="Arial" w:hAnsi="Arial" w:cs="Arial"/>
          <w:sz w:val="24"/>
          <w:szCs w:val="24"/>
        </w:rPr>
        <w:t>.</w:t>
      </w:r>
    </w:p>
    <w:p w14:paraId="0D8A8A34" w14:textId="16E4B234" w:rsidR="0012326B" w:rsidRPr="009C4FD9" w:rsidRDefault="0012326B" w:rsidP="00E2374D">
      <w:pPr>
        <w:pStyle w:val="NoSpacing"/>
        <w:jc w:val="both"/>
        <w:rPr>
          <w:rFonts w:ascii="Arial" w:hAnsi="Arial" w:cs="Arial"/>
          <w:sz w:val="24"/>
          <w:szCs w:val="24"/>
        </w:rPr>
      </w:pPr>
    </w:p>
    <w:p w14:paraId="5E95290A" w14:textId="1C74D038" w:rsidR="0012326B" w:rsidRPr="009C4FD9" w:rsidRDefault="0012326B" w:rsidP="00E2374D">
      <w:pPr>
        <w:pStyle w:val="NoSpacing"/>
        <w:jc w:val="both"/>
        <w:rPr>
          <w:rFonts w:ascii="Arial" w:hAnsi="Arial" w:cs="Arial"/>
          <w:sz w:val="24"/>
          <w:szCs w:val="24"/>
        </w:rPr>
      </w:pPr>
      <w:r w:rsidRPr="009C4FD9">
        <w:rPr>
          <w:rFonts w:ascii="Arial" w:hAnsi="Arial" w:cs="Arial"/>
          <w:sz w:val="24"/>
          <w:szCs w:val="24"/>
        </w:rPr>
        <w:t xml:space="preserve">Grant recipients should be aware that randomised sampling of use of the </w:t>
      </w:r>
      <w:r w:rsidR="00FF7012">
        <w:rPr>
          <w:rFonts w:ascii="Arial" w:hAnsi="Arial" w:cs="Arial"/>
          <w:sz w:val="24"/>
          <w:szCs w:val="24"/>
        </w:rPr>
        <w:t>Rural England Prosperity Funds</w:t>
      </w:r>
      <w:r w:rsidR="00BC0D7C">
        <w:rPr>
          <w:rFonts w:ascii="Arial" w:hAnsi="Arial" w:cs="Arial"/>
          <w:sz w:val="24"/>
          <w:szCs w:val="24"/>
        </w:rPr>
        <w:t xml:space="preserve"> may be undertaken</w:t>
      </w:r>
      <w:r w:rsidR="00FF7012">
        <w:rPr>
          <w:rFonts w:ascii="Arial" w:hAnsi="Arial" w:cs="Arial"/>
          <w:sz w:val="24"/>
          <w:szCs w:val="24"/>
        </w:rPr>
        <w:t xml:space="preserve">.  </w:t>
      </w:r>
      <w:r w:rsidRPr="009C4FD9">
        <w:rPr>
          <w:rFonts w:ascii="Arial" w:hAnsi="Arial" w:cs="Arial"/>
          <w:sz w:val="24"/>
          <w:szCs w:val="24"/>
        </w:rPr>
        <w:t xml:space="preserve">This could include surveys, case studies and control trials.  </w:t>
      </w:r>
    </w:p>
    <w:p w14:paraId="022EDC81" w14:textId="5ACDE846" w:rsidR="0012326B" w:rsidRPr="009C4FD9" w:rsidRDefault="0012326B" w:rsidP="00E2374D">
      <w:pPr>
        <w:pStyle w:val="NoSpacing"/>
        <w:jc w:val="both"/>
        <w:rPr>
          <w:rFonts w:ascii="Arial" w:hAnsi="Arial" w:cs="Arial"/>
          <w:sz w:val="24"/>
          <w:szCs w:val="24"/>
        </w:rPr>
      </w:pPr>
    </w:p>
    <w:p w14:paraId="4C67C2D9" w14:textId="4864B947" w:rsidR="0043756F" w:rsidRPr="009C4FD9" w:rsidRDefault="0012326B" w:rsidP="0043756F">
      <w:pPr>
        <w:pStyle w:val="NoSpacing"/>
        <w:jc w:val="both"/>
        <w:rPr>
          <w:rFonts w:ascii="Arial" w:hAnsi="Arial" w:cs="Arial"/>
          <w:sz w:val="24"/>
          <w:szCs w:val="24"/>
        </w:rPr>
      </w:pPr>
      <w:r w:rsidRPr="009C4FD9">
        <w:rPr>
          <w:rFonts w:ascii="Arial" w:hAnsi="Arial" w:cs="Arial"/>
          <w:sz w:val="24"/>
          <w:szCs w:val="24"/>
        </w:rPr>
        <w:t xml:space="preserve">Grant recipients will be required to use the branding and publicity of the </w:t>
      </w:r>
      <w:r w:rsidR="00FF7012">
        <w:rPr>
          <w:rFonts w:ascii="Arial" w:hAnsi="Arial" w:cs="Arial"/>
          <w:sz w:val="24"/>
          <w:szCs w:val="24"/>
        </w:rPr>
        <w:t>REPF</w:t>
      </w:r>
      <w:r w:rsidRPr="009C4FD9">
        <w:rPr>
          <w:rFonts w:ascii="Arial" w:hAnsi="Arial" w:cs="Arial"/>
          <w:sz w:val="24"/>
          <w:szCs w:val="24"/>
        </w:rPr>
        <w:t xml:space="preserve"> scheme across all stages of the project and </w:t>
      </w:r>
      <w:r w:rsidR="005B1DBB">
        <w:rPr>
          <w:rFonts w:ascii="Arial" w:hAnsi="Arial" w:cs="Arial"/>
          <w:sz w:val="24"/>
          <w:szCs w:val="24"/>
        </w:rPr>
        <w:t xml:space="preserve">all </w:t>
      </w:r>
      <w:r w:rsidRPr="009C4FD9">
        <w:rPr>
          <w:rFonts w:ascii="Arial" w:hAnsi="Arial" w:cs="Arial"/>
          <w:sz w:val="24"/>
          <w:szCs w:val="24"/>
        </w:rPr>
        <w:t>commun</w:t>
      </w:r>
      <w:r w:rsidR="00FD3775" w:rsidRPr="009C4FD9">
        <w:rPr>
          <w:rFonts w:ascii="Arial" w:hAnsi="Arial" w:cs="Arial"/>
          <w:sz w:val="24"/>
          <w:szCs w:val="24"/>
        </w:rPr>
        <w:t xml:space="preserve">ication methods. This </w:t>
      </w:r>
      <w:r w:rsidR="005B1DBB">
        <w:rPr>
          <w:rFonts w:ascii="Arial" w:hAnsi="Arial" w:cs="Arial"/>
          <w:sz w:val="24"/>
          <w:szCs w:val="24"/>
        </w:rPr>
        <w:t xml:space="preserve">can include </w:t>
      </w:r>
      <w:r w:rsidR="00FD3775" w:rsidRPr="009C4FD9">
        <w:rPr>
          <w:rFonts w:ascii="Arial" w:hAnsi="Arial" w:cs="Arial"/>
          <w:sz w:val="24"/>
          <w:szCs w:val="24"/>
        </w:rPr>
        <w:t>logo use, plaques</w:t>
      </w:r>
      <w:r w:rsidR="005B1DBB">
        <w:rPr>
          <w:rFonts w:ascii="Arial" w:hAnsi="Arial" w:cs="Arial"/>
          <w:sz w:val="24"/>
          <w:szCs w:val="24"/>
        </w:rPr>
        <w:t xml:space="preserve"> on physical assets, website links, social media promotion</w:t>
      </w:r>
      <w:r w:rsidR="00FD3775" w:rsidRPr="009C4FD9">
        <w:rPr>
          <w:rFonts w:ascii="Arial" w:hAnsi="Arial" w:cs="Arial"/>
          <w:sz w:val="24"/>
          <w:szCs w:val="24"/>
        </w:rPr>
        <w:t xml:space="preserve">, print and digital materials.  </w:t>
      </w:r>
      <w:r w:rsidR="00BC0D7C">
        <w:rPr>
          <w:rFonts w:ascii="Arial" w:hAnsi="Arial" w:cs="Arial"/>
          <w:sz w:val="24"/>
          <w:szCs w:val="24"/>
        </w:rPr>
        <w:t>E</w:t>
      </w:r>
      <w:r w:rsidR="0043756F" w:rsidRPr="009C4FD9">
        <w:rPr>
          <w:rFonts w:ascii="Arial" w:hAnsi="Arial" w:cs="Arial"/>
          <w:sz w:val="24"/>
          <w:szCs w:val="24"/>
        </w:rPr>
        <w:t xml:space="preserve">vidence of compliance should be kept for audit purposes. </w:t>
      </w:r>
    </w:p>
    <w:p w14:paraId="0CEC36DE" w14:textId="43AADF7D" w:rsidR="00FD3775" w:rsidRPr="009C4FD9" w:rsidRDefault="00FD3775" w:rsidP="00FD3775">
      <w:pPr>
        <w:pStyle w:val="NoSpacing"/>
        <w:jc w:val="both"/>
        <w:rPr>
          <w:rFonts w:ascii="Arial" w:hAnsi="Arial" w:cs="Arial"/>
          <w:sz w:val="24"/>
          <w:szCs w:val="24"/>
        </w:rPr>
      </w:pPr>
    </w:p>
    <w:p w14:paraId="0E5C27C5" w14:textId="5B24B6D4" w:rsidR="00D735C3" w:rsidRPr="009C4FD9" w:rsidRDefault="00D735C3" w:rsidP="00D735C3">
      <w:pPr>
        <w:pStyle w:val="NoSpacing"/>
        <w:jc w:val="both"/>
        <w:rPr>
          <w:rFonts w:ascii="Arial" w:hAnsi="Arial" w:cs="Arial"/>
          <w:sz w:val="24"/>
          <w:szCs w:val="24"/>
        </w:rPr>
      </w:pPr>
      <w:r w:rsidRPr="009C4FD9">
        <w:rPr>
          <w:rFonts w:ascii="Arial" w:hAnsi="Arial" w:cs="Arial"/>
          <w:sz w:val="24"/>
          <w:szCs w:val="24"/>
        </w:rPr>
        <w:t xml:space="preserve">All Lead Local Authorities and applicants for grants from the </w:t>
      </w:r>
      <w:r w:rsidR="00FF7012">
        <w:rPr>
          <w:rFonts w:ascii="Arial" w:hAnsi="Arial" w:cs="Arial"/>
          <w:sz w:val="24"/>
          <w:szCs w:val="24"/>
        </w:rPr>
        <w:t xml:space="preserve">REPF </w:t>
      </w:r>
      <w:r w:rsidRPr="009C4FD9">
        <w:rPr>
          <w:rFonts w:ascii="Arial" w:hAnsi="Arial" w:cs="Arial"/>
          <w:sz w:val="24"/>
          <w:szCs w:val="24"/>
        </w:rPr>
        <w:t xml:space="preserve">must consider whether </w:t>
      </w:r>
      <w:r w:rsidR="00FF7012">
        <w:rPr>
          <w:rFonts w:ascii="Arial" w:hAnsi="Arial" w:cs="Arial"/>
          <w:sz w:val="24"/>
          <w:szCs w:val="24"/>
        </w:rPr>
        <w:t xml:space="preserve">the </w:t>
      </w:r>
      <w:r w:rsidRPr="009C4FD9">
        <w:rPr>
          <w:rFonts w:ascii="Arial" w:hAnsi="Arial" w:cs="Arial"/>
          <w:sz w:val="24"/>
          <w:szCs w:val="24"/>
        </w:rPr>
        <w:t xml:space="preserve">funding will be used to provide a subsidy and whether that subsidy will contravene obligations. </w:t>
      </w:r>
      <w:r w:rsidR="00AD02A8" w:rsidRPr="009C4FD9">
        <w:rPr>
          <w:rFonts w:ascii="Arial" w:hAnsi="Arial" w:cs="Arial"/>
          <w:sz w:val="24"/>
          <w:szCs w:val="24"/>
        </w:rPr>
        <w:t xml:space="preserve"> Sufficient time should be built into the programme to enable </w:t>
      </w:r>
      <w:r w:rsidR="00FF7012">
        <w:rPr>
          <w:rFonts w:ascii="Arial" w:hAnsi="Arial" w:cs="Arial"/>
          <w:sz w:val="24"/>
          <w:szCs w:val="24"/>
        </w:rPr>
        <w:t>consideration to be given to this.</w:t>
      </w:r>
      <w:r w:rsidR="005B1DBB">
        <w:rPr>
          <w:rFonts w:ascii="Arial" w:hAnsi="Arial" w:cs="Arial"/>
          <w:sz w:val="24"/>
          <w:szCs w:val="24"/>
        </w:rPr>
        <w:t xml:space="preserve"> </w:t>
      </w:r>
      <w:r w:rsidR="00DF5E99">
        <w:rPr>
          <w:rFonts w:ascii="Arial" w:hAnsi="Arial" w:cs="Arial"/>
          <w:sz w:val="24"/>
          <w:szCs w:val="24"/>
        </w:rPr>
        <w:t xml:space="preserve"> </w:t>
      </w:r>
      <w:r w:rsidRPr="009C4FD9">
        <w:rPr>
          <w:rFonts w:ascii="Arial" w:hAnsi="Arial" w:cs="Arial"/>
          <w:sz w:val="24"/>
          <w:szCs w:val="24"/>
        </w:rPr>
        <w:t>If a subsidy is identified, lead local authorities must explain</w:t>
      </w:r>
      <w:r w:rsidR="00AD02A8" w:rsidRPr="009C4FD9">
        <w:rPr>
          <w:rFonts w:ascii="Arial" w:hAnsi="Arial" w:cs="Arial"/>
          <w:sz w:val="24"/>
          <w:szCs w:val="24"/>
        </w:rPr>
        <w:t xml:space="preserve"> through the reporting mechanisms </w:t>
      </w:r>
      <w:r w:rsidRPr="009C4FD9">
        <w:rPr>
          <w:rFonts w:ascii="Arial" w:hAnsi="Arial" w:cs="Arial"/>
          <w:sz w:val="24"/>
          <w:szCs w:val="24"/>
        </w:rPr>
        <w:t>how the subsidy has been provided compliantly.</w:t>
      </w:r>
    </w:p>
    <w:p w14:paraId="006E6C71" w14:textId="77777777" w:rsidR="00D735C3" w:rsidRPr="009C4FD9" w:rsidRDefault="00D735C3" w:rsidP="00D735C3">
      <w:pPr>
        <w:pStyle w:val="NoSpacing"/>
        <w:jc w:val="both"/>
        <w:rPr>
          <w:rFonts w:ascii="Arial" w:hAnsi="Arial" w:cs="Arial"/>
          <w:sz w:val="16"/>
          <w:szCs w:val="16"/>
        </w:rPr>
      </w:pPr>
    </w:p>
    <w:p w14:paraId="2742C8B0" w14:textId="2053DE99" w:rsidR="00D735C3" w:rsidRPr="009C4FD9" w:rsidRDefault="00AD02A8" w:rsidP="00D735C3">
      <w:pPr>
        <w:pStyle w:val="NoSpacing"/>
        <w:jc w:val="both"/>
        <w:rPr>
          <w:rFonts w:ascii="Arial" w:hAnsi="Arial" w:cs="Arial"/>
          <w:sz w:val="24"/>
          <w:szCs w:val="24"/>
        </w:rPr>
      </w:pPr>
      <w:r w:rsidRPr="009C4FD9">
        <w:rPr>
          <w:rFonts w:ascii="Arial" w:hAnsi="Arial" w:cs="Arial"/>
          <w:sz w:val="24"/>
          <w:szCs w:val="24"/>
        </w:rPr>
        <w:t xml:space="preserve">CDC will </w:t>
      </w:r>
      <w:r w:rsidR="00FF7012">
        <w:rPr>
          <w:rFonts w:ascii="Arial" w:hAnsi="Arial" w:cs="Arial"/>
          <w:sz w:val="24"/>
          <w:szCs w:val="24"/>
        </w:rPr>
        <w:t xml:space="preserve">undertake a </w:t>
      </w:r>
      <w:r w:rsidRPr="009C4FD9">
        <w:rPr>
          <w:rFonts w:ascii="Arial" w:hAnsi="Arial" w:cs="Arial"/>
          <w:sz w:val="24"/>
          <w:szCs w:val="24"/>
        </w:rPr>
        <w:t xml:space="preserve">check </w:t>
      </w:r>
      <w:r w:rsidR="00FF7012">
        <w:rPr>
          <w:rFonts w:ascii="Arial" w:hAnsi="Arial" w:cs="Arial"/>
          <w:sz w:val="24"/>
          <w:szCs w:val="24"/>
        </w:rPr>
        <w:t xml:space="preserve">of any other grants which applicants have applied for or been awarded through the district council.  </w:t>
      </w:r>
    </w:p>
    <w:p w14:paraId="4819C86A" w14:textId="77777777" w:rsidR="00D735C3" w:rsidRPr="009C4FD9" w:rsidRDefault="00D735C3" w:rsidP="00D735C3">
      <w:pPr>
        <w:pStyle w:val="NoSpacing"/>
        <w:jc w:val="both"/>
        <w:rPr>
          <w:rFonts w:ascii="Arial" w:hAnsi="Arial" w:cs="Arial"/>
          <w:sz w:val="16"/>
          <w:szCs w:val="16"/>
        </w:rPr>
      </w:pPr>
    </w:p>
    <w:p w14:paraId="599BC98B" w14:textId="0D8D35D1" w:rsidR="00D735C3" w:rsidRPr="009C4FD9" w:rsidRDefault="00D735C3" w:rsidP="00D735C3">
      <w:pPr>
        <w:pStyle w:val="NoSpacing"/>
        <w:jc w:val="both"/>
        <w:rPr>
          <w:rFonts w:ascii="Arial" w:hAnsi="Arial" w:cs="Arial"/>
          <w:sz w:val="24"/>
          <w:szCs w:val="24"/>
        </w:rPr>
      </w:pPr>
      <w:r w:rsidRPr="009C4FD9">
        <w:rPr>
          <w:rFonts w:ascii="Arial" w:hAnsi="Arial" w:cs="Arial"/>
          <w:sz w:val="24"/>
          <w:szCs w:val="24"/>
        </w:rPr>
        <w:t>I</w:t>
      </w:r>
      <w:r w:rsidR="00AD02A8" w:rsidRPr="009C4FD9">
        <w:rPr>
          <w:rFonts w:ascii="Arial" w:hAnsi="Arial" w:cs="Arial"/>
          <w:sz w:val="24"/>
          <w:szCs w:val="24"/>
        </w:rPr>
        <w:t xml:space="preserve">t is expected that grant recipients </w:t>
      </w:r>
      <w:r w:rsidR="00C04DEE" w:rsidRPr="009C4FD9">
        <w:rPr>
          <w:rFonts w:ascii="Arial" w:hAnsi="Arial" w:cs="Arial"/>
          <w:sz w:val="24"/>
          <w:szCs w:val="24"/>
        </w:rPr>
        <w:t>follow the minimum procedures as set out below in relation to procurement.  Grant recipients will be required to submit evidence of compliance with these in order that CDC can monitor and report:</w:t>
      </w:r>
    </w:p>
    <w:p w14:paraId="7D563B89" w14:textId="77777777" w:rsidR="00C04DEE" w:rsidRPr="009C4FD9" w:rsidRDefault="00C04DEE" w:rsidP="00D735C3">
      <w:pPr>
        <w:pStyle w:val="NoSpacing"/>
        <w:jc w:val="both"/>
        <w:rPr>
          <w:rFonts w:ascii="Arial" w:hAnsi="Arial" w:cs="Arial"/>
          <w:sz w:val="24"/>
          <w:szCs w:val="24"/>
        </w:rPr>
      </w:pPr>
    </w:p>
    <w:p w14:paraId="4FF32CF8" w14:textId="15986F9F" w:rsidR="00D735C3" w:rsidRPr="00D651B0" w:rsidRDefault="00D735C3" w:rsidP="00B7266D">
      <w:pPr>
        <w:pStyle w:val="NoSpacing"/>
        <w:numPr>
          <w:ilvl w:val="0"/>
          <w:numId w:val="35"/>
        </w:numPr>
        <w:ind w:left="709" w:hanging="425"/>
        <w:jc w:val="both"/>
        <w:rPr>
          <w:rFonts w:ascii="Arial" w:hAnsi="Arial" w:cs="Arial"/>
          <w:color w:val="FF0000"/>
          <w:sz w:val="24"/>
          <w:szCs w:val="24"/>
        </w:rPr>
      </w:pPr>
      <w:r w:rsidRPr="009C4FD9">
        <w:rPr>
          <w:rFonts w:ascii="Arial" w:hAnsi="Arial" w:cs="Arial"/>
          <w:sz w:val="24"/>
          <w:szCs w:val="24"/>
        </w:rPr>
        <w:t>Contract value up to £2,</w:t>
      </w:r>
      <w:r w:rsidR="00154054">
        <w:rPr>
          <w:rFonts w:ascii="Arial" w:hAnsi="Arial" w:cs="Arial"/>
          <w:sz w:val="24"/>
          <w:szCs w:val="24"/>
        </w:rPr>
        <w:t>001</w:t>
      </w:r>
      <w:r w:rsidRPr="009C4FD9">
        <w:rPr>
          <w:rFonts w:ascii="Arial" w:hAnsi="Arial" w:cs="Arial"/>
          <w:sz w:val="24"/>
          <w:szCs w:val="24"/>
        </w:rPr>
        <w:t xml:space="preserve"> – direct award</w:t>
      </w:r>
      <w:r w:rsidR="00D651B0" w:rsidRPr="00D651B0">
        <w:t xml:space="preserve"> </w:t>
      </w:r>
    </w:p>
    <w:p w14:paraId="3F10FFB5" w14:textId="05ABCDA1" w:rsidR="00D735C3" w:rsidRPr="009C4FD9" w:rsidRDefault="00D735C3" w:rsidP="00D735C3">
      <w:pPr>
        <w:pStyle w:val="NoSpacing"/>
        <w:numPr>
          <w:ilvl w:val="0"/>
          <w:numId w:val="7"/>
        </w:numPr>
        <w:jc w:val="both"/>
        <w:rPr>
          <w:rFonts w:ascii="Arial" w:hAnsi="Arial" w:cs="Arial"/>
          <w:sz w:val="24"/>
          <w:szCs w:val="24"/>
        </w:rPr>
      </w:pPr>
      <w:r w:rsidRPr="009C4FD9">
        <w:rPr>
          <w:rFonts w:ascii="Arial" w:hAnsi="Arial" w:cs="Arial"/>
          <w:sz w:val="24"/>
          <w:szCs w:val="24"/>
        </w:rPr>
        <w:t>Contract value between £2,</w:t>
      </w:r>
      <w:r w:rsidR="00154054">
        <w:rPr>
          <w:rFonts w:ascii="Arial" w:hAnsi="Arial" w:cs="Arial"/>
          <w:sz w:val="24"/>
          <w:szCs w:val="24"/>
        </w:rPr>
        <w:t>001</w:t>
      </w:r>
      <w:r w:rsidRPr="009C4FD9">
        <w:rPr>
          <w:rFonts w:ascii="Arial" w:hAnsi="Arial" w:cs="Arial"/>
          <w:sz w:val="24"/>
          <w:szCs w:val="24"/>
        </w:rPr>
        <w:t xml:space="preserve"> and £24,999 – </w:t>
      </w:r>
      <w:r w:rsidR="00154054">
        <w:rPr>
          <w:rFonts w:ascii="Arial" w:hAnsi="Arial" w:cs="Arial"/>
          <w:sz w:val="24"/>
          <w:szCs w:val="24"/>
        </w:rPr>
        <w:t>2</w:t>
      </w:r>
      <w:r w:rsidRPr="009C4FD9">
        <w:rPr>
          <w:rFonts w:ascii="Arial" w:hAnsi="Arial" w:cs="Arial"/>
          <w:sz w:val="24"/>
          <w:szCs w:val="24"/>
        </w:rPr>
        <w:t xml:space="preserve"> written quotes or prices from relevant suppliers</w:t>
      </w:r>
    </w:p>
    <w:p w14:paraId="0A2EA5E3" w14:textId="77777777" w:rsidR="00D735C3" w:rsidRPr="009C4FD9" w:rsidRDefault="00D735C3" w:rsidP="00D735C3">
      <w:pPr>
        <w:pStyle w:val="NoSpacing"/>
        <w:numPr>
          <w:ilvl w:val="0"/>
          <w:numId w:val="7"/>
        </w:numPr>
        <w:jc w:val="both"/>
        <w:rPr>
          <w:rFonts w:ascii="Arial" w:hAnsi="Arial" w:cs="Arial"/>
          <w:sz w:val="24"/>
          <w:szCs w:val="24"/>
        </w:rPr>
      </w:pPr>
      <w:r w:rsidRPr="009C4FD9">
        <w:rPr>
          <w:rFonts w:ascii="Arial" w:hAnsi="Arial" w:cs="Arial"/>
          <w:sz w:val="24"/>
          <w:szCs w:val="24"/>
        </w:rPr>
        <w:t>Contract value £25,000 or more – Formal tender process</w:t>
      </w:r>
    </w:p>
    <w:p w14:paraId="3A9EB4DB" w14:textId="77777777" w:rsidR="00D735C3" w:rsidRPr="009C4FD9" w:rsidRDefault="00D735C3" w:rsidP="00D735C3">
      <w:pPr>
        <w:pStyle w:val="NoSpacing"/>
        <w:jc w:val="both"/>
        <w:rPr>
          <w:rFonts w:ascii="Arial" w:hAnsi="Arial" w:cs="Arial"/>
          <w:sz w:val="16"/>
          <w:szCs w:val="16"/>
        </w:rPr>
      </w:pPr>
    </w:p>
    <w:p w14:paraId="3DABE3B6" w14:textId="77777777" w:rsidR="00D735C3" w:rsidRPr="009C4FD9" w:rsidRDefault="00D735C3" w:rsidP="00D735C3">
      <w:pPr>
        <w:pStyle w:val="NoSpacing"/>
        <w:jc w:val="both"/>
        <w:rPr>
          <w:rFonts w:ascii="Arial" w:hAnsi="Arial" w:cs="Arial"/>
          <w:b/>
          <w:bCs/>
          <w:sz w:val="16"/>
          <w:szCs w:val="16"/>
        </w:rPr>
      </w:pPr>
    </w:p>
    <w:p w14:paraId="34AF95BA" w14:textId="692BFC49" w:rsidR="00C04DEE" w:rsidRPr="009C4FD9" w:rsidRDefault="00C04DEE" w:rsidP="00D735C3">
      <w:pPr>
        <w:jc w:val="both"/>
        <w:rPr>
          <w:rFonts w:ascii="Arial" w:hAnsi="Arial" w:cs="Arial"/>
          <w:sz w:val="24"/>
          <w:szCs w:val="24"/>
        </w:rPr>
      </w:pPr>
      <w:r w:rsidRPr="009C4FD9">
        <w:rPr>
          <w:rFonts w:ascii="Arial" w:hAnsi="Arial" w:cs="Arial"/>
          <w:sz w:val="24"/>
          <w:szCs w:val="24"/>
        </w:rPr>
        <w:lastRenderedPageBreak/>
        <w:t xml:space="preserve">CDC is required to adhere to the Equality Act 2010 and work within the duties placed on us through the Public Sector Equality Duty.  This requirement covers the work undertaken by CDC Officers in administering and coordinating the UK Shared Prosperity </w:t>
      </w:r>
      <w:r w:rsidR="0049411F">
        <w:rPr>
          <w:rFonts w:ascii="Arial" w:hAnsi="Arial" w:cs="Arial"/>
          <w:sz w:val="24"/>
          <w:szCs w:val="24"/>
        </w:rPr>
        <w:t>and Rural England Prosperity Funds.</w:t>
      </w:r>
      <w:r w:rsidR="00880109">
        <w:rPr>
          <w:rFonts w:ascii="Arial" w:hAnsi="Arial" w:cs="Arial"/>
          <w:sz w:val="24"/>
          <w:szCs w:val="24"/>
        </w:rPr>
        <w:t xml:space="preserve"> </w:t>
      </w:r>
      <w:r w:rsidR="0049411F">
        <w:rPr>
          <w:rFonts w:ascii="Arial" w:hAnsi="Arial" w:cs="Arial"/>
          <w:sz w:val="24"/>
          <w:szCs w:val="24"/>
        </w:rPr>
        <w:t xml:space="preserve">  </w:t>
      </w:r>
    </w:p>
    <w:p w14:paraId="11C58DD1" w14:textId="1A93A06A" w:rsidR="00AD02A8" w:rsidRPr="009C4FD9" w:rsidRDefault="00C04DEE" w:rsidP="009E4A62">
      <w:pPr>
        <w:jc w:val="both"/>
        <w:rPr>
          <w:rFonts w:ascii="Arial" w:hAnsi="Arial" w:cs="Arial"/>
          <w:sz w:val="24"/>
          <w:szCs w:val="24"/>
        </w:rPr>
      </w:pPr>
      <w:r w:rsidRPr="000916EE">
        <w:rPr>
          <w:rFonts w:ascii="Arial" w:hAnsi="Arial" w:cs="Arial"/>
          <w:sz w:val="24"/>
          <w:szCs w:val="24"/>
        </w:rPr>
        <w:t xml:space="preserve">Projects will </w:t>
      </w:r>
      <w:r w:rsidR="00F121BC" w:rsidRPr="000916EE">
        <w:rPr>
          <w:rFonts w:ascii="Arial" w:hAnsi="Arial" w:cs="Arial"/>
          <w:sz w:val="24"/>
          <w:szCs w:val="24"/>
        </w:rPr>
        <w:t xml:space="preserve">require </w:t>
      </w:r>
      <w:r w:rsidRPr="000916EE">
        <w:rPr>
          <w:rFonts w:ascii="Arial" w:hAnsi="Arial" w:cs="Arial"/>
          <w:sz w:val="24"/>
          <w:szCs w:val="24"/>
        </w:rPr>
        <w:t>match funding of a minimum of 20%</w:t>
      </w:r>
      <w:r w:rsidR="00F121BC" w:rsidRPr="000916EE">
        <w:rPr>
          <w:rFonts w:ascii="Arial" w:hAnsi="Arial" w:cs="Arial"/>
          <w:sz w:val="24"/>
          <w:szCs w:val="24"/>
        </w:rPr>
        <w:t xml:space="preserve"> and i</w:t>
      </w:r>
      <w:r w:rsidRPr="000916EE">
        <w:rPr>
          <w:rFonts w:ascii="Arial" w:hAnsi="Arial" w:cs="Arial"/>
          <w:sz w:val="24"/>
          <w:szCs w:val="24"/>
        </w:rPr>
        <w:t xml:space="preserve">ndividual grants will not generally </w:t>
      </w:r>
      <w:r w:rsidR="009A17EE" w:rsidRPr="000916EE">
        <w:rPr>
          <w:rFonts w:ascii="Arial" w:hAnsi="Arial" w:cs="Arial"/>
          <w:sz w:val="24"/>
          <w:szCs w:val="24"/>
        </w:rPr>
        <w:t xml:space="preserve">exceed </w:t>
      </w:r>
      <w:r w:rsidR="009A17EE">
        <w:rPr>
          <w:rFonts w:ascii="Arial" w:hAnsi="Arial" w:cs="Arial"/>
          <w:sz w:val="24"/>
          <w:szCs w:val="24"/>
        </w:rPr>
        <w:t>£</w:t>
      </w:r>
      <w:r w:rsidR="00530EA0">
        <w:rPr>
          <w:rFonts w:ascii="Arial" w:hAnsi="Arial" w:cs="Arial"/>
          <w:sz w:val="24"/>
          <w:szCs w:val="24"/>
        </w:rPr>
        <w:t>2</w:t>
      </w:r>
      <w:r w:rsidR="0040170E">
        <w:rPr>
          <w:rFonts w:ascii="Arial" w:hAnsi="Arial" w:cs="Arial"/>
          <w:sz w:val="24"/>
          <w:szCs w:val="24"/>
        </w:rPr>
        <w:t>5</w:t>
      </w:r>
      <w:r w:rsidR="00530EA0">
        <w:rPr>
          <w:rFonts w:ascii="Arial" w:hAnsi="Arial" w:cs="Arial"/>
          <w:sz w:val="24"/>
          <w:szCs w:val="24"/>
        </w:rPr>
        <w:t xml:space="preserve">,000 </w:t>
      </w:r>
      <w:r w:rsidR="00F121BC" w:rsidRPr="000916EE">
        <w:rPr>
          <w:rFonts w:ascii="Arial" w:hAnsi="Arial" w:cs="Arial"/>
          <w:sz w:val="24"/>
          <w:szCs w:val="24"/>
        </w:rPr>
        <w:t>unless in exceptional circumstances</w:t>
      </w:r>
      <w:r w:rsidR="009E4A62" w:rsidRPr="000916EE">
        <w:rPr>
          <w:rFonts w:ascii="Arial" w:hAnsi="Arial" w:cs="Arial"/>
          <w:sz w:val="24"/>
          <w:szCs w:val="24"/>
        </w:rPr>
        <w:t>.</w:t>
      </w:r>
      <w:r w:rsidR="00D651B0">
        <w:rPr>
          <w:rFonts w:ascii="Arial" w:hAnsi="Arial" w:cs="Arial"/>
          <w:sz w:val="24"/>
          <w:szCs w:val="24"/>
        </w:rPr>
        <w:t xml:space="preserve">  </w:t>
      </w:r>
    </w:p>
    <w:p w14:paraId="28B4E344" w14:textId="577A5CCD" w:rsidR="009E4A62" w:rsidRPr="009C4FD9" w:rsidRDefault="009E4A62" w:rsidP="009E4A62">
      <w:pPr>
        <w:jc w:val="both"/>
        <w:rPr>
          <w:rFonts w:ascii="Arial" w:hAnsi="Arial" w:cs="Arial"/>
          <w:sz w:val="24"/>
          <w:szCs w:val="24"/>
        </w:rPr>
      </w:pPr>
      <w:r w:rsidRPr="009C4FD9">
        <w:rPr>
          <w:rFonts w:ascii="Arial" w:hAnsi="Arial" w:cs="Arial"/>
          <w:sz w:val="24"/>
          <w:szCs w:val="24"/>
        </w:rPr>
        <w:t>Grants cannot be sought retrospectively for projects that have already started (or completed).  Applicants will be required to wait for written confirmation of the decision and complete the grant offer agreement before undertaking any associated works.</w:t>
      </w:r>
    </w:p>
    <w:p w14:paraId="70905CF9" w14:textId="0E3F1F46" w:rsidR="003D610F" w:rsidRDefault="003D610F" w:rsidP="009E4A62">
      <w:pPr>
        <w:jc w:val="both"/>
        <w:rPr>
          <w:rFonts w:ascii="Arial" w:hAnsi="Arial" w:cs="Arial"/>
          <w:sz w:val="24"/>
          <w:szCs w:val="24"/>
        </w:rPr>
      </w:pPr>
      <w:r>
        <w:rPr>
          <w:rFonts w:ascii="Arial" w:hAnsi="Arial" w:cs="Arial"/>
          <w:sz w:val="24"/>
          <w:szCs w:val="24"/>
        </w:rPr>
        <w:t xml:space="preserve">The programme is likely to be competitive and we will not be able to support every project.  </w:t>
      </w:r>
    </w:p>
    <w:p w14:paraId="6C130C17" w14:textId="61CD7D60" w:rsidR="005C5091" w:rsidRDefault="005C5091" w:rsidP="009E4A62">
      <w:pPr>
        <w:jc w:val="both"/>
        <w:rPr>
          <w:rFonts w:ascii="Arial" w:hAnsi="Arial" w:cs="Arial"/>
          <w:sz w:val="24"/>
          <w:szCs w:val="24"/>
        </w:rPr>
      </w:pPr>
      <w:r>
        <w:rPr>
          <w:rFonts w:ascii="Arial" w:hAnsi="Arial" w:cs="Arial"/>
          <w:sz w:val="24"/>
          <w:szCs w:val="24"/>
        </w:rPr>
        <w:t>For Rural England Prosperity Fund, the following approval arrangements will be in place</w:t>
      </w:r>
      <w:r w:rsidR="008D3034">
        <w:rPr>
          <w:rFonts w:ascii="Arial" w:hAnsi="Arial" w:cs="Arial"/>
          <w:sz w:val="24"/>
          <w:szCs w:val="24"/>
        </w:rPr>
        <w:t xml:space="preserve"> and will be subjected to a financial assessment to cover liabilities</w:t>
      </w:r>
      <w:r>
        <w:rPr>
          <w:rFonts w:ascii="Arial" w:hAnsi="Arial" w:cs="Arial"/>
          <w:sz w:val="24"/>
          <w:szCs w:val="24"/>
        </w:rPr>
        <w:t>:</w:t>
      </w:r>
    </w:p>
    <w:p w14:paraId="273099B0" w14:textId="211F2961" w:rsidR="005C5091" w:rsidRPr="000916EE" w:rsidRDefault="005C5091" w:rsidP="005C5091">
      <w:pPr>
        <w:pStyle w:val="ListParagraph"/>
        <w:numPr>
          <w:ilvl w:val="0"/>
          <w:numId w:val="30"/>
        </w:numPr>
        <w:jc w:val="both"/>
        <w:rPr>
          <w:rFonts w:ascii="Arial" w:hAnsi="Arial" w:cs="Arial"/>
          <w:sz w:val="24"/>
          <w:szCs w:val="24"/>
        </w:rPr>
      </w:pPr>
      <w:r w:rsidRPr="000916EE">
        <w:rPr>
          <w:rFonts w:ascii="Arial" w:hAnsi="Arial" w:cs="Arial"/>
          <w:sz w:val="24"/>
          <w:szCs w:val="24"/>
        </w:rPr>
        <w:t>Grants up to £</w:t>
      </w:r>
      <w:r w:rsidR="00F70F76">
        <w:rPr>
          <w:rFonts w:ascii="Arial" w:hAnsi="Arial" w:cs="Arial"/>
          <w:sz w:val="24"/>
          <w:szCs w:val="24"/>
        </w:rPr>
        <w:t>10</w:t>
      </w:r>
      <w:r w:rsidRPr="000916EE">
        <w:rPr>
          <w:rFonts w:ascii="Arial" w:hAnsi="Arial" w:cs="Arial"/>
          <w:sz w:val="24"/>
          <w:szCs w:val="24"/>
        </w:rPr>
        <w:t>,000 – Officer delegation</w:t>
      </w:r>
    </w:p>
    <w:p w14:paraId="44F0DF0F" w14:textId="565153BF" w:rsidR="005C5091" w:rsidRPr="000916EE" w:rsidRDefault="005C5091" w:rsidP="005C5091">
      <w:pPr>
        <w:pStyle w:val="ListParagraph"/>
        <w:numPr>
          <w:ilvl w:val="0"/>
          <w:numId w:val="30"/>
        </w:numPr>
        <w:jc w:val="both"/>
        <w:rPr>
          <w:rFonts w:ascii="Arial" w:hAnsi="Arial" w:cs="Arial"/>
          <w:sz w:val="24"/>
          <w:szCs w:val="24"/>
        </w:rPr>
      </w:pPr>
      <w:r w:rsidRPr="000916EE">
        <w:rPr>
          <w:rFonts w:ascii="Arial" w:hAnsi="Arial" w:cs="Arial"/>
          <w:sz w:val="24"/>
          <w:szCs w:val="24"/>
        </w:rPr>
        <w:t>Grants between £</w:t>
      </w:r>
      <w:r w:rsidR="00F70F76">
        <w:rPr>
          <w:rFonts w:ascii="Arial" w:hAnsi="Arial" w:cs="Arial"/>
          <w:sz w:val="24"/>
          <w:szCs w:val="24"/>
        </w:rPr>
        <w:t>10</w:t>
      </w:r>
      <w:r w:rsidRPr="000916EE">
        <w:rPr>
          <w:rFonts w:ascii="Arial" w:hAnsi="Arial" w:cs="Arial"/>
          <w:sz w:val="24"/>
          <w:szCs w:val="24"/>
        </w:rPr>
        <w:t>,000 and £</w:t>
      </w:r>
      <w:r w:rsidR="00F70F76">
        <w:rPr>
          <w:rFonts w:ascii="Arial" w:hAnsi="Arial" w:cs="Arial"/>
          <w:sz w:val="24"/>
          <w:szCs w:val="24"/>
        </w:rPr>
        <w:t>2</w:t>
      </w:r>
      <w:r w:rsidR="00D26A0E">
        <w:rPr>
          <w:rFonts w:ascii="Arial" w:hAnsi="Arial" w:cs="Arial"/>
          <w:sz w:val="24"/>
          <w:szCs w:val="24"/>
        </w:rPr>
        <w:t>5</w:t>
      </w:r>
      <w:r w:rsidRPr="000916EE">
        <w:rPr>
          <w:rFonts w:ascii="Arial" w:hAnsi="Arial" w:cs="Arial"/>
          <w:sz w:val="24"/>
          <w:szCs w:val="24"/>
        </w:rPr>
        <w:t>,000 – Leader of the Council in conjunction with the Cabinet Member for Community services and ward members.</w:t>
      </w:r>
    </w:p>
    <w:p w14:paraId="22A0E63E" w14:textId="5EEC76E8" w:rsidR="00D735C3" w:rsidRDefault="00F54FFE" w:rsidP="00D735C3">
      <w:pPr>
        <w:rPr>
          <w:rFonts w:ascii="Arial" w:hAnsi="Arial" w:cs="Arial"/>
          <w:b/>
          <w:bCs/>
          <w:sz w:val="24"/>
          <w:szCs w:val="24"/>
        </w:rPr>
      </w:pPr>
      <w:r w:rsidRPr="00AE2204">
        <w:rPr>
          <w:rFonts w:ascii="Arial" w:hAnsi="Arial" w:cs="Arial"/>
          <w:b/>
          <w:bCs/>
        </w:rPr>
        <w:t>Rural England Prosperity Fund</w:t>
      </w:r>
      <w:r w:rsidRPr="00AE2204">
        <w:rPr>
          <w:rFonts w:ascii="Arial" w:hAnsi="Arial" w:cs="Arial"/>
          <w:b/>
          <w:bCs/>
          <w:sz w:val="24"/>
          <w:szCs w:val="24"/>
        </w:rPr>
        <w:t xml:space="preserve"> </w:t>
      </w:r>
      <w:r w:rsidR="005D2909">
        <w:rPr>
          <w:rFonts w:ascii="Arial" w:hAnsi="Arial" w:cs="Arial"/>
          <w:b/>
          <w:bCs/>
          <w:sz w:val="24"/>
          <w:szCs w:val="24"/>
        </w:rPr>
        <w:t>Investment Priorities</w:t>
      </w:r>
      <w:r w:rsidRPr="00AE2204">
        <w:rPr>
          <w:rFonts w:ascii="Arial" w:hAnsi="Arial" w:cs="Arial"/>
          <w:b/>
          <w:bCs/>
          <w:sz w:val="24"/>
          <w:szCs w:val="24"/>
        </w:rPr>
        <w:t>, Example Projects, Outputs and Outcomes</w:t>
      </w:r>
    </w:p>
    <w:p w14:paraId="0734051E" w14:textId="7CD5A24A" w:rsidR="00F54FFE" w:rsidRPr="009C4FD9" w:rsidRDefault="00F54FFE" w:rsidP="00F54FFE">
      <w:pPr>
        <w:pStyle w:val="NoSpacing"/>
        <w:jc w:val="both"/>
        <w:rPr>
          <w:rFonts w:ascii="Arial" w:hAnsi="Arial" w:cs="Arial"/>
        </w:rPr>
      </w:pPr>
      <w:r>
        <w:rPr>
          <w:rFonts w:ascii="Arial" w:hAnsi="Arial" w:cs="Arial"/>
        </w:rPr>
        <w:t xml:space="preserve">The REPF </w:t>
      </w:r>
      <w:r w:rsidR="00C506C3">
        <w:rPr>
          <w:rFonts w:ascii="Arial" w:hAnsi="Arial" w:cs="Arial"/>
        </w:rPr>
        <w:t>Priorities, Themes, Sub Themes and forecast spend ar</w:t>
      </w:r>
      <w:r w:rsidRPr="009C4FD9">
        <w:rPr>
          <w:rFonts w:ascii="Arial" w:hAnsi="Arial" w:cs="Arial"/>
        </w:rPr>
        <w:t>e shown in the table below.</w:t>
      </w:r>
    </w:p>
    <w:p w14:paraId="1B3247B0" w14:textId="77777777" w:rsidR="00F54FFE" w:rsidRDefault="00F54FFE" w:rsidP="00F54FFE">
      <w:pPr>
        <w:pStyle w:val="NoSpacing"/>
        <w:jc w:val="both"/>
        <w:rPr>
          <w:rFonts w:ascii="Arial" w:hAnsi="Arial" w:cs="Arial"/>
        </w:rPr>
      </w:pPr>
    </w:p>
    <w:p w14:paraId="309576E6" w14:textId="77777777" w:rsidR="00C458E8" w:rsidRDefault="00C458E8" w:rsidP="00D735C3">
      <w:pPr>
        <w:rPr>
          <w:rFonts w:ascii="Arial" w:hAnsi="Arial" w:cs="Arial"/>
        </w:rPr>
      </w:pPr>
    </w:p>
    <w:tbl>
      <w:tblPr>
        <w:tblStyle w:val="TableGrid"/>
        <w:tblW w:w="0" w:type="auto"/>
        <w:tblLook w:val="04A0" w:firstRow="1" w:lastRow="0" w:firstColumn="1" w:lastColumn="0" w:noHBand="0" w:noVBand="1"/>
      </w:tblPr>
      <w:tblGrid>
        <w:gridCol w:w="2789"/>
        <w:gridCol w:w="2789"/>
        <w:gridCol w:w="2790"/>
        <w:gridCol w:w="2790"/>
      </w:tblGrid>
      <w:tr w:rsidR="00C506C3" w:rsidRPr="00C506C3" w14:paraId="560862B2" w14:textId="77777777" w:rsidTr="00C458E8">
        <w:tc>
          <w:tcPr>
            <w:tcW w:w="2789" w:type="dxa"/>
          </w:tcPr>
          <w:p w14:paraId="4FB06A7D" w14:textId="20D7025F" w:rsidR="00C506C3" w:rsidRPr="00C506C3" w:rsidRDefault="00C506C3" w:rsidP="00D735C3">
            <w:pPr>
              <w:rPr>
                <w:rFonts w:ascii="Arial" w:hAnsi="Arial" w:cs="Arial"/>
                <w:b/>
                <w:bCs/>
              </w:rPr>
            </w:pPr>
            <w:r w:rsidRPr="00C506C3">
              <w:rPr>
                <w:rFonts w:ascii="Arial" w:hAnsi="Arial" w:cs="Arial"/>
                <w:b/>
                <w:bCs/>
              </w:rPr>
              <w:t>Priority</w:t>
            </w:r>
          </w:p>
        </w:tc>
        <w:tc>
          <w:tcPr>
            <w:tcW w:w="2789" w:type="dxa"/>
          </w:tcPr>
          <w:p w14:paraId="3DF20AD0" w14:textId="4A9986B2" w:rsidR="00C506C3" w:rsidRPr="00C506C3" w:rsidRDefault="00C506C3" w:rsidP="00D735C3">
            <w:pPr>
              <w:rPr>
                <w:rFonts w:ascii="Arial" w:hAnsi="Arial" w:cs="Arial"/>
                <w:b/>
                <w:bCs/>
              </w:rPr>
            </w:pPr>
            <w:r w:rsidRPr="00C506C3">
              <w:rPr>
                <w:rFonts w:ascii="Arial" w:hAnsi="Arial" w:cs="Arial"/>
                <w:b/>
                <w:bCs/>
              </w:rPr>
              <w:t>Theme</w:t>
            </w:r>
          </w:p>
        </w:tc>
        <w:tc>
          <w:tcPr>
            <w:tcW w:w="2790" w:type="dxa"/>
          </w:tcPr>
          <w:p w14:paraId="09959965" w14:textId="1D9A77C0" w:rsidR="00C506C3" w:rsidRPr="00C506C3" w:rsidRDefault="00C506C3" w:rsidP="00D735C3">
            <w:pPr>
              <w:rPr>
                <w:rFonts w:ascii="Arial" w:hAnsi="Arial" w:cs="Arial"/>
                <w:b/>
                <w:bCs/>
              </w:rPr>
            </w:pPr>
            <w:r w:rsidRPr="00C506C3">
              <w:rPr>
                <w:rFonts w:ascii="Arial" w:hAnsi="Arial" w:cs="Arial"/>
                <w:b/>
                <w:bCs/>
              </w:rPr>
              <w:t>Sub-Theme</w:t>
            </w:r>
          </w:p>
        </w:tc>
        <w:tc>
          <w:tcPr>
            <w:tcW w:w="2790" w:type="dxa"/>
          </w:tcPr>
          <w:p w14:paraId="4B2A6446" w14:textId="11E7B8B0" w:rsidR="00C506C3" w:rsidRPr="00C506C3" w:rsidRDefault="00C506C3" w:rsidP="00D735C3">
            <w:pPr>
              <w:rPr>
                <w:rFonts w:ascii="Arial" w:hAnsi="Arial" w:cs="Arial"/>
                <w:b/>
                <w:bCs/>
              </w:rPr>
            </w:pPr>
            <w:proofErr w:type="gramStart"/>
            <w:r>
              <w:rPr>
                <w:rFonts w:ascii="Arial" w:hAnsi="Arial" w:cs="Arial"/>
                <w:b/>
                <w:bCs/>
              </w:rPr>
              <w:t>Forecast</w:t>
            </w:r>
            <w:proofErr w:type="gramEnd"/>
            <w:r>
              <w:rPr>
                <w:rFonts w:ascii="Arial" w:hAnsi="Arial" w:cs="Arial"/>
                <w:b/>
                <w:bCs/>
              </w:rPr>
              <w:t xml:space="preserve"> spend</w:t>
            </w:r>
          </w:p>
        </w:tc>
      </w:tr>
      <w:tr w:rsidR="00C506C3" w14:paraId="2DAA3879" w14:textId="77777777" w:rsidTr="00C458E8">
        <w:tc>
          <w:tcPr>
            <w:tcW w:w="2789" w:type="dxa"/>
          </w:tcPr>
          <w:p w14:paraId="53D5BC36" w14:textId="2DB242CA" w:rsidR="00C506C3" w:rsidRDefault="00C506C3" w:rsidP="00D735C3">
            <w:pPr>
              <w:rPr>
                <w:rFonts w:ascii="Arial" w:hAnsi="Arial" w:cs="Arial"/>
              </w:rPr>
            </w:pPr>
            <w:r>
              <w:rPr>
                <w:rFonts w:ascii="Arial" w:hAnsi="Arial" w:cs="Arial"/>
              </w:rPr>
              <w:t>Communities and Place</w:t>
            </w:r>
          </w:p>
        </w:tc>
        <w:tc>
          <w:tcPr>
            <w:tcW w:w="2789" w:type="dxa"/>
          </w:tcPr>
          <w:p w14:paraId="49A23597" w14:textId="6375B337" w:rsidR="00C506C3" w:rsidRDefault="00C506C3" w:rsidP="00D735C3">
            <w:pPr>
              <w:rPr>
                <w:rFonts w:ascii="Arial" w:hAnsi="Arial" w:cs="Arial"/>
              </w:rPr>
            </w:pPr>
            <w:r>
              <w:rPr>
                <w:rFonts w:ascii="Arial" w:hAnsi="Arial" w:cs="Arial"/>
              </w:rPr>
              <w:t>Healthy, Safe and Inclusive Communities</w:t>
            </w:r>
          </w:p>
        </w:tc>
        <w:tc>
          <w:tcPr>
            <w:tcW w:w="2790" w:type="dxa"/>
          </w:tcPr>
          <w:p w14:paraId="6EEEB0C1" w14:textId="1BC47AEE" w:rsidR="00C506C3" w:rsidRDefault="00C506C3" w:rsidP="00D735C3">
            <w:pPr>
              <w:rPr>
                <w:rFonts w:ascii="Arial" w:hAnsi="Arial" w:cs="Arial"/>
              </w:rPr>
            </w:pPr>
            <w:r>
              <w:rPr>
                <w:rFonts w:ascii="Arial" w:hAnsi="Arial" w:cs="Arial"/>
              </w:rPr>
              <w:t>Improve Health and Wellbeing</w:t>
            </w:r>
          </w:p>
        </w:tc>
        <w:tc>
          <w:tcPr>
            <w:tcW w:w="2790" w:type="dxa"/>
          </w:tcPr>
          <w:p w14:paraId="55FFC037" w14:textId="0C983B03" w:rsidR="00C506C3" w:rsidRDefault="00C506C3" w:rsidP="00D735C3">
            <w:pPr>
              <w:rPr>
                <w:rFonts w:ascii="Arial" w:hAnsi="Arial" w:cs="Arial"/>
              </w:rPr>
            </w:pPr>
            <w:r>
              <w:rPr>
                <w:rFonts w:ascii="Arial" w:hAnsi="Arial" w:cs="Arial"/>
              </w:rPr>
              <w:t>£35,918</w:t>
            </w:r>
          </w:p>
        </w:tc>
      </w:tr>
      <w:tr w:rsidR="00C506C3" w14:paraId="1CED0D2F" w14:textId="77777777" w:rsidTr="00C458E8">
        <w:tc>
          <w:tcPr>
            <w:tcW w:w="2789" w:type="dxa"/>
          </w:tcPr>
          <w:p w14:paraId="76455524" w14:textId="4AA74210" w:rsidR="00C506C3" w:rsidRDefault="00C506C3" w:rsidP="00D735C3">
            <w:pPr>
              <w:rPr>
                <w:rFonts w:ascii="Arial" w:hAnsi="Arial" w:cs="Arial"/>
              </w:rPr>
            </w:pPr>
            <w:r>
              <w:rPr>
                <w:rFonts w:ascii="Arial" w:hAnsi="Arial" w:cs="Arial"/>
              </w:rPr>
              <w:t>Communities and Place</w:t>
            </w:r>
          </w:p>
        </w:tc>
        <w:tc>
          <w:tcPr>
            <w:tcW w:w="2789" w:type="dxa"/>
          </w:tcPr>
          <w:p w14:paraId="5CE04874" w14:textId="1DC00547" w:rsidR="00C506C3" w:rsidRDefault="00C506C3" w:rsidP="00D735C3">
            <w:pPr>
              <w:rPr>
                <w:rFonts w:ascii="Arial" w:hAnsi="Arial" w:cs="Arial"/>
              </w:rPr>
            </w:pPr>
            <w:r>
              <w:rPr>
                <w:rFonts w:ascii="Arial" w:hAnsi="Arial" w:cs="Arial"/>
              </w:rPr>
              <w:t>Healthy, Safe and Inclusive Communities</w:t>
            </w:r>
          </w:p>
        </w:tc>
        <w:tc>
          <w:tcPr>
            <w:tcW w:w="2790" w:type="dxa"/>
          </w:tcPr>
          <w:p w14:paraId="23486614" w14:textId="0A737BED" w:rsidR="00C506C3" w:rsidRDefault="00C506C3" w:rsidP="00D735C3">
            <w:pPr>
              <w:rPr>
                <w:rFonts w:ascii="Arial" w:hAnsi="Arial" w:cs="Arial"/>
              </w:rPr>
            </w:pPr>
            <w:r>
              <w:rPr>
                <w:rFonts w:ascii="Arial" w:hAnsi="Arial" w:cs="Arial"/>
              </w:rPr>
              <w:t>Bringing Communities Together, Tackling Homelessness</w:t>
            </w:r>
          </w:p>
        </w:tc>
        <w:tc>
          <w:tcPr>
            <w:tcW w:w="2790" w:type="dxa"/>
          </w:tcPr>
          <w:p w14:paraId="2B80E23C" w14:textId="00417812" w:rsidR="00C506C3" w:rsidRDefault="00C506C3" w:rsidP="00D735C3">
            <w:pPr>
              <w:rPr>
                <w:rFonts w:ascii="Arial" w:hAnsi="Arial" w:cs="Arial"/>
              </w:rPr>
            </w:pPr>
            <w:r>
              <w:rPr>
                <w:rFonts w:ascii="Arial" w:hAnsi="Arial" w:cs="Arial"/>
              </w:rPr>
              <w:t>£35,918</w:t>
            </w:r>
          </w:p>
        </w:tc>
      </w:tr>
      <w:tr w:rsidR="00C506C3" w14:paraId="7AE78B9E" w14:textId="77777777" w:rsidTr="00C458E8">
        <w:tc>
          <w:tcPr>
            <w:tcW w:w="2789" w:type="dxa"/>
          </w:tcPr>
          <w:p w14:paraId="4D1F79F2" w14:textId="31444A8A" w:rsidR="00C506C3" w:rsidRDefault="00C506C3" w:rsidP="00D735C3">
            <w:pPr>
              <w:rPr>
                <w:rFonts w:ascii="Arial" w:hAnsi="Arial" w:cs="Arial"/>
              </w:rPr>
            </w:pPr>
            <w:r>
              <w:rPr>
                <w:rFonts w:ascii="Arial" w:hAnsi="Arial" w:cs="Arial"/>
              </w:rPr>
              <w:t>Communities and Place</w:t>
            </w:r>
          </w:p>
        </w:tc>
        <w:tc>
          <w:tcPr>
            <w:tcW w:w="2789" w:type="dxa"/>
          </w:tcPr>
          <w:p w14:paraId="4B9629C1" w14:textId="116A2CEE" w:rsidR="00C506C3" w:rsidRDefault="00C506C3" w:rsidP="00D735C3">
            <w:pPr>
              <w:rPr>
                <w:rFonts w:ascii="Arial" w:hAnsi="Arial" w:cs="Arial"/>
              </w:rPr>
            </w:pPr>
            <w:r>
              <w:rPr>
                <w:rFonts w:ascii="Arial" w:hAnsi="Arial" w:cs="Arial"/>
              </w:rPr>
              <w:t>Thriving Places</w:t>
            </w:r>
          </w:p>
        </w:tc>
        <w:tc>
          <w:tcPr>
            <w:tcW w:w="2790" w:type="dxa"/>
          </w:tcPr>
          <w:p w14:paraId="5ACCC015" w14:textId="3C5F548F" w:rsidR="00C506C3" w:rsidRDefault="00C506C3" w:rsidP="00D735C3">
            <w:pPr>
              <w:rPr>
                <w:rFonts w:ascii="Arial" w:hAnsi="Arial" w:cs="Arial"/>
              </w:rPr>
            </w:pPr>
            <w:r>
              <w:rPr>
                <w:rFonts w:ascii="Arial" w:hAnsi="Arial" w:cs="Arial"/>
              </w:rPr>
              <w:t>Development of the Visitor Economy</w:t>
            </w:r>
          </w:p>
        </w:tc>
        <w:tc>
          <w:tcPr>
            <w:tcW w:w="2790" w:type="dxa"/>
          </w:tcPr>
          <w:p w14:paraId="7BF1BFD7" w14:textId="69F98090" w:rsidR="00C506C3" w:rsidRDefault="00C506C3" w:rsidP="00D735C3">
            <w:pPr>
              <w:rPr>
                <w:rFonts w:ascii="Arial" w:hAnsi="Arial" w:cs="Arial"/>
              </w:rPr>
            </w:pPr>
            <w:r>
              <w:rPr>
                <w:rFonts w:ascii="Arial" w:hAnsi="Arial" w:cs="Arial"/>
              </w:rPr>
              <w:t>£35,918</w:t>
            </w:r>
          </w:p>
        </w:tc>
      </w:tr>
      <w:tr w:rsidR="00C506C3" w14:paraId="5E348EA5" w14:textId="77777777" w:rsidTr="00C458E8">
        <w:tc>
          <w:tcPr>
            <w:tcW w:w="2789" w:type="dxa"/>
          </w:tcPr>
          <w:p w14:paraId="09D72C84" w14:textId="0D4E08F0" w:rsidR="00C506C3" w:rsidRDefault="00C506C3" w:rsidP="00D735C3">
            <w:pPr>
              <w:rPr>
                <w:rFonts w:ascii="Arial" w:hAnsi="Arial" w:cs="Arial"/>
              </w:rPr>
            </w:pPr>
            <w:r>
              <w:rPr>
                <w:rFonts w:ascii="Arial" w:hAnsi="Arial" w:cs="Arial"/>
              </w:rPr>
              <w:t>Supporting Local Businesses</w:t>
            </w:r>
          </w:p>
        </w:tc>
        <w:tc>
          <w:tcPr>
            <w:tcW w:w="2789" w:type="dxa"/>
          </w:tcPr>
          <w:p w14:paraId="1ED3679F" w14:textId="6DC3754A" w:rsidR="00C506C3" w:rsidRDefault="00C506C3" w:rsidP="00D735C3">
            <w:pPr>
              <w:rPr>
                <w:rFonts w:ascii="Arial" w:hAnsi="Arial" w:cs="Arial"/>
              </w:rPr>
            </w:pPr>
            <w:r>
              <w:rPr>
                <w:rFonts w:ascii="Arial" w:hAnsi="Arial" w:cs="Arial"/>
              </w:rPr>
              <w:t>Support for Business</w:t>
            </w:r>
          </w:p>
        </w:tc>
        <w:tc>
          <w:tcPr>
            <w:tcW w:w="2790" w:type="dxa"/>
          </w:tcPr>
          <w:p w14:paraId="2F3B03EC" w14:textId="7BCF9DB7" w:rsidR="00C506C3" w:rsidRDefault="00C506C3" w:rsidP="00D735C3">
            <w:pPr>
              <w:rPr>
                <w:rFonts w:ascii="Arial" w:hAnsi="Arial" w:cs="Arial"/>
              </w:rPr>
            </w:pPr>
            <w:r>
              <w:rPr>
                <w:rFonts w:ascii="Arial" w:hAnsi="Arial" w:cs="Arial"/>
              </w:rPr>
              <w:t>Advice and support for Business</w:t>
            </w:r>
          </w:p>
        </w:tc>
        <w:tc>
          <w:tcPr>
            <w:tcW w:w="2790" w:type="dxa"/>
          </w:tcPr>
          <w:p w14:paraId="06124151" w14:textId="157BE0BB" w:rsidR="00C506C3" w:rsidRDefault="00C506C3" w:rsidP="00D735C3">
            <w:pPr>
              <w:rPr>
                <w:rFonts w:ascii="Arial" w:hAnsi="Arial" w:cs="Arial"/>
              </w:rPr>
            </w:pPr>
            <w:r>
              <w:rPr>
                <w:rFonts w:ascii="Arial" w:hAnsi="Arial" w:cs="Arial"/>
              </w:rPr>
              <w:t>£107,754</w:t>
            </w:r>
          </w:p>
        </w:tc>
      </w:tr>
    </w:tbl>
    <w:p w14:paraId="0981FF17" w14:textId="77777777" w:rsidR="00C458E8" w:rsidRDefault="00C458E8" w:rsidP="00D735C3">
      <w:pPr>
        <w:rPr>
          <w:rFonts w:ascii="Arial" w:hAnsi="Arial" w:cs="Arial"/>
        </w:rPr>
      </w:pPr>
    </w:p>
    <w:p w14:paraId="0457029A" w14:textId="2ABFD909" w:rsidR="00C506C3" w:rsidRDefault="00C506C3" w:rsidP="00C506C3">
      <w:pPr>
        <w:rPr>
          <w:rFonts w:ascii="Arial" w:hAnsi="Arial" w:cs="Arial"/>
        </w:rPr>
      </w:pPr>
      <w:r>
        <w:rPr>
          <w:rFonts w:ascii="Arial" w:hAnsi="Arial" w:cs="Arial"/>
        </w:rPr>
        <w:t xml:space="preserve">Grant applicants will be expected to demonstrate how their project will deliver the outputs and outcomes as specified in the table below for the proposed project.  Information relating to baseline data must be provided at grant application stage, along with details of the measuring and monitoring processes in place to provide evidence of the output and outcome being achieved.  </w:t>
      </w:r>
    </w:p>
    <w:p w14:paraId="28B2EE5C" w14:textId="77777777" w:rsidR="00EC63C4" w:rsidRDefault="00EC63C4" w:rsidP="00C506C3">
      <w:pPr>
        <w:rPr>
          <w:rFonts w:ascii="Arial" w:hAnsi="Arial" w:cs="Arial"/>
        </w:rPr>
      </w:pPr>
    </w:p>
    <w:tbl>
      <w:tblPr>
        <w:tblStyle w:val="TableGrid"/>
        <w:tblW w:w="0" w:type="auto"/>
        <w:tblLook w:val="04A0" w:firstRow="1" w:lastRow="0" w:firstColumn="1" w:lastColumn="0" w:noHBand="0" w:noVBand="1"/>
      </w:tblPr>
      <w:tblGrid>
        <w:gridCol w:w="13948"/>
      </w:tblGrid>
      <w:tr w:rsidR="00C506C3" w14:paraId="1E72A1D6" w14:textId="77777777" w:rsidTr="00C506C3">
        <w:tc>
          <w:tcPr>
            <w:tcW w:w="13948" w:type="dxa"/>
          </w:tcPr>
          <w:p w14:paraId="1F0503E1" w14:textId="04808EF0" w:rsidR="00C506C3" w:rsidRPr="00C506C3" w:rsidRDefault="00C506C3" w:rsidP="00C506C3">
            <w:pPr>
              <w:rPr>
                <w:rFonts w:ascii="Arial" w:hAnsi="Arial" w:cs="Arial"/>
                <w:b/>
                <w:bCs/>
              </w:rPr>
            </w:pPr>
            <w:r w:rsidRPr="00C506C3">
              <w:rPr>
                <w:rFonts w:ascii="Arial" w:hAnsi="Arial" w:cs="Arial"/>
                <w:b/>
                <w:bCs/>
              </w:rPr>
              <w:t>Outputs</w:t>
            </w:r>
          </w:p>
        </w:tc>
      </w:tr>
      <w:tr w:rsidR="00C506C3" w14:paraId="4F8F413A" w14:textId="77777777" w:rsidTr="00C506C3">
        <w:tc>
          <w:tcPr>
            <w:tcW w:w="13948" w:type="dxa"/>
          </w:tcPr>
          <w:p w14:paraId="21D6FC06" w14:textId="0AD2A6DA" w:rsidR="00C506C3" w:rsidRPr="00C506C3" w:rsidRDefault="00C506C3" w:rsidP="00C506C3">
            <w:pPr>
              <w:rPr>
                <w:rFonts w:ascii="Arial" w:hAnsi="Arial" w:cs="Arial"/>
              </w:rPr>
            </w:pPr>
            <w:r>
              <w:rPr>
                <w:rFonts w:ascii="Arial" w:hAnsi="Arial" w:cs="Arial"/>
              </w:rPr>
              <w:t>ROP1 Amount of green or blue space created or improved (m2)</w:t>
            </w:r>
          </w:p>
        </w:tc>
      </w:tr>
      <w:tr w:rsidR="00B82134" w14:paraId="72B34F31" w14:textId="77777777" w:rsidTr="00C506C3">
        <w:tc>
          <w:tcPr>
            <w:tcW w:w="13948" w:type="dxa"/>
          </w:tcPr>
          <w:p w14:paraId="1FAAB375" w14:textId="46E99646" w:rsidR="00B82134" w:rsidRDefault="00B82134" w:rsidP="00C506C3">
            <w:pPr>
              <w:rPr>
                <w:rFonts w:ascii="Arial" w:hAnsi="Arial" w:cs="Arial"/>
              </w:rPr>
            </w:pPr>
            <w:r>
              <w:rPr>
                <w:rFonts w:ascii="Arial" w:hAnsi="Arial" w:cs="Arial"/>
              </w:rPr>
              <w:t>ROP6 Number of enterprises receiving grants</w:t>
            </w:r>
          </w:p>
        </w:tc>
      </w:tr>
      <w:tr w:rsidR="00C506C3" w14:paraId="608F827F" w14:textId="77777777" w:rsidTr="00C506C3">
        <w:tc>
          <w:tcPr>
            <w:tcW w:w="13948" w:type="dxa"/>
          </w:tcPr>
          <w:p w14:paraId="61965D8B" w14:textId="58772B3E" w:rsidR="00C506C3" w:rsidRPr="00B82134" w:rsidRDefault="00B82134" w:rsidP="00C506C3">
            <w:pPr>
              <w:rPr>
                <w:rFonts w:ascii="Arial" w:hAnsi="Arial" w:cs="Arial"/>
              </w:rPr>
            </w:pPr>
            <w:r>
              <w:rPr>
                <w:rFonts w:ascii="Arial" w:hAnsi="Arial" w:cs="Arial"/>
              </w:rPr>
              <w:t>ROP13 Number of organisations receiving grants</w:t>
            </w:r>
          </w:p>
        </w:tc>
      </w:tr>
      <w:tr w:rsidR="00C506C3" w14:paraId="1D826EA5" w14:textId="77777777" w:rsidTr="00C506C3">
        <w:tc>
          <w:tcPr>
            <w:tcW w:w="13948" w:type="dxa"/>
          </w:tcPr>
          <w:p w14:paraId="77B95F1A" w14:textId="0F3DD233" w:rsidR="00C506C3" w:rsidRPr="00B82134" w:rsidRDefault="00B82134" w:rsidP="00C506C3">
            <w:pPr>
              <w:rPr>
                <w:rFonts w:ascii="Arial" w:hAnsi="Arial" w:cs="Arial"/>
              </w:rPr>
            </w:pPr>
            <w:r>
              <w:rPr>
                <w:rFonts w:ascii="Arial" w:hAnsi="Arial" w:cs="Arial"/>
              </w:rPr>
              <w:t>ROP10 Number of micro businesses supported</w:t>
            </w:r>
          </w:p>
        </w:tc>
      </w:tr>
      <w:tr w:rsidR="00C506C3" w14:paraId="4A6C70F4" w14:textId="77777777" w:rsidTr="00C506C3">
        <w:tc>
          <w:tcPr>
            <w:tcW w:w="13948" w:type="dxa"/>
          </w:tcPr>
          <w:p w14:paraId="10593C56" w14:textId="147A64D4" w:rsidR="00C506C3" w:rsidRPr="00B82134" w:rsidRDefault="00B82134" w:rsidP="00C506C3">
            <w:pPr>
              <w:rPr>
                <w:rFonts w:ascii="Arial" w:hAnsi="Arial" w:cs="Arial"/>
              </w:rPr>
            </w:pPr>
            <w:r>
              <w:rPr>
                <w:rFonts w:ascii="Arial" w:hAnsi="Arial" w:cs="Arial"/>
              </w:rPr>
              <w:t>ROP13 Number of organisations receiving grants</w:t>
            </w:r>
          </w:p>
        </w:tc>
      </w:tr>
    </w:tbl>
    <w:p w14:paraId="22AB0DFD" w14:textId="35B28E9E" w:rsidR="00C506C3" w:rsidRDefault="00C506C3" w:rsidP="00C506C3">
      <w:pPr>
        <w:rPr>
          <w:rFonts w:ascii="Arial" w:hAnsi="Arial" w:cs="Arial"/>
        </w:rPr>
      </w:pPr>
    </w:p>
    <w:p w14:paraId="7285076D" w14:textId="77777777" w:rsidR="00EC63C4" w:rsidRDefault="00EC63C4" w:rsidP="00C506C3">
      <w:pPr>
        <w:rPr>
          <w:rFonts w:ascii="Arial" w:hAnsi="Arial" w:cs="Arial"/>
        </w:rPr>
      </w:pPr>
    </w:p>
    <w:p w14:paraId="46559676" w14:textId="77777777" w:rsidR="008D3034" w:rsidRDefault="008D3034" w:rsidP="00C506C3">
      <w:pPr>
        <w:rPr>
          <w:rFonts w:ascii="Arial" w:hAnsi="Arial" w:cs="Arial"/>
        </w:rPr>
      </w:pPr>
    </w:p>
    <w:p w14:paraId="4CA5CCED" w14:textId="77777777" w:rsidR="00EC63C4" w:rsidRDefault="00EC63C4" w:rsidP="00C506C3">
      <w:pPr>
        <w:rPr>
          <w:rFonts w:ascii="Arial" w:hAnsi="Arial" w:cs="Arial"/>
        </w:rPr>
      </w:pPr>
    </w:p>
    <w:tbl>
      <w:tblPr>
        <w:tblStyle w:val="TableGrid"/>
        <w:tblW w:w="0" w:type="auto"/>
        <w:tblLook w:val="04A0" w:firstRow="1" w:lastRow="0" w:firstColumn="1" w:lastColumn="0" w:noHBand="0" w:noVBand="1"/>
      </w:tblPr>
      <w:tblGrid>
        <w:gridCol w:w="13948"/>
      </w:tblGrid>
      <w:tr w:rsidR="00B82134" w14:paraId="73F3DA7F" w14:textId="77777777" w:rsidTr="00B82134">
        <w:tc>
          <w:tcPr>
            <w:tcW w:w="13948" w:type="dxa"/>
          </w:tcPr>
          <w:p w14:paraId="73B4A391" w14:textId="5EB45FC2" w:rsidR="00B82134" w:rsidRPr="00B82134" w:rsidRDefault="00B82134" w:rsidP="00C506C3">
            <w:pPr>
              <w:rPr>
                <w:rFonts w:ascii="Arial" w:hAnsi="Arial" w:cs="Arial"/>
              </w:rPr>
            </w:pPr>
            <w:r>
              <w:rPr>
                <w:rFonts w:ascii="Arial" w:hAnsi="Arial" w:cs="Arial"/>
                <w:b/>
                <w:bCs/>
              </w:rPr>
              <w:t>Outcomes</w:t>
            </w:r>
          </w:p>
        </w:tc>
      </w:tr>
      <w:tr w:rsidR="00B82134" w14:paraId="63AD701F" w14:textId="77777777" w:rsidTr="00B82134">
        <w:tc>
          <w:tcPr>
            <w:tcW w:w="13948" w:type="dxa"/>
          </w:tcPr>
          <w:p w14:paraId="1BD208EF" w14:textId="0804CB7E" w:rsidR="00B82134" w:rsidRPr="00B82134" w:rsidRDefault="00B82134" w:rsidP="00C506C3">
            <w:pPr>
              <w:rPr>
                <w:rFonts w:ascii="Arial" w:hAnsi="Arial" w:cs="Arial"/>
              </w:rPr>
            </w:pPr>
            <w:r>
              <w:rPr>
                <w:rFonts w:ascii="Arial" w:hAnsi="Arial" w:cs="Arial"/>
              </w:rPr>
              <w:t>ROC1 Increased use of cycleways or foot paths</w:t>
            </w:r>
          </w:p>
        </w:tc>
      </w:tr>
      <w:tr w:rsidR="00B82134" w14:paraId="4CD77B72" w14:textId="77777777" w:rsidTr="00B82134">
        <w:tc>
          <w:tcPr>
            <w:tcW w:w="13948" w:type="dxa"/>
          </w:tcPr>
          <w:p w14:paraId="686D86C1" w14:textId="73F0988A" w:rsidR="00B82134" w:rsidRPr="00B82134" w:rsidRDefault="00B82134" w:rsidP="00C506C3">
            <w:pPr>
              <w:rPr>
                <w:rFonts w:ascii="Arial" w:hAnsi="Arial" w:cs="Arial"/>
              </w:rPr>
            </w:pPr>
            <w:r>
              <w:rPr>
                <w:rFonts w:ascii="Arial" w:hAnsi="Arial" w:cs="Arial"/>
              </w:rPr>
              <w:t>ROC2 Increased users of facilities / amenities</w:t>
            </w:r>
          </w:p>
        </w:tc>
      </w:tr>
      <w:tr w:rsidR="00322437" w14:paraId="6EF59E23" w14:textId="77777777" w:rsidTr="00B82134">
        <w:tc>
          <w:tcPr>
            <w:tcW w:w="13948" w:type="dxa"/>
          </w:tcPr>
          <w:p w14:paraId="0A04A333" w14:textId="34BCED57" w:rsidR="00322437" w:rsidRDefault="00322437" w:rsidP="00C506C3">
            <w:pPr>
              <w:rPr>
                <w:rFonts w:ascii="Arial" w:hAnsi="Arial" w:cs="Arial"/>
              </w:rPr>
            </w:pPr>
            <w:r>
              <w:rPr>
                <w:rFonts w:ascii="Arial" w:hAnsi="Arial" w:cs="Arial"/>
              </w:rPr>
              <w:t xml:space="preserve">ROC4 Jobs created </w:t>
            </w:r>
            <w:proofErr w:type="gramStart"/>
            <w:r>
              <w:rPr>
                <w:rFonts w:ascii="Arial" w:hAnsi="Arial" w:cs="Arial"/>
              </w:rPr>
              <w:t>as a result of</w:t>
            </w:r>
            <w:proofErr w:type="gramEnd"/>
            <w:r>
              <w:rPr>
                <w:rFonts w:ascii="Arial" w:hAnsi="Arial" w:cs="Arial"/>
              </w:rPr>
              <w:t xml:space="preserve"> support</w:t>
            </w:r>
          </w:p>
        </w:tc>
      </w:tr>
      <w:tr w:rsidR="00322437" w14:paraId="2D13F747" w14:textId="77777777" w:rsidTr="00B82134">
        <w:tc>
          <w:tcPr>
            <w:tcW w:w="13948" w:type="dxa"/>
          </w:tcPr>
          <w:p w14:paraId="027DBEF9" w14:textId="3EF9992E" w:rsidR="00322437" w:rsidRDefault="00322437" w:rsidP="00C506C3">
            <w:pPr>
              <w:rPr>
                <w:rFonts w:ascii="Arial" w:hAnsi="Arial" w:cs="Arial"/>
              </w:rPr>
            </w:pPr>
            <w:r>
              <w:rPr>
                <w:rFonts w:ascii="Arial" w:hAnsi="Arial" w:cs="Arial"/>
              </w:rPr>
              <w:t xml:space="preserve">ROC5 Jobs safeguarded </w:t>
            </w:r>
            <w:proofErr w:type="gramStart"/>
            <w:r>
              <w:rPr>
                <w:rFonts w:ascii="Arial" w:hAnsi="Arial" w:cs="Arial"/>
              </w:rPr>
              <w:t>as a result of</w:t>
            </w:r>
            <w:proofErr w:type="gramEnd"/>
            <w:r>
              <w:rPr>
                <w:rFonts w:ascii="Arial" w:hAnsi="Arial" w:cs="Arial"/>
              </w:rPr>
              <w:t xml:space="preserve"> support</w:t>
            </w:r>
          </w:p>
        </w:tc>
      </w:tr>
      <w:tr w:rsidR="00B82134" w14:paraId="74E473A4" w14:textId="77777777" w:rsidTr="00B82134">
        <w:tc>
          <w:tcPr>
            <w:tcW w:w="13948" w:type="dxa"/>
          </w:tcPr>
          <w:p w14:paraId="16271885" w14:textId="295C742A" w:rsidR="00B82134" w:rsidRPr="00342137" w:rsidRDefault="00342137" w:rsidP="00C506C3">
            <w:pPr>
              <w:rPr>
                <w:rFonts w:ascii="Arial" w:hAnsi="Arial" w:cs="Arial"/>
              </w:rPr>
            </w:pPr>
            <w:r>
              <w:rPr>
                <w:rFonts w:ascii="Arial" w:hAnsi="Arial" w:cs="Arial"/>
              </w:rPr>
              <w:t xml:space="preserve">ROC11 Number of community-led arts, </w:t>
            </w:r>
            <w:r w:rsidR="00322437">
              <w:rPr>
                <w:rFonts w:ascii="Arial" w:hAnsi="Arial" w:cs="Arial"/>
              </w:rPr>
              <w:t xml:space="preserve">cultural, heritage and creative programmes </w:t>
            </w:r>
            <w:proofErr w:type="gramStart"/>
            <w:r w:rsidR="00322437">
              <w:rPr>
                <w:rFonts w:ascii="Arial" w:hAnsi="Arial" w:cs="Arial"/>
              </w:rPr>
              <w:t>as a result of</w:t>
            </w:r>
            <w:proofErr w:type="gramEnd"/>
            <w:r w:rsidR="00322437">
              <w:rPr>
                <w:rFonts w:ascii="Arial" w:hAnsi="Arial" w:cs="Arial"/>
              </w:rPr>
              <w:t xml:space="preserve"> support</w:t>
            </w:r>
          </w:p>
        </w:tc>
      </w:tr>
    </w:tbl>
    <w:p w14:paraId="74BA6892" w14:textId="77777777" w:rsidR="00B82134" w:rsidRDefault="00B82134" w:rsidP="00C506C3">
      <w:pPr>
        <w:rPr>
          <w:rFonts w:ascii="Arial" w:hAnsi="Arial" w:cs="Arial"/>
        </w:rPr>
      </w:pPr>
    </w:p>
    <w:p w14:paraId="4D5300EA" w14:textId="77777777" w:rsidR="00C506C3" w:rsidRPr="009C4FD9" w:rsidRDefault="00C506C3" w:rsidP="00D735C3">
      <w:pPr>
        <w:rPr>
          <w:rFonts w:ascii="Arial" w:hAnsi="Arial" w:cs="Arial"/>
        </w:rPr>
      </w:pPr>
    </w:p>
    <w:sectPr w:rsidR="00C506C3" w:rsidRPr="009C4FD9" w:rsidSect="009C4FD9">
      <w:footerReference w:type="default" r:id="rId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E440" w14:textId="77777777" w:rsidR="00501B41" w:rsidRDefault="00501B41" w:rsidP="00F65C29">
      <w:pPr>
        <w:spacing w:after="0" w:line="240" w:lineRule="auto"/>
      </w:pPr>
      <w:r>
        <w:separator/>
      </w:r>
    </w:p>
  </w:endnote>
  <w:endnote w:type="continuationSeparator" w:id="0">
    <w:p w14:paraId="3AE6C740" w14:textId="77777777" w:rsidR="00501B41" w:rsidRDefault="00501B41" w:rsidP="00F6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580396"/>
      <w:docPartObj>
        <w:docPartGallery w:val="Page Numbers (Bottom of Page)"/>
        <w:docPartUnique/>
      </w:docPartObj>
    </w:sdtPr>
    <w:sdtEndPr>
      <w:rPr>
        <w:noProof/>
      </w:rPr>
    </w:sdtEndPr>
    <w:sdtContent>
      <w:p w14:paraId="55638205" w14:textId="757173FC" w:rsidR="00F65C29" w:rsidRDefault="00F65C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4A4828" w14:textId="77777777" w:rsidR="00F65C29" w:rsidRDefault="00F6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FD64A" w14:textId="77777777" w:rsidR="00501B41" w:rsidRDefault="00501B41" w:rsidP="00F65C29">
      <w:pPr>
        <w:spacing w:after="0" w:line="240" w:lineRule="auto"/>
      </w:pPr>
      <w:r>
        <w:separator/>
      </w:r>
    </w:p>
  </w:footnote>
  <w:footnote w:type="continuationSeparator" w:id="0">
    <w:p w14:paraId="3BC31B01" w14:textId="77777777" w:rsidR="00501B41" w:rsidRDefault="00501B41" w:rsidP="00F6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2E3"/>
    <w:multiLevelType w:val="hybridMultilevel"/>
    <w:tmpl w:val="4580C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66710"/>
    <w:multiLevelType w:val="hybridMultilevel"/>
    <w:tmpl w:val="2CA4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046C"/>
    <w:multiLevelType w:val="hybridMultilevel"/>
    <w:tmpl w:val="38CE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DB7F53"/>
    <w:multiLevelType w:val="hybridMultilevel"/>
    <w:tmpl w:val="C438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131E0"/>
    <w:multiLevelType w:val="hybridMultilevel"/>
    <w:tmpl w:val="3D52E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131F99"/>
    <w:multiLevelType w:val="hybridMultilevel"/>
    <w:tmpl w:val="AD369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84177B"/>
    <w:multiLevelType w:val="hybridMultilevel"/>
    <w:tmpl w:val="1FB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F6F13"/>
    <w:multiLevelType w:val="hybridMultilevel"/>
    <w:tmpl w:val="01AEB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380BE6"/>
    <w:multiLevelType w:val="multilevel"/>
    <w:tmpl w:val="3CAA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218FB"/>
    <w:multiLevelType w:val="hybridMultilevel"/>
    <w:tmpl w:val="0D12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22513F"/>
    <w:multiLevelType w:val="hybridMultilevel"/>
    <w:tmpl w:val="AFC4A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8085D"/>
    <w:multiLevelType w:val="hybridMultilevel"/>
    <w:tmpl w:val="32927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673940"/>
    <w:multiLevelType w:val="hybridMultilevel"/>
    <w:tmpl w:val="06542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1160F6"/>
    <w:multiLevelType w:val="hybridMultilevel"/>
    <w:tmpl w:val="EDD8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25EDE"/>
    <w:multiLevelType w:val="hybridMultilevel"/>
    <w:tmpl w:val="6F9A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20CB5"/>
    <w:multiLevelType w:val="hybridMultilevel"/>
    <w:tmpl w:val="91F83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09379E"/>
    <w:multiLevelType w:val="hybridMultilevel"/>
    <w:tmpl w:val="C266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A52AFB"/>
    <w:multiLevelType w:val="hybridMultilevel"/>
    <w:tmpl w:val="278C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83282"/>
    <w:multiLevelType w:val="hybridMultilevel"/>
    <w:tmpl w:val="DE26F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75C8B"/>
    <w:multiLevelType w:val="hybridMultilevel"/>
    <w:tmpl w:val="2206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8601E3"/>
    <w:multiLevelType w:val="hybridMultilevel"/>
    <w:tmpl w:val="40AC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946D8D"/>
    <w:multiLevelType w:val="hybridMultilevel"/>
    <w:tmpl w:val="087C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66852"/>
    <w:multiLevelType w:val="hybridMultilevel"/>
    <w:tmpl w:val="DC4AA1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1723F47"/>
    <w:multiLevelType w:val="hybridMultilevel"/>
    <w:tmpl w:val="72FA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261C5F"/>
    <w:multiLevelType w:val="hybridMultilevel"/>
    <w:tmpl w:val="6C00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5255F5"/>
    <w:multiLevelType w:val="hybridMultilevel"/>
    <w:tmpl w:val="AF6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40F15"/>
    <w:multiLevelType w:val="hybridMultilevel"/>
    <w:tmpl w:val="71E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D401E"/>
    <w:multiLevelType w:val="hybridMultilevel"/>
    <w:tmpl w:val="94BA4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CD43C8"/>
    <w:multiLevelType w:val="hybridMultilevel"/>
    <w:tmpl w:val="67AA6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1B524A"/>
    <w:multiLevelType w:val="hybridMultilevel"/>
    <w:tmpl w:val="703AD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5505B0"/>
    <w:multiLevelType w:val="hybridMultilevel"/>
    <w:tmpl w:val="D2C8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5556E5"/>
    <w:multiLevelType w:val="hybridMultilevel"/>
    <w:tmpl w:val="AAF0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F76E8"/>
    <w:multiLevelType w:val="hybridMultilevel"/>
    <w:tmpl w:val="1D6E7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A72597"/>
    <w:multiLevelType w:val="hybridMultilevel"/>
    <w:tmpl w:val="AD84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960123"/>
    <w:multiLevelType w:val="hybridMultilevel"/>
    <w:tmpl w:val="BA4EC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5441624">
    <w:abstractNumId w:val="1"/>
  </w:num>
  <w:num w:numId="2" w16cid:durableId="1992782086">
    <w:abstractNumId w:val="21"/>
  </w:num>
  <w:num w:numId="3" w16cid:durableId="801772900">
    <w:abstractNumId w:val="26"/>
  </w:num>
  <w:num w:numId="4" w16cid:durableId="1981955792">
    <w:abstractNumId w:val="13"/>
  </w:num>
  <w:num w:numId="5" w16cid:durableId="441464911">
    <w:abstractNumId w:val="3"/>
  </w:num>
  <w:num w:numId="6" w16cid:durableId="293945703">
    <w:abstractNumId w:val="17"/>
  </w:num>
  <w:num w:numId="7" w16cid:durableId="1225869953">
    <w:abstractNumId w:val="14"/>
  </w:num>
  <w:num w:numId="8" w16cid:durableId="555120719">
    <w:abstractNumId w:val="8"/>
  </w:num>
  <w:num w:numId="9" w16cid:durableId="868419594">
    <w:abstractNumId w:val="20"/>
  </w:num>
  <w:num w:numId="10" w16cid:durableId="2004041731">
    <w:abstractNumId w:val="34"/>
  </w:num>
  <w:num w:numId="11" w16cid:durableId="458110553">
    <w:abstractNumId w:val="24"/>
  </w:num>
  <w:num w:numId="12" w16cid:durableId="1221361321">
    <w:abstractNumId w:val="28"/>
  </w:num>
  <w:num w:numId="13" w16cid:durableId="893275206">
    <w:abstractNumId w:val="15"/>
  </w:num>
  <w:num w:numId="14" w16cid:durableId="1233347338">
    <w:abstractNumId w:val="10"/>
  </w:num>
  <w:num w:numId="15" w16cid:durableId="1648434582">
    <w:abstractNumId w:val="32"/>
  </w:num>
  <w:num w:numId="16" w16cid:durableId="370230422">
    <w:abstractNumId w:val="18"/>
  </w:num>
  <w:num w:numId="17" w16cid:durableId="766267126">
    <w:abstractNumId w:val="12"/>
  </w:num>
  <w:num w:numId="18" w16cid:durableId="1638876424">
    <w:abstractNumId w:val="16"/>
  </w:num>
  <w:num w:numId="19" w16cid:durableId="1457528290">
    <w:abstractNumId w:val="11"/>
  </w:num>
  <w:num w:numId="20" w16cid:durableId="1924023789">
    <w:abstractNumId w:val="27"/>
  </w:num>
  <w:num w:numId="21" w16cid:durableId="632716341">
    <w:abstractNumId w:val="29"/>
  </w:num>
  <w:num w:numId="22" w16cid:durableId="321927769">
    <w:abstractNumId w:val="23"/>
  </w:num>
  <w:num w:numId="23" w16cid:durableId="294264988">
    <w:abstractNumId w:val="9"/>
  </w:num>
  <w:num w:numId="24" w16cid:durableId="2014254846">
    <w:abstractNumId w:val="2"/>
  </w:num>
  <w:num w:numId="25" w16cid:durableId="546139331">
    <w:abstractNumId w:val="33"/>
  </w:num>
  <w:num w:numId="26" w16cid:durableId="1104610894">
    <w:abstractNumId w:val="30"/>
  </w:num>
  <w:num w:numId="27" w16cid:durableId="900940992">
    <w:abstractNumId w:val="25"/>
  </w:num>
  <w:num w:numId="28" w16cid:durableId="1038362041">
    <w:abstractNumId w:val="31"/>
  </w:num>
  <w:num w:numId="29" w16cid:durableId="185221624">
    <w:abstractNumId w:val="22"/>
  </w:num>
  <w:num w:numId="30" w16cid:durableId="2113739463">
    <w:abstractNumId w:val="6"/>
  </w:num>
  <w:num w:numId="31" w16cid:durableId="1119373021">
    <w:abstractNumId w:val="19"/>
  </w:num>
  <w:num w:numId="32" w16cid:durableId="1149705966">
    <w:abstractNumId w:val="7"/>
  </w:num>
  <w:num w:numId="33" w16cid:durableId="1117409305">
    <w:abstractNumId w:val="0"/>
  </w:num>
  <w:num w:numId="34" w16cid:durableId="1546061733">
    <w:abstractNumId w:val="5"/>
  </w:num>
  <w:num w:numId="35" w16cid:durableId="28605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C3"/>
    <w:rsid w:val="00001B40"/>
    <w:rsid w:val="00025AA8"/>
    <w:rsid w:val="00053064"/>
    <w:rsid w:val="00083BB6"/>
    <w:rsid w:val="000916EE"/>
    <w:rsid w:val="000D678F"/>
    <w:rsid w:val="000D72AF"/>
    <w:rsid w:val="000E6AC7"/>
    <w:rsid w:val="00113286"/>
    <w:rsid w:val="001222E2"/>
    <w:rsid w:val="0012326B"/>
    <w:rsid w:val="001375CE"/>
    <w:rsid w:val="00154054"/>
    <w:rsid w:val="001612D5"/>
    <w:rsid w:val="001623CD"/>
    <w:rsid w:val="001A1937"/>
    <w:rsid w:val="001A25F1"/>
    <w:rsid w:val="001D16AB"/>
    <w:rsid w:val="001D57CD"/>
    <w:rsid w:val="001F0A23"/>
    <w:rsid w:val="002026BE"/>
    <w:rsid w:val="0021310C"/>
    <w:rsid w:val="00257E5E"/>
    <w:rsid w:val="00294093"/>
    <w:rsid w:val="002A649A"/>
    <w:rsid w:val="002E085F"/>
    <w:rsid w:val="002E7EF3"/>
    <w:rsid w:val="00322437"/>
    <w:rsid w:val="00342137"/>
    <w:rsid w:val="00364F28"/>
    <w:rsid w:val="003B5256"/>
    <w:rsid w:val="003D4393"/>
    <w:rsid w:val="003D610F"/>
    <w:rsid w:val="003E0127"/>
    <w:rsid w:val="0040170E"/>
    <w:rsid w:val="004254E9"/>
    <w:rsid w:val="00435312"/>
    <w:rsid w:val="00435604"/>
    <w:rsid w:val="0043756F"/>
    <w:rsid w:val="00493A68"/>
    <w:rsid w:val="0049411F"/>
    <w:rsid w:val="004C6570"/>
    <w:rsid w:val="004E75C1"/>
    <w:rsid w:val="004F5AFB"/>
    <w:rsid w:val="004F6447"/>
    <w:rsid w:val="00501B41"/>
    <w:rsid w:val="00502591"/>
    <w:rsid w:val="005128F1"/>
    <w:rsid w:val="00521AB6"/>
    <w:rsid w:val="00530EA0"/>
    <w:rsid w:val="005616DB"/>
    <w:rsid w:val="005A4E0D"/>
    <w:rsid w:val="005B1DBB"/>
    <w:rsid w:val="005C5091"/>
    <w:rsid w:val="005D2909"/>
    <w:rsid w:val="005F6D0C"/>
    <w:rsid w:val="00600969"/>
    <w:rsid w:val="00603CE5"/>
    <w:rsid w:val="0060766D"/>
    <w:rsid w:val="00613B75"/>
    <w:rsid w:val="006408D5"/>
    <w:rsid w:val="006C4954"/>
    <w:rsid w:val="006F1E7F"/>
    <w:rsid w:val="00707401"/>
    <w:rsid w:val="00745CD0"/>
    <w:rsid w:val="00745D10"/>
    <w:rsid w:val="007536CE"/>
    <w:rsid w:val="007537F5"/>
    <w:rsid w:val="00762AB0"/>
    <w:rsid w:val="00780C34"/>
    <w:rsid w:val="007A2F51"/>
    <w:rsid w:val="007D0CB5"/>
    <w:rsid w:val="007D5263"/>
    <w:rsid w:val="007E0761"/>
    <w:rsid w:val="00802776"/>
    <w:rsid w:val="00813EA7"/>
    <w:rsid w:val="00863985"/>
    <w:rsid w:val="00864244"/>
    <w:rsid w:val="008704C5"/>
    <w:rsid w:val="00880109"/>
    <w:rsid w:val="008853F7"/>
    <w:rsid w:val="00886DAA"/>
    <w:rsid w:val="008D3034"/>
    <w:rsid w:val="008E06FC"/>
    <w:rsid w:val="008F0729"/>
    <w:rsid w:val="0097546A"/>
    <w:rsid w:val="0099731B"/>
    <w:rsid w:val="00997A7A"/>
    <w:rsid w:val="009A17EE"/>
    <w:rsid w:val="009C43CA"/>
    <w:rsid w:val="009C4FD9"/>
    <w:rsid w:val="009E4A62"/>
    <w:rsid w:val="009F455A"/>
    <w:rsid w:val="00A11928"/>
    <w:rsid w:val="00A5275C"/>
    <w:rsid w:val="00A52824"/>
    <w:rsid w:val="00A668D7"/>
    <w:rsid w:val="00A67242"/>
    <w:rsid w:val="00A70282"/>
    <w:rsid w:val="00A8797F"/>
    <w:rsid w:val="00AB6C4C"/>
    <w:rsid w:val="00AC25CA"/>
    <w:rsid w:val="00AC37DC"/>
    <w:rsid w:val="00AD02A8"/>
    <w:rsid w:val="00AE2204"/>
    <w:rsid w:val="00AF73C9"/>
    <w:rsid w:val="00B204DF"/>
    <w:rsid w:val="00B26596"/>
    <w:rsid w:val="00B60471"/>
    <w:rsid w:val="00B7266D"/>
    <w:rsid w:val="00B76BAE"/>
    <w:rsid w:val="00B81763"/>
    <w:rsid w:val="00B82134"/>
    <w:rsid w:val="00B90880"/>
    <w:rsid w:val="00BC0D7C"/>
    <w:rsid w:val="00BE132D"/>
    <w:rsid w:val="00BE780B"/>
    <w:rsid w:val="00BF6D97"/>
    <w:rsid w:val="00BF7934"/>
    <w:rsid w:val="00C00C5F"/>
    <w:rsid w:val="00C04DEE"/>
    <w:rsid w:val="00C128ED"/>
    <w:rsid w:val="00C13F66"/>
    <w:rsid w:val="00C4241E"/>
    <w:rsid w:val="00C458E8"/>
    <w:rsid w:val="00C506C3"/>
    <w:rsid w:val="00C50CFB"/>
    <w:rsid w:val="00C93520"/>
    <w:rsid w:val="00C93815"/>
    <w:rsid w:val="00CB7D5D"/>
    <w:rsid w:val="00CC337D"/>
    <w:rsid w:val="00CD7BF6"/>
    <w:rsid w:val="00CE29D9"/>
    <w:rsid w:val="00CE568B"/>
    <w:rsid w:val="00CF3B23"/>
    <w:rsid w:val="00D176E1"/>
    <w:rsid w:val="00D26A0E"/>
    <w:rsid w:val="00D56EFE"/>
    <w:rsid w:val="00D651B0"/>
    <w:rsid w:val="00D735C3"/>
    <w:rsid w:val="00DA5693"/>
    <w:rsid w:val="00DE18A4"/>
    <w:rsid w:val="00DF5E99"/>
    <w:rsid w:val="00E066F6"/>
    <w:rsid w:val="00E2374D"/>
    <w:rsid w:val="00E2558C"/>
    <w:rsid w:val="00E36CC4"/>
    <w:rsid w:val="00EA710D"/>
    <w:rsid w:val="00EC12F1"/>
    <w:rsid w:val="00EC500C"/>
    <w:rsid w:val="00EC63C4"/>
    <w:rsid w:val="00F05322"/>
    <w:rsid w:val="00F121BC"/>
    <w:rsid w:val="00F2555C"/>
    <w:rsid w:val="00F32726"/>
    <w:rsid w:val="00F336B1"/>
    <w:rsid w:val="00F54FFE"/>
    <w:rsid w:val="00F65C29"/>
    <w:rsid w:val="00F66D15"/>
    <w:rsid w:val="00F70F76"/>
    <w:rsid w:val="00F945C7"/>
    <w:rsid w:val="00F971DB"/>
    <w:rsid w:val="00FA17AD"/>
    <w:rsid w:val="00FB59D8"/>
    <w:rsid w:val="00FD3775"/>
    <w:rsid w:val="00FF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B4BB9"/>
  <w15:chartTrackingRefBased/>
  <w15:docId w15:val="{31DAADC0-8A39-41BA-8FF0-4B618E9F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5C3"/>
    <w:pPr>
      <w:spacing w:after="0" w:line="240" w:lineRule="auto"/>
    </w:pPr>
  </w:style>
  <w:style w:type="character" w:styleId="Hyperlink">
    <w:name w:val="Hyperlink"/>
    <w:basedOn w:val="DefaultParagraphFont"/>
    <w:uiPriority w:val="99"/>
    <w:unhideWhenUsed/>
    <w:rsid w:val="00D735C3"/>
    <w:rPr>
      <w:color w:val="0563C1" w:themeColor="hyperlink"/>
      <w:u w:val="single"/>
    </w:rPr>
  </w:style>
  <w:style w:type="table" w:styleId="TableGrid">
    <w:name w:val="Table Grid"/>
    <w:basedOn w:val="TableNormal"/>
    <w:uiPriority w:val="59"/>
    <w:rsid w:val="00D7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35C3"/>
    <w:rPr>
      <w:sz w:val="16"/>
      <w:szCs w:val="16"/>
    </w:rPr>
  </w:style>
  <w:style w:type="paragraph" w:styleId="CommentText">
    <w:name w:val="annotation text"/>
    <w:basedOn w:val="Normal"/>
    <w:link w:val="CommentTextChar"/>
    <w:uiPriority w:val="99"/>
    <w:unhideWhenUsed/>
    <w:rsid w:val="00D735C3"/>
    <w:pPr>
      <w:spacing w:after="200" w:line="240" w:lineRule="auto"/>
    </w:pPr>
    <w:rPr>
      <w:sz w:val="20"/>
      <w:szCs w:val="20"/>
    </w:rPr>
  </w:style>
  <w:style w:type="character" w:customStyle="1" w:styleId="CommentTextChar">
    <w:name w:val="Comment Text Char"/>
    <w:basedOn w:val="DefaultParagraphFont"/>
    <w:link w:val="CommentText"/>
    <w:uiPriority w:val="99"/>
    <w:rsid w:val="00D735C3"/>
    <w:rPr>
      <w:sz w:val="20"/>
      <w:szCs w:val="20"/>
    </w:rPr>
  </w:style>
  <w:style w:type="paragraph" w:styleId="CommentSubject">
    <w:name w:val="annotation subject"/>
    <w:basedOn w:val="CommentText"/>
    <w:next w:val="CommentText"/>
    <w:link w:val="CommentSubjectChar"/>
    <w:uiPriority w:val="99"/>
    <w:semiHidden/>
    <w:unhideWhenUsed/>
    <w:rsid w:val="00C04DEE"/>
    <w:pPr>
      <w:spacing w:after="160"/>
    </w:pPr>
    <w:rPr>
      <w:b/>
      <w:bCs/>
    </w:rPr>
  </w:style>
  <w:style w:type="character" w:customStyle="1" w:styleId="CommentSubjectChar">
    <w:name w:val="Comment Subject Char"/>
    <w:basedOn w:val="CommentTextChar"/>
    <w:link w:val="CommentSubject"/>
    <w:uiPriority w:val="99"/>
    <w:semiHidden/>
    <w:rsid w:val="00C04DEE"/>
    <w:rPr>
      <w:b/>
      <w:bCs/>
      <w:sz w:val="20"/>
      <w:szCs w:val="20"/>
    </w:rPr>
  </w:style>
  <w:style w:type="paragraph" w:styleId="ListParagraph">
    <w:name w:val="List Paragraph"/>
    <w:basedOn w:val="Normal"/>
    <w:uiPriority w:val="34"/>
    <w:qFormat/>
    <w:rsid w:val="000D678F"/>
    <w:pPr>
      <w:ind w:left="720"/>
      <w:contextualSpacing/>
    </w:pPr>
  </w:style>
  <w:style w:type="paragraph" w:styleId="Header">
    <w:name w:val="header"/>
    <w:basedOn w:val="Normal"/>
    <w:link w:val="HeaderChar"/>
    <w:uiPriority w:val="99"/>
    <w:unhideWhenUsed/>
    <w:rsid w:val="00F6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C29"/>
  </w:style>
  <w:style w:type="paragraph" w:styleId="Footer">
    <w:name w:val="footer"/>
    <w:basedOn w:val="Normal"/>
    <w:link w:val="FooterChar"/>
    <w:uiPriority w:val="99"/>
    <w:unhideWhenUsed/>
    <w:rsid w:val="00F6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C29"/>
  </w:style>
  <w:style w:type="character" w:styleId="UnresolvedMention">
    <w:name w:val="Unresolved Mention"/>
    <w:basedOn w:val="DefaultParagraphFont"/>
    <w:uiPriority w:val="99"/>
    <w:semiHidden/>
    <w:unhideWhenUsed/>
    <w:rsid w:val="001222E2"/>
    <w:rPr>
      <w:color w:val="605E5C"/>
      <w:shd w:val="clear" w:color="auto" w:fill="E1DFDD"/>
    </w:rPr>
  </w:style>
  <w:style w:type="paragraph" w:styleId="Revision">
    <w:name w:val="Revision"/>
    <w:hidden/>
    <w:uiPriority w:val="99"/>
    <w:semiHidden/>
    <w:rsid w:val="00BC0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Murphy</dc:creator>
  <cp:keywords/>
  <dc:description/>
  <cp:lastModifiedBy>Tania Murphy</cp:lastModifiedBy>
  <cp:revision>2</cp:revision>
  <dcterms:created xsi:type="dcterms:W3CDTF">2025-05-12T13:41:00Z</dcterms:created>
  <dcterms:modified xsi:type="dcterms:W3CDTF">2025-05-12T13:41:00Z</dcterms:modified>
</cp:coreProperties>
</file>